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ascii="黑体" w:eastAsia="黑体" w:cs="黑体"/>
                      <w:b/>
                      <w:bCs/>
                      <w:color w:val="993366"/>
                    </w:rPr>
                    <w:t>5</w:t>
                  </w:r>
                  <w:r>
                    <w:rPr>
                      <w:rFonts w:hint="eastAsia" w:ascii="黑体" w:eastAsia="黑体" w:cs="黑体"/>
                      <w:b/>
                      <w:bCs/>
                      <w:color w:val="993366"/>
                    </w:rPr>
                    <w:t>月</w:t>
                  </w:r>
                  <w:r>
                    <w:rPr>
                      <w:rFonts w:hint="eastAsia" w:ascii="黑体" w:eastAsia="黑体" w:cs="黑体"/>
                      <w:b/>
                      <w:bCs/>
                      <w:color w:val="993366"/>
                      <w:lang w:val="en-US" w:eastAsia="zh-CN"/>
                    </w:rPr>
                    <w:t>9</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tabs>
          <w:tab w:val="left" w:pos="2100"/>
        </w:tabs>
        <w:spacing w:before="120" w:after="0" w:line="240" w:lineRule="auto"/>
        <w:rPr>
          <w:rFonts w:cs="Times New Roman"/>
          <w:color w:val="FF0000"/>
          <w:sz w:val="28"/>
          <w:szCs w:val="28"/>
        </w:rPr>
      </w:pPr>
      <w:bookmarkStart w:id="1" w:name="_Toc436380329"/>
      <w:r>
        <w:rPr>
          <w:rFonts w:hint="eastAsia"/>
          <w:color w:val="FF0000"/>
          <w:sz w:val="28"/>
          <w:szCs w:val="28"/>
        </w:rPr>
        <w:t>一、</w:t>
      </w:r>
      <w:bookmarkEnd w:id="0"/>
      <w:r>
        <w:rPr>
          <w:rFonts w:hint="eastAsia"/>
          <w:color w:val="FF0000"/>
          <w:sz w:val="28"/>
          <w:szCs w:val="28"/>
        </w:rPr>
        <w:t>国际燃料油市场行情</w:t>
      </w:r>
      <w:bookmarkEnd w:id="1"/>
    </w:p>
    <w:p>
      <w:pPr>
        <w:pStyle w:val="3"/>
        <w:spacing w:before="120" w:after="120" w:line="240" w:lineRule="auto"/>
        <w:ind w:right="480"/>
        <w:rPr>
          <w:rFonts w:ascii="宋体" w:hAnsi="宋体" w:eastAsia="宋体" w:cs="Times New Roman"/>
          <w:sz w:val="24"/>
          <w:szCs w:val="24"/>
        </w:rPr>
      </w:pPr>
      <w:bookmarkStart w:id="2" w:name="_Toc111024839"/>
      <w:bookmarkStart w:id="3" w:name="_Toc122509008"/>
      <w:bookmarkStart w:id="4" w:name="_Toc152134469"/>
      <w:bookmarkStart w:id="5" w:name="_Toc436380330"/>
      <w:bookmarkStart w:id="6" w:name="_Toc120023864"/>
      <w:bookmarkStart w:id="7" w:name="_Toc283387075"/>
      <w:bookmarkStart w:id="8" w:name="_Toc164833123"/>
      <w:bookmarkStart w:id="9" w:name="_Toc123098827"/>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sz w:val="21"/>
          <w:szCs w:val="21"/>
        </w:rPr>
      </w:pPr>
      <w:r>
        <w:rPr>
          <w:rFonts w:hint="eastAsia" w:cs="宋体"/>
          <w:kern w:val="0"/>
          <w:sz w:val="21"/>
          <w:szCs w:val="21"/>
          <w:lang w:val="en-US" w:eastAsia="zh-CN" w:bidi="ar"/>
        </w:rPr>
        <w:t xml:space="preserve">    </w:t>
      </w:r>
      <w:r>
        <w:rPr>
          <w:rFonts w:hint="eastAsia"/>
          <w:sz w:val="21"/>
          <w:szCs w:val="21"/>
        </w:rPr>
        <w:t xml:space="preserve">周一亚洲燃料油市场，180CST燃料油现货升水涨至12月以来最高水平，因市场对黏度较低的180CST燃料油的需求旺盛。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业内消息人士表示，自5月以来，运抵新加坡的180CST燃料油套利船货供应减少，也提振该油品现货升水。180CST燃料油可以与黏度较高的燃料油混合成黏度较低的产品。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周一新加坡燃料油现货市场，总共达成12笔交易，总计24万吨燃料油成交，为4月17日以来最高水平。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其中包括8笔380CST燃料油，总计16万吨，以及4笔180CST燃料油，总计8万吨。摩科瑞购买了其中的10笔，Coastal和中石油各购买一笔。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相比之下，周一的卖家则更为分散，包括壳牌、卢克石油（Lukoil）、 嘉能可、Koch、Coastal、贡渥（Gunvor）和道达尔。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自5月以来，新加坡燃料油现货市场总计成交42万吨380CST燃料油和20万吨180CST燃料油。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180CST燃料油现货升水较上一交易日上涨1.54美元， 至新加坡报价+4.32美元/吨，为去年12月28日以来最高水平。</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新加坡燃料油纸货市场，市场人气和上周五相比基本没有变化，燃料油纸货价格也基本稳定。</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伦敦洲际交易所（ICE）6月/7月380CST燃料油跨月价差交易活跃，截至新加坡时间下午7:00，总计22万吨合约成交，价格下跌5美分，至+0.45美元/吨。</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BP公司以罕见之举将一批来自阿联酋Ruwais炼油厂的直馏燃料油运往美国西海岸华盛顿地区。装载这批8万吨直馏燃料油的阿芙拉型油轮Atlantic Dawn料将于6月7日抵达Cherry Point，BP公司在那里运营一座处理能力为23.4万桶/日的炼油厂。</w:t>
      </w:r>
    </w:p>
    <w:p>
      <w:pPr>
        <w:rPr>
          <w:rFonts w:hint="eastAsia"/>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pPr>
    </w:p>
    <w:p>
      <w:pPr>
        <w:spacing w:before="100" w:beforeAutospacing="1" w:after="100" w:afterAutospacing="1"/>
        <w:ind w:firstLine="420"/>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283387076"/>
      <w:bookmarkStart w:id="11" w:name="_Toc164833124"/>
      <w:bookmarkStart w:id="12" w:name="_Toc152134470"/>
      <w:bookmarkStart w:id="13" w:name="_Toc436380331"/>
      <w:r>
        <w:rPr>
          <w:rFonts w:hint="eastAsia" w:ascii="宋体" w:hAnsi="宋体" w:eastAsia="宋体" w:cs="宋体"/>
          <w:sz w:val="24"/>
          <w:szCs w:val="24"/>
        </w:rPr>
        <w:t>新加坡燃料油市场价格</w:t>
      </w:r>
      <w:bookmarkEnd w:id="10"/>
      <w:bookmarkEnd w:id="11"/>
      <w:bookmarkEnd w:id="12"/>
      <w:bookmarkEnd w:id="1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643"/>
        <w:gridCol w:w="1702"/>
        <w:gridCol w:w="1781"/>
        <w:gridCol w:w="1702"/>
        <w:gridCol w:w="1700"/>
      </w:tblGrid>
      <w:tr>
        <w:tblPrEx>
          <w:tblLayout w:type="fixed"/>
          <w:tblCellMar>
            <w:top w:w="0" w:type="dxa"/>
            <w:left w:w="108" w:type="dxa"/>
            <w:bottom w:w="0" w:type="dxa"/>
            <w:right w:w="108" w:type="dxa"/>
          </w:tblCellMar>
        </w:tblPrEx>
        <w:trPr>
          <w:trHeight w:val="285" w:hRule="atLeast"/>
        </w:trPr>
        <w:tc>
          <w:tcPr>
            <w:tcW w:w="164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178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中硫</w:t>
            </w:r>
            <w:r>
              <w:rPr>
                <w:b/>
                <w:bCs/>
                <w:color w:val="000000"/>
                <w:sz w:val="20"/>
                <w:szCs w:val="20"/>
              </w:rPr>
              <w:t>180cst</w:t>
            </w:r>
          </w:p>
        </w:tc>
        <w:tc>
          <w:tcPr>
            <w:tcW w:w="170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lswr</w:t>
            </w:r>
            <w:r>
              <w:rPr>
                <w:rFonts w:hint="eastAsia"/>
                <w:b/>
                <w:bCs/>
                <w:color w:val="000000"/>
                <w:sz w:val="20"/>
                <w:szCs w:val="20"/>
              </w:rPr>
              <w:t>①</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1702"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 xml:space="preserve">4.33/4.37 </w:t>
            </w:r>
          </w:p>
        </w:tc>
        <w:tc>
          <w:tcPr>
            <w:tcW w:w="1781"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2.85/2.89</w:t>
            </w:r>
          </w:p>
        </w:tc>
        <w:tc>
          <w:tcPr>
            <w:tcW w:w="1702" w:type="dxa"/>
            <w:tcBorders>
              <w:top w:val="nil"/>
              <w:left w:val="nil"/>
              <w:bottom w:val="single" w:color="auto" w:sz="4" w:space="0"/>
              <w:right w:val="single" w:color="auto" w:sz="4" w:space="0"/>
            </w:tcBorders>
            <w:shd w:val="clear" w:color="auto" w:fill="99CCFF"/>
            <w:textDirection w:val="lrTb"/>
            <w:vAlign w:val="center"/>
          </w:tcPr>
          <w:p>
            <w:pPr>
              <w:jc w:val="center"/>
              <w:rPr>
                <w:rFonts w:cs="Times New Roman"/>
                <w:color w:val="000000"/>
                <w:sz w:val="20"/>
                <w:szCs w:val="20"/>
              </w:rPr>
            </w:pPr>
          </w:p>
        </w:tc>
        <w:tc>
          <w:tcPr>
            <w:tcW w:w="1700"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 xml:space="preserve"> 6.21/6.25</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296.610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287.310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303.28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49.210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290.920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282.780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297.47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48.540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300.090</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290.320</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306.84</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49.820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301.33</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292.24</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308.11</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50.08</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304.23</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296.52</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311.08</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50.66</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p>
      <w:pPr>
        <w:rPr>
          <w:rFonts w:cs="Times New Roman"/>
          <w:b/>
          <w:bCs/>
        </w:rPr>
      </w:pP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524"/>
        <w:gridCol w:w="1687"/>
        <w:gridCol w:w="1706"/>
        <w:gridCol w:w="1941"/>
        <w:gridCol w:w="1670"/>
      </w:tblGrid>
      <w:tr>
        <w:tblPrEx>
          <w:tblLayout w:type="fixed"/>
          <w:tblCellMar>
            <w:top w:w="0" w:type="dxa"/>
            <w:left w:w="108" w:type="dxa"/>
            <w:bottom w:w="0" w:type="dxa"/>
            <w:right w:w="108" w:type="dxa"/>
          </w:tblCellMar>
        </w:tblPrEx>
        <w:trPr>
          <w:trHeight w:val="285" w:hRule="atLeast"/>
        </w:trPr>
        <w:tc>
          <w:tcPr>
            <w:tcW w:w="1524" w:type="dxa"/>
            <w:vMerge w:val="restart"/>
            <w:tcBorders>
              <w:top w:val="single" w:color="auto" w:sz="4" w:space="0"/>
              <w:left w:val="single" w:color="auto" w:sz="4" w:space="0"/>
              <w:bottom w:val="single" w:color="000000"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393"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3611"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405" w:hRule="atLeast"/>
        </w:trPr>
        <w:tc>
          <w:tcPr>
            <w:tcW w:w="1524" w:type="dxa"/>
            <w:vMerge w:val="continue"/>
            <w:tcBorders>
              <w:top w:val="single" w:color="auto" w:sz="4" w:space="0"/>
              <w:left w:val="single" w:color="auto" w:sz="4" w:space="0"/>
              <w:bottom w:val="single" w:color="000000" w:sz="4" w:space="0"/>
              <w:right w:val="single" w:color="auto" w:sz="4" w:space="0"/>
            </w:tcBorders>
            <w:vAlign w:val="center"/>
          </w:tcPr>
          <w:p>
            <w:pPr>
              <w:rPr>
                <w:rFonts w:cs="Times New Roman"/>
                <w:b/>
                <w:bCs/>
                <w:color w:val="000000"/>
                <w:sz w:val="20"/>
                <w:szCs w:val="20"/>
              </w:rPr>
            </w:pPr>
          </w:p>
        </w:tc>
        <w:tc>
          <w:tcPr>
            <w:tcW w:w="1687"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6</w:t>
            </w:r>
            <w:r>
              <w:rPr>
                <w:rFonts w:hint="eastAsia"/>
                <w:b/>
                <w:bCs/>
                <w:color w:val="000000"/>
                <w:sz w:val="20"/>
                <w:szCs w:val="20"/>
              </w:rPr>
              <w:t>月纸货</w:t>
            </w:r>
          </w:p>
        </w:tc>
        <w:tc>
          <w:tcPr>
            <w:tcW w:w="1706"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7</w:t>
            </w:r>
            <w:r>
              <w:rPr>
                <w:rFonts w:hint="eastAsia"/>
                <w:b/>
                <w:bCs/>
                <w:color w:val="000000"/>
                <w:sz w:val="20"/>
                <w:szCs w:val="20"/>
              </w:rPr>
              <w:t>纸货</w:t>
            </w:r>
          </w:p>
        </w:tc>
        <w:tc>
          <w:tcPr>
            <w:tcW w:w="1941"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6</w:t>
            </w:r>
            <w:r>
              <w:rPr>
                <w:rFonts w:hint="eastAsia"/>
                <w:b/>
                <w:bCs/>
                <w:color w:val="000000"/>
                <w:sz w:val="20"/>
                <w:szCs w:val="20"/>
              </w:rPr>
              <w:t>月纸货</w:t>
            </w:r>
          </w:p>
        </w:tc>
        <w:tc>
          <w:tcPr>
            <w:tcW w:w="1670"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7</w:t>
            </w:r>
            <w:r>
              <w:rPr>
                <w:rFonts w:hint="eastAsia"/>
                <w:b/>
                <w:bCs/>
                <w:color w:val="000000"/>
                <w:sz w:val="20"/>
                <w:szCs w:val="20"/>
              </w:rPr>
              <w:t>月纸货</w:t>
            </w:r>
          </w:p>
        </w:tc>
      </w:tr>
      <w:tr>
        <w:tblPrEx>
          <w:tblLayout w:type="fixed"/>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290.25</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289.25</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282.95</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282.5</w:t>
            </w:r>
          </w:p>
        </w:tc>
      </w:tr>
      <w:tr>
        <w:tblPrEx>
          <w:tblLayout w:type="fixed"/>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285.6</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284.1</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277.7</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277</w:t>
            </w:r>
          </w:p>
        </w:tc>
      </w:tr>
      <w:tr>
        <w:tblPrEx>
          <w:tblLayout w:type="fixed"/>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687"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293.25</w:t>
            </w:r>
          </w:p>
        </w:tc>
        <w:tc>
          <w:tcPr>
            <w:tcW w:w="1706"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291.75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285.2</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284.55</w:t>
            </w:r>
          </w:p>
        </w:tc>
      </w:tr>
      <w:tr>
        <w:tblPrEx>
          <w:tblLayout w:type="fixed"/>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687"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color w:val="000000"/>
                <w:sz w:val="20"/>
                <w:szCs w:val="20"/>
              </w:rPr>
            </w:pPr>
            <w:r>
              <w:rPr>
                <w:rFonts w:hint="eastAsia" w:ascii="宋体" w:hAnsi="宋体" w:eastAsia="宋体" w:cs="宋体"/>
                <w:sz w:val="21"/>
                <w:szCs w:val="21"/>
              </w:rPr>
              <w:t>295.75</w:t>
            </w:r>
          </w:p>
        </w:tc>
        <w:tc>
          <w:tcPr>
            <w:tcW w:w="1706"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color w:val="000000"/>
                <w:sz w:val="20"/>
                <w:szCs w:val="20"/>
              </w:rPr>
            </w:pPr>
            <w:r>
              <w:rPr>
                <w:rFonts w:hint="eastAsia" w:ascii="宋体" w:hAnsi="宋体" w:eastAsia="宋体" w:cs="宋体"/>
                <w:sz w:val="21"/>
                <w:szCs w:val="21"/>
              </w:rPr>
              <w:t>294.75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288.2</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287.75</w:t>
            </w:r>
          </w:p>
        </w:tc>
      </w:tr>
      <w:tr>
        <w:tblPrEx>
          <w:tblLayout w:type="fixed"/>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1687"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300.75</w:t>
            </w:r>
          </w:p>
        </w:tc>
        <w:tc>
          <w:tcPr>
            <w:tcW w:w="1706"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300.25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293</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292.72</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045"/>
        <w:gridCol w:w="1885"/>
        <w:gridCol w:w="1885"/>
        <w:gridCol w:w="1828"/>
        <w:gridCol w:w="1885"/>
      </w:tblGrid>
      <w:tr>
        <w:tblPrEx>
          <w:tblLayout w:type="fixed"/>
          <w:tblCellMar>
            <w:top w:w="0" w:type="dxa"/>
            <w:left w:w="108" w:type="dxa"/>
            <w:bottom w:w="0" w:type="dxa"/>
            <w:right w:w="108" w:type="dxa"/>
          </w:tblCellMar>
        </w:tblPrEx>
        <w:trPr>
          <w:trHeight w:val="525" w:hRule="atLeast"/>
        </w:trPr>
        <w:tc>
          <w:tcPr>
            <w:tcW w:w="1045"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180CST</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380CST</w:t>
            </w:r>
          </w:p>
        </w:tc>
        <w:tc>
          <w:tcPr>
            <w:tcW w:w="182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 xml:space="preserve">180CST </w:t>
            </w:r>
            <w:r>
              <w:rPr>
                <w:rFonts w:hint="eastAsia"/>
                <w:b/>
                <w:bCs/>
                <w:sz w:val="20"/>
                <w:szCs w:val="20"/>
                <w:lang w:val="en-US" w:eastAsia="zh-CN"/>
              </w:rPr>
              <w:t>6</w:t>
            </w:r>
            <w:r>
              <w:rPr>
                <w:rFonts w:hint="eastAsia"/>
                <w:b/>
                <w:bCs/>
                <w:sz w:val="20"/>
                <w:szCs w:val="20"/>
              </w:rPr>
              <w:t>月纸货</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 xml:space="preserve">180CST </w:t>
            </w:r>
            <w:r>
              <w:rPr>
                <w:rFonts w:hint="eastAsia"/>
                <w:b/>
                <w:bCs/>
                <w:sz w:val="20"/>
                <w:szCs w:val="20"/>
                <w:lang w:val="en-US" w:eastAsia="zh-CN"/>
              </w:rPr>
              <w:t>7</w:t>
            </w:r>
            <w:r>
              <w:rPr>
                <w:rFonts w:hint="eastAsia"/>
                <w:b/>
                <w:bCs/>
                <w:sz w:val="20"/>
                <w:szCs w:val="20"/>
              </w:rPr>
              <w:t>月纸货</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sz w:val="20"/>
                <w:szCs w:val="20"/>
              </w:rPr>
            </w:pPr>
            <w:r>
              <w:rPr>
                <w:rFonts w:hint="eastAsia"/>
                <w:sz w:val="20"/>
                <w:szCs w:val="20"/>
              </w:rPr>
              <w:t>贴水</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28"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283</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无成交</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无成交</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302.25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290.25</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285.5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284</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309.5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299</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293.5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293.5</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313.75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302.50</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299.00</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289.50</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无成交</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326.5</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无成交</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无成交</w:t>
            </w:r>
          </w:p>
        </w:tc>
      </w:tr>
    </w:tbl>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8" w:name="_Toc436380334"/>
      <w:r>
        <w:rPr>
          <w:rFonts w:hint="eastAsia" w:ascii="宋体" w:hAnsi="宋体" w:eastAsia="宋体" w:cs="宋体"/>
          <w:sz w:val="24"/>
          <w:szCs w:val="24"/>
        </w:rPr>
        <w:t>韩国燃料油市场价格</w:t>
      </w:r>
      <w:bookmarkEnd w:id="18"/>
    </w:p>
    <w:tbl>
      <w:tblPr>
        <w:tblStyle w:val="29"/>
        <w:tblW w:w="8528" w:type="dxa"/>
        <w:tblInd w:w="-106" w:type="dxa"/>
        <w:tblLayout w:type="fixed"/>
        <w:tblCellMar>
          <w:top w:w="0" w:type="dxa"/>
          <w:left w:w="108" w:type="dxa"/>
          <w:bottom w:w="0" w:type="dxa"/>
          <w:right w:w="108" w:type="dxa"/>
        </w:tblCellMar>
      </w:tblPr>
      <w:tblGrid>
        <w:gridCol w:w="2826"/>
        <w:gridCol w:w="2901"/>
        <w:gridCol w:w="2801"/>
      </w:tblGrid>
      <w:tr>
        <w:tblPrEx>
          <w:tblLayout w:type="fixed"/>
          <w:tblCellMar>
            <w:top w:w="0" w:type="dxa"/>
            <w:left w:w="108" w:type="dxa"/>
            <w:bottom w:w="0" w:type="dxa"/>
            <w:right w:w="108" w:type="dxa"/>
          </w:tblCellMar>
        </w:tblPrEx>
        <w:trPr>
          <w:trHeight w:val="285" w:hRule="atLeast"/>
        </w:trPr>
        <w:tc>
          <w:tcPr>
            <w:tcW w:w="2826"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29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c>
          <w:tcPr>
            <w:tcW w:w="28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380cst</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今日贴水</w:t>
            </w:r>
          </w:p>
        </w:tc>
        <w:tc>
          <w:tcPr>
            <w:tcW w:w="29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c>
          <w:tcPr>
            <w:tcW w:w="28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sz w:val="20"/>
                <w:szCs w:val="20"/>
                <w:lang w:val="en-US" w:eastAsia="zh-CN"/>
              </w:rPr>
              <w:t>5月8日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299.76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290.46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295.37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287.23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303.78</w:t>
            </w:r>
          </w:p>
        </w:tc>
        <w:tc>
          <w:tcPr>
            <w:tcW w:w="2801"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294.01</w:t>
            </w:r>
          </w:p>
        </w:tc>
      </w:tr>
      <w:tr>
        <w:tblPrEx>
          <w:tblLayout w:type="fixed"/>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305.51</w:t>
            </w:r>
          </w:p>
        </w:tc>
        <w:tc>
          <w:tcPr>
            <w:tcW w:w="2801"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296.62</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309.33 </w:t>
            </w:r>
          </w:p>
        </w:tc>
        <w:tc>
          <w:tcPr>
            <w:tcW w:w="28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301.62 </w:t>
            </w:r>
          </w:p>
        </w:tc>
      </w:tr>
    </w:tbl>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Style w:val="29"/>
        <w:tblW w:w="8528" w:type="dxa"/>
        <w:tblInd w:w="-106" w:type="dxa"/>
        <w:tblLayout w:type="fixed"/>
        <w:tblCellMar>
          <w:top w:w="0" w:type="dxa"/>
          <w:left w:w="108" w:type="dxa"/>
          <w:bottom w:w="0" w:type="dxa"/>
          <w:right w:w="108" w:type="dxa"/>
        </w:tblCellMar>
      </w:tblPr>
      <w:tblGrid>
        <w:gridCol w:w="2963"/>
        <w:gridCol w:w="2756"/>
        <w:gridCol w:w="2809"/>
      </w:tblGrid>
      <w:tr>
        <w:tblPrEx>
          <w:tblLayout w:type="fixed"/>
          <w:tblCellMar>
            <w:top w:w="0" w:type="dxa"/>
            <w:left w:w="108" w:type="dxa"/>
            <w:bottom w:w="0" w:type="dxa"/>
            <w:right w:w="108" w:type="dxa"/>
          </w:tblCellMar>
        </w:tblPrEx>
        <w:trPr>
          <w:trHeight w:val="282" w:hRule="atLeast"/>
        </w:trPr>
        <w:tc>
          <w:tcPr>
            <w:tcW w:w="2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275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280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2756"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color w:val="000000"/>
                <w:sz w:val="20"/>
                <w:szCs w:val="20"/>
              </w:rPr>
              <w:t xml:space="preserve">  7.</w:t>
            </w:r>
            <w:r>
              <w:rPr>
                <w:rFonts w:hint="eastAsia"/>
                <w:color w:val="000000"/>
                <w:sz w:val="20"/>
                <w:szCs w:val="20"/>
                <w:lang w:val="en-US" w:eastAsia="zh-CN"/>
              </w:rPr>
              <w:t>75</w:t>
            </w:r>
            <w:r>
              <w:rPr>
                <w:color w:val="000000"/>
                <w:sz w:val="20"/>
                <w:szCs w:val="20"/>
              </w:rPr>
              <w:t>/</w:t>
            </w:r>
            <w:r>
              <w:rPr>
                <w:rFonts w:hint="eastAsia"/>
                <w:color w:val="000000"/>
                <w:sz w:val="20"/>
                <w:szCs w:val="20"/>
                <w:lang w:val="en-US" w:eastAsia="zh-CN"/>
              </w:rPr>
              <w:t>8.25</w:t>
            </w:r>
            <w:r>
              <w:rPr>
                <w:color w:val="000000"/>
                <w:sz w:val="20"/>
                <w:szCs w:val="20"/>
              </w:rPr>
              <w:t xml:space="preserve"> </w:t>
            </w:r>
          </w:p>
        </w:tc>
        <w:tc>
          <w:tcPr>
            <w:tcW w:w="2809"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color w:val="000000"/>
                <w:sz w:val="20"/>
                <w:szCs w:val="20"/>
              </w:rPr>
              <w:t>6.</w:t>
            </w:r>
            <w:r>
              <w:rPr>
                <w:rFonts w:hint="eastAsia"/>
                <w:color w:val="000000"/>
                <w:sz w:val="20"/>
                <w:szCs w:val="20"/>
                <w:lang w:val="en-US" w:eastAsia="zh-CN"/>
              </w:rPr>
              <w:t>75</w:t>
            </w:r>
            <w:r>
              <w:rPr>
                <w:color w:val="000000"/>
                <w:sz w:val="20"/>
                <w:szCs w:val="20"/>
              </w:rPr>
              <w:t>/7.</w:t>
            </w:r>
            <w:r>
              <w:rPr>
                <w:rFonts w:hint="eastAsia"/>
                <w:color w:val="000000"/>
                <w:sz w:val="20"/>
                <w:szCs w:val="20"/>
                <w:lang w:val="en-US" w:eastAsia="zh-CN"/>
              </w:rPr>
              <w:t>25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286.35</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277.05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280.66</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272.52</w:t>
            </w:r>
          </w:p>
        </w:tc>
      </w:tr>
      <w:tr>
        <w:tblPrEx>
          <w:tblLayout w:type="fixed"/>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289.83</w:t>
            </w:r>
          </w:p>
        </w:tc>
        <w:tc>
          <w:tcPr>
            <w:tcW w:w="2809"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280.06</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291.07</w:t>
            </w:r>
          </w:p>
        </w:tc>
        <w:tc>
          <w:tcPr>
            <w:tcW w:w="2809"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281.98</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293.74</w:t>
            </w:r>
          </w:p>
        </w:tc>
        <w:tc>
          <w:tcPr>
            <w:tcW w:w="2809"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286.03</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Style w:val="29"/>
        <w:tblW w:w="8528" w:type="dxa"/>
        <w:tblInd w:w="-106" w:type="dxa"/>
        <w:tblLayout w:type="fixed"/>
        <w:tblCellMar>
          <w:top w:w="0" w:type="dxa"/>
          <w:left w:w="108" w:type="dxa"/>
          <w:bottom w:w="0" w:type="dxa"/>
          <w:right w:w="108" w:type="dxa"/>
        </w:tblCellMar>
      </w:tblPr>
      <w:tblGrid>
        <w:gridCol w:w="4349"/>
        <w:gridCol w:w="4179"/>
      </w:tblGrid>
      <w:tr>
        <w:tblPrEx>
          <w:tblLayout w:type="fixed"/>
          <w:tblCellMar>
            <w:top w:w="0" w:type="dxa"/>
            <w:left w:w="108" w:type="dxa"/>
            <w:bottom w:w="0" w:type="dxa"/>
            <w:right w:w="108" w:type="dxa"/>
          </w:tblCellMar>
        </w:tblPrEx>
        <w:trPr>
          <w:trHeight w:val="300" w:hRule="atLeast"/>
        </w:trPr>
        <w:tc>
          <w:tcPr>
            <w:tcW w:w="4349"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417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305.86</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300.22</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309.39</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310.63</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313.53 </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2021"/>
        <w:gridCol w:w="3048"/>
        <w:gridCol w:w="3459"/>
      </w:tblGrid>
      <w:tr>
        <w:tblPrEx>
          <w:tblLayout w:type="fixed"/>
        </w:tblPrEx>
        <w:trPr>
          <w:trHeight w:val="285" w:hRule="atLeast"/>
        </w:trPr>
        <w:tc>
          <w:tcPr>
            <w:tcW w:w="2021"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04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1PCT</w:t>
            </w:r>
            <w:r>
              <w:rPr>
                <w:rFonts w:hint="eastAsia"/>
                <w:b/>
                <w:bCs/>
                <w:sz w:val="20"/>
                <w:szCs w:val="20"/>
              </w:rPr>
              <w:t>）</w:t>
            </w:r>
          </w:p>
        </w:tc>
        <w:tc>
          <w:tcPr>
            <w:tcW w:w="345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3.5PCT</w:t>
            </w:r>
            <w:r>
              <w:rPr>
                <w:rFonts w:hint="eastAsia"/>
                <w:b/>
                <w:bCs/>
                <w:sz w:val="20"/>
                <w:szCs w:val="20"/>
              </w:rPr>
              <w:t>）</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284.50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262.00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289.00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265.25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288.75</w:t>
            </w:r>
          </w:p>
        </w:tc>
        <w:tc>
          <w:tcPr>
            <w:tcW w:w="345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262.75</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292.75</w:t>
            </w:r>
          </w:p>
        </w:tc>
        <w:tc>
          <w:tcPr>
            <w:tcW w:w="3459"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267.00</w:t>
            </w:r>
          </w:p>
        </w:tc>
      </w:tr>
      <w:tr>
        <w:tblPrEx>
          <w:tblLayout w:type="fixed"/>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296.00 </w:t>
            </w:r>
          </w:p>
        </w:tc>
        <w:tc>
          <w:tcPr>
            <w:tcW w:w="345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272.50 </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152134473"/>
      <w:bookmarkStart w:id="23" w:name="_Toc164759956"/>
      <w:bookmarkStart w:id="24" w:name="_Toc283387079"/>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283387080"/>
      <w:bookmarkStart w:id="27" w:name="_Toc164759957"/>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sz w:val="21"/>
          <w:szCs w:val="21"/>
        </w:rPr>
      </w:pPr>
      <w:bookmarkStart w:id="30" w:name="_Toc436380341"/>
      <w:r>
        <w:rPr>
          <w:rFonts w:hint="eastAsia"/>
          <w:sz w:val="21"/>
          <w:szCs w:val="21"/>
        </w:rPr>
        <w:t>　　周一（5月8日）市场行情偏弱，商家报价暂稳。</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今年大部分时间，主要产油国发起的减产已经令油价保持上涨，而美国攀升的产量已经限制了油价的涨势，并令油价局限在窄幅区间内波动。即便周五油价反弹，但周三公布的数据显示，美国原油库存下滑幅度小于预期，产量仍在不断上升。周一国内市场华南船用油市场（以广州、深圳和福建为基准）国产混调180CST库提估价为3220-3370元/吨（详见船用油日评）。</w:t>
      </w:r>
    </w:p>
    <w:p>
      <w:pPr>
        <w:rPr>
          <w:rFonts w:hint="eastAsia"/>
          <w:sz w:val="21"/>
          <w:szCs w:val="21"/>
        </w:rPr>
      </w:pPr>
    </w:p>
    <w:p>
      <w:pPr>
        <w:rPr>
          <w:rFonts w:hint="eastAsia"/>
          <w:sz w:val="21"/>
          <w:szCs w:val="21"/>
        </w:rPr>
      </w:pPr>
      <w:r>
        <w:rPr>
          <w:rFonts w:hint="eastAsia"/>
          <w:sz w:val="21"/>
          <w:szCs w:val="21"/>
        </w:rPr>
        <w:t xml:space="preserve">    近期区内燃料油市场走势相对平稳，油浆市场持续内供，商家出货较为正常；沥青料市场受南方多雨天气影响，市场需求持续清淡，炼厂有一定库存压力，市场交投气氛一般，短期内无明显利好刺激，预计后市价格或持续守稳。截止目前，区内国产油浆市场估价2200-2300元/吨，沥青料市场估价2400-2500元/吨，均较前一工作日持平。</w:t>
      </w:r>
    </w:p>
    <w:p>
      <w:pPr>
        <w:rPr>
          <w:rFonts w:hint="eastAsia"/>
          <w:sz w:val="21"/>
          <w:szCs w:val="21"/>
        </w:rPr>
      </w:pPr>
    </w:p>
    <w:p>
      <w:pPr>
        <w:rPr>
          <w:rFonts w:hint="eastAsia"/>
          <w:sz w:val="21"/>
          <w:szCs w:val="21"/>
        </w:rPr>
      </w:pPr>
      <w:r>
        <w:rPr>
          <w:rFonts w:hint="eastAsia"/>
          <w:sz w:val="21"/>
          <w:szCs w:val="21"/>
        </w:rPr>
        <w:t xml:space="preserve">    非标油市场，受近期原油价格大幅震荡利空因素影响，区内非标油市场走势较为迷茫，上周五原油价格止跌回涨，今商家多持谨慎观望态度，报价暂稳，业者待市情绪不高，市场整体购销气氛较为平稳，预计未来短期内华南非标油市场走势或守稳为主。</w:t>
      </w: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bookmarkStart w:id="42" w:name="_GoBack"/>
      <w:bookmarkEnd w:id="42"/>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sz w:val="21"/>
          <w:szCs w:val="21"/>
        </w:rPr>
      </w:pPr>
      <w:r>
        <w:rPr>
          <w:rFonts w:hint="eastAsia"/>
          <w:sz w:val="21"/>
          <w:szCs w:val="21"/>
        </w:rPr>
        <w:t>　　周一（5月8日），燃料油市场求稳困难，市场活跃度偏低。</w:t>
      </w:r>
    </w:p>
    <w:p>
      <w:pPr>
        <w:rPr>
          <w:rFonts w:hint="eastAsia"/>
          <w:sz w:val="21"/>
          <w:szCs w:val="21"/>
        </w:rPr>
      </w:pPr>
    </w:p>
    <w:p>
      <w:pPr>
        <w:rPr>
          <w:rFonts w:hint="eastAsia"/>
          <w:sz w:val="21"/>
          <w:szCs w:val="21"/>
        </w:rPr>
      </w:pPr>
      <w:r>
        <w:rPr>
          <w:rFonts w:hint="eastAsia"/>
          <w:sz w:val="21"/>
          <w:szCs w:val="21"/>
        </w:rPr>
        <w:t xml:space="preserve">    外盘原油深跌后小幅反弹，但预计难以摆脱低位震荡的命运，燃料油市场的悲观行情还将继续，船供油市场深陷利空压力，贸易商零星报跌不断，而上游的地炼报价则相对稳定，或预示着主流行情正在求稳，近期不会有大的深跌。</w:t>
      </w:r>
    </w:p>
    <w:p>
      <w:pPr>
        <w:rPr>
          <w:rFonts w:hint="eastAsia"/>
          <w:sz w:val="21"/>
          <w:szCs w:val="21"/>
        </w:rPr>
      </w:pPr>
    </w:p>
    <w:p>
      <w:pPr>
        <w:rPr>
          <w:rFonts w:hint="eastAsia"/>
          <w:sz w:val="21"/>
          <w:szCs w:val="21"/>
        </w:rPr>
      </w:pPr>
      <w:r>
        <w:rPr>
          <w:rFonts w:hint="eastAsia"/>
          <w:sz w:val="21"/>
          <w:szCs w:val="21"/>
        </w:rPr>
        <w:t xml:space="preserve">    油浆市场，华东油浆（密度1.1左右）的主流成交价在2270-2370元/吨，价格较昨日持平，炼厂出货较为顺畅。据悉，巴陵石化已经停工检修，近期没有油浆外销，另外，在资源供应较少的利好支撑下，华东中高密油浆走势尚可，暂无大的下行压力。</w:t>
      </w:r>
    </w:p>
    <w:p>
      <w:pPr>
        <w:rPr>
          <w:rFonts w:hint="eastAsia"/>
          <w:sz w:val="21"/>
          <w:szCs w:val="21"/>
        </w:rPr>
      </w:pPr>
    </w:p>
    <w:p>
      <w:pPr>
        <w:rPr>
          <w:rFonts w:hint="eastAsia"/>
          <w:sz w:val="21"/>
          <w:szCs w:val="21"/>
        </w:rPr>
      </w:pPr>
      <w:r>
        <w:rPr>
          <w:rFonts w:hint="eastAsia"/>
          <w:sz w:val="21"/>
          <w:szCs w:val="21"/>
        </w:rPr>
        <w:t xml:space="preserve">    非标油市场，近期非标油的走势较为悲观，一方面外盘原油跌跌不休后暂无有效的利好推动其上行；另一方面下游的柴油市场还在回落，对采购非标油积极性不高。短期内非标油将受利空主导，炼厂资源的议价空间相对较大。</w:t>
      </w:r>
    </w:p>
    <w:p>
      <w:pPr>
        <w:rPr>
          <w:rFonts w:hint="eastAsia"/>
          <w:sz w:val="21"/>
          <w:szCs w:val="21"/>
        </w:rPr>
      </w:pPr>
    </w:p>
    <w:p>
      <w:pPr>
        <w:rPr>
          <w:rFonts w:hint="eastAsia"/>
          <w:sz w:val="21"/>
          <w:szCs w:val="21"/>
        </w:rPr>
      </w:pPr>
      <w:r>
        <w:rPr>
          <w:rFonts w:hint="eastAsia"/>
          <w:sz w:val="21"/>
          <w:szCs w:val="21"/>
        </w:rPr>
        <w:t xml:space="preserve">    上海市场，低金属船用180CST（密度0.98左右，硫含量1.0以内）自提成交估价在3310-3410元/吨；宁波市场，低金属船用180CST（密度0.98左右，硫含量1.0以内）自提成交估价在3310-3400元/吨；南通市场，低金属船用180CST（密度0.98左右，硫含量1.0以内）自提成交估价在3300-3390元/吨，均较昨日持平。</w:t>
      </w: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sz w:val="21"/>
          <w:szCs w:val="21"/>
        </w:rPr>
      </w:pPr>
      <w:r>
        <w:rPr>
          <w:rFonts w:hint="eastAsia"/>
          <w:sz w:val="21"/>
          <w:szCs w:val="21"/>
        </w:rPr>
        <w:t>　</w:t>
      </w:r>
      <w:bookmarkStart w:id="34" w:name="_Toc436380342"/>
      <w:r>
        <w:rPr>
          <w:rFonts w:hint="eastAsia"/>
          <w:sz w:val="21"/>
          <w:szCs w:val="21"/>
        </w:rPr>
        <w:t>　周一（5月8日），燃料油走势平稳，业者心态保守谨慎。</w:t>
      </w:r>
    </w:p>
    <w:p>
      <w:pPr>
        <w:rPr>
          <w:rFonts w:hint="eastAsia"/>
          <w:sz w:val="21"/>
          <w:szCs w:val="21"/>
        </w:rPr>
      </w:pPr>
    </w:p>
    <w:p>
      <w:pPr>
        <w:rPr>
          <w:rFonts w:hint="eastAsia"/>
          <w:sz w:val="21"/>
          <w:szCs w:val="21"/>
        </w:rPr>
      </w:pPr>
      <w:r>
        <w:rPr>
          <w:rFonts w:hint="eastAsia"/>
          <w:sz w:val="21"/>
          <w:szCs w:val="21"/>
        </w:rPr>
        <w:t xml:space="preserve">    进口燃料油市场，美国4月就业数据乐观、沙特称俄罗斯准备加入欧佩克延长减产以缓解油市长期过剩状况的行动，近一周投资者继续担忧库存上升导致全球油价大幅下跌，周五原油期货收盘从五个月低点反弹，纽交所美国原油期货结算价至46.22美元，伦敦洲际交易所全球基准布伦特原油期货结算价至49.1美元。俄罗斯M100成交估价3810-3910元/吨，贴水34-36美元/吨，马瑞原油（含重质油票）成交估价2660-2720元/吨，稀释沥青（沥青票 密度0.98）主流成交价2660-2720元/吨。</w:t>
      </w:r>
    </w:p>
    <w:p>
      <w:pPr>
        <w:rPr>
          <w:rFonts w:hint="eastAsia"/>
          <w:sz w:val="21"/>
          <w:szCs w:val="21"/>
        </w:rPr>
      </w:pPr>
    </w:p>
    <w:p>
      <w:pPr>
        <w:rPr>
          <w:rFonts w:hint="eastAsia"/>
          <w:sz w:val="21"/>
          <w:szCs w:val="21"/>
        </w:rPr>
      </w:pPr>
      <w:r>
        <w:rPr>
          <w:rFonts w:hint="eastAsia"/>
          <w:sz w:val="21"/>
          <w:szCs w:val="21"/>
        </w:rPr>
        <w:t xml:space="preserve">    焦化料市场，周一山东地区优质焦化料（沥青票，密度1.0左右，硫含量1.0左右）市场估价在2600-2700元/吨，渣油票市场估价为2700-2800元/吨，较前一工作日持平，今山东地区减渣报价零星调整，市场购销气氛平平，短期焦化料难寻突出利好影响，预计周内焦化料价格仍有窄幅下滑风险。</w:t>
      </w:r>
    </w:p>
    <w:p>
      <w:pPr>
        <w:rPr>
          <w:rFonts w:hint="eastAsia"/>
          <w:sz w:val="21"/>
          <w:szCs w:val="21"/>
        </w:rPr>
      </w:pPr>
    </w:p>
    <w:p>
      <w:pPr>
        <w:rPr>
          <w:rFonts w:hint="eastAsia"/>
          <w:sz w:val="21"/>
          <w:szCs w:val="21"/>
        </w:rPr>
      </w:pPr>
      <w:r>
        <w:rPr>
          <w:rFonts w:hint="eastAsia"/>
          <w:sz w:val="21"/>
          <w:szCs w:val="21"/>
        </w:rPr>
        <w:t xml:space="preserve">    油浆市场，周一山东地区高密油浆市场成交估价2170-2270元/吨，低密油浆成交估价2250-2350元/吨，较前一工作日持平，今山东地炼油浆报价无明显波动，业者心态延续保守谨慎，市场交投一般，短期推涨动力仍不足。</w:t>
      </w:r>
    </w:p>
    <w:p>
      <w:pPr>
        <w:rPr>
          <w:rFonts w:hint="eastAsia"/>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963"/>
        <w:gridCol w:w="2533"/>
        <w:gridCol w:w="820"/>
        <w:gridCol w:w="964"/>
        <w:gridCol w:w="964"/>
        <w:gridCol w:w="2284"/>
      </w:tblGrid>
      <w:tr>
        <w:tblPrEx>
          <w:tblLayout w:type="fixed"/>
          <w:tblCellMar>
            <w:top w:w="0" w:type="dxa"/>
            <w:left w:w="108" w:type="dxa"/>
            <w:bottom w:w="0" w:type="dxa"/>
            <w:right w:w="108" w:type="dxa"/>
          </w:tblCellMar>
        </w:tblPrEx>
        <w:trPr>
          <w:trHeight w:val="285" w:hRule="atLeast"/>
        </w:trPr>
        <w:tc>
          <w:tcPr>
            <w:tcW w:w="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地区</w:t>
            </w:r>
          </w:p>
        </w:tc>
        <w:tc>
          <w:tcPr>
            <w:tcW w:w="2533"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型号</w:t>
            </w:r>
          </w:p>
        </w:tc>
        <w:tc>
          <w:tcPr>
            <w:tcW w:w="820"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b/>
                <w:bCs/>
                <w:sz w:val="20"/>
                <w:szCs w:val="20"/>
              </w:rPr>
            </w:pPr>
            <w:r>
              <w:rPr>
                <w:rFonts w:hint="eastAsia" w:ascii="宋体" w:hAnsi="宋体" w:eastAsia="宋体" w:cs="宋体"/>
                <w:b/>
                <w:i w:val="0"/>
                <w:color w:val="000000"/>
                <w:kern w:val="0"/>
                <w:sz w:val="20"/>
                <w:szCs w:val="20"/>
                <w:u w:val="none"/>
                <w:lang w:val="en-US" w:eastAsia="zh-CN" w:bidi="ar"/>
              </w:rPr>
              <w:t>涨跌</w:t>
            </w:r>
          </w:p>
        </w:tc>
        <w:tc>
          <w:tcPr>
            <w:tcW w:w="964"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i w:val="0"/>
                <w:color w:val="000000"/>
                <w:kern w:val="0"/>
                <w:sz w:val="20"/>
                <w:szCs w:val="20"/>
                <w:u w:val="none"/>
                <w:lang w:val="en-US" w:eastAsia="zh-CN" w:bidi="ar"/>
              </w:rPr>
              <w:t>5月8日</w:t>
            </w:r>
          </w:p>
        </w:tc>
        <w:tc>
          <w:tcPr>
            <w:tcW w:w="964"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hint="eastAsia" w:eastAsia="宋体"/>
                <w:b/>
                <w:bCs/>
                <w:sz w:val="20"/>
                <w:szCs w:val="20"/>
                <w:lang w:val="en-US" w:eastAsia="zh-CN"/>
              </w:rPr>
            </w:pPr>
            <w:r>
              <w:rPr>
                <w:rFonts w:hint="eastAsia" w:ascii="宋体" w:hAnsi="宋体" w:eastAsia="宋体" w:cs="宋体"/>
                <w:b/>
                <w:i w:val="0"/>
                <w:color w:val="000000"/>
                <w:kern w:val="0"/>
                <w:sz w:val="20"/>
                <w:szCs w:val="20"/>
                <w:u w:val="none"/>
                <w:lang w:val="en-US" w:eastAsia="zh-CN" w:bidi="ar"/>
              </w:rPr>
              <w:t>5月5日</w:t>
            </w:r>
          </w:p>
        </w:tc>
        <w:tc>
          <w:tcPr>
            <w:tcW w:w="2284"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提货方式</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黄埔市场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上期所规格</w:t>
            </w:r>
            <w:r>
              <w:rPr>
                <w:sz w:val="20"/>
                <w:szCs w:val="20"/>
              </w:rPr>
              <w:t>180CST </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3645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3645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库提价（即期）</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船用标准</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3C62EC"/>
                <w:sz w:val="20"/>
                <w:szCs w:val="20"/>
                <w:lang w:val="en-US" w:eastAsia="zh-CN"/>
              </w:rPr>
            </w:pPr>
            <w:r>
              <w:rPr>
                <w:rFonts w:hint="eastAsia" w:ascii="宋体" w:hAnsi="宋体" w:eastAsia="宋体" w:cs="宋体"/>
                <w:i w:val="0"/>
                <w:color w:val="3C62EC"/>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3C62EC"/>
                <w:sz w:val="20"/>
                <w:szCs w:val="20"/>
                <w:lang w:val="en-US" w:eastAsia="zh-CN"/>
              </w:rPr>
            </w:pPr>
            <w:r>
              <w:rPr>
                <w:rFonts w:hint="eastAsia" w:ascii="宋体" w:hAnsi="宋体" w:eastAsia="宋体" w:cs="宋体"/>
                <w:i w:val="0"/>
                <w:color w:val="3C62EC"/>
                <w:kern w:val="0"/>
                <w:sz w:val="20"/>
                <w:szCs w:val="20"/>
                <w:u w:val="none"/>
                <w:lang w:val="en-US" w:eastAsia="zh-CN" w:bidi="ar"/>
              </w:rPr>
              <w:t>3370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3C62EC"/>
                <w:sz w:val="20"/>
                <w:szCs w:val="20"/>
                <w:lang w:val="en-US" w:eastAsia="zh-CN"/>
              </w:rPr>
            </w:pPr>
            <w:r>
              <w:rPr>
                <w:rFonts w:hint="eastAsia" w:ascii="宋体" w:hAnsi="宋体" w:eastAsia="宋体" w:cs="宋体"/>
                <w:i w:val="0"/>
                <w:color w:val="3C62EC"/>
                <w:kern w:val="0"/>
                <w:sz w:val="20"/>
                <w:szCs w:val="20"/>
                <w:u w:val="none"/>
                <w:lang w:val="en-US" w:eastAsia="zh-CN" w:bidi="ar"/>
              </w:rPr>
              <w:t>3420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库提价（广州</w:t>
            </w:r>
            <w:r>
              <w:rPr>
                <w:sz w:val="20"/>
                <w:szCs w:val="20"/>
              </w:rPr>
              <w:t>-</w:t>
            </w:r>
            <w:r>
              <w:rPr>
                <w:rFonts w:hint="eastAsia"/>
                <w:sz w:val="20"/>
                <w:szCs w:val="20"/>
              </w:rPr>
              <w:t>海口）</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沥青料</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2735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2735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新加坡混调高硫</w:t>
            </w:r>
            <w:r>
              <w:rPr>
                <w:sz w:val="20"/>
                <w:szCs w:val="20"/>
              </w:rPr>
              <w:t>180CST</w:t>
            </w:r>
            <w:r>
              <w:rPr>
                <w:rFonts w:hint="eastAsia"/>
                <w:sz w:val="20"/>
                <w:szCs w:val="20"/>
              </w:rPr>
              <w:t>贴水</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rPr>
            </w:pPr>
            <w:r>
              <w:rPr>
                <w:rFonts w:hint="eastAsia" w:ascii="宋体" w:hAnsi="宋体" w:eastAsia="宋体" w:cs="宋体"/>
                <w:i w:val="0"/>
                <w:color w:val="000000"/>
                <w:kern w:val="0"/>
                <w:sz w:val="20"/>
                <w:szCs w:val="20"/>
                <w:u w:val="none"/>
                <w:lang w:val="en-US" w:eastAsia="zh-CN" w:bidi="ar"/>
              </w:rPr>
              <w:t>6-8</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8</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-6</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296.25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302.25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380CST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4743E5"/>
                <w:sz w:val="20"/>
                <w:szCs w:val="20"/>
                <w:lang w:val="en-US" w:eastAsia="zh-CN"/>
              </w:rPr>
            </w:pPr>
            <w:r>
              <w:rPr>
                <w:rFonts w:hint="eastAsia" w:ascii="宋体" w:hAnsi="宋体" w:eastAsia="宋体" w:cs="宋体"/>
                <w:i w:val="0"/>
                <w:color w:val="0000FF"/>
                <w:kern w:val="0"/>
                <w:sz w:val="20"/>
                <w:szCs w:val="20"/>
                <w:u w:val="none"/>
                <w:lang w:val="en-US" w:eastAsia="zh-CN" w:bidi="ar"/>
              </w:rPr>
              <w:t>-7.25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lang w:val="en-US" w:eastAsia="zh-CN"/>
              </w:rPr>
            </w:pPr>
            <w:r>
              <w:rPr>
                <w:rFonts w:hint="eastAsia" w:ascii="宋体" w:hAnsi="宋体" w:eastAsia="宋体" w:cs="宋体"/>
                <w:i w:val="0"/>
                <w:color w:val="0000FF"/>
                <w:kern w:val="0"/>
                <w:sz w:val="20"/>
                <w:szCs w:val="20"/>
                <w:u w:val="none"/>
                <w:lang w:val="en-US" w:eastAsia="zh-CN" w:bidi="ar"/>
              </w:rPr>
              <w:t xml:space="preserve"> 283.00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4743E5"/>
                <w:sz w:val="20"/>
                <w:szCs w:val="20"/>
                <w:lang w:val="en-US" w:eastAsia="zh-CN"/>
              </w:rPr>
            </w:pPr>
            <w:r>
              <w:rPr>
                <w:rFonts w:hint="eastAsia" w:ascii="宋体" w:hAnsi="宋体" w:eastAsia="宋体" w:cs="宋体"/>
                <w:i w:val="0"/>
                <w:color w:val="0000FF"/>
                <w:kern w:val="0"/>
                <w:sz w:val="20"/>
                <w:szCs w:val="20"/>
                <w:u w:val="none"/>
                <w:lang w:val="en-US" w:eastAsia="zh-CN" w:bidi="ar"/>
              </w:rPr>
              <w:t xml:space="preserve"> 290.25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华东市场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3415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3415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上海国产混调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3570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3570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宁波国产混调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3550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3550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南通国产混调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3450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3450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342"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nil"/>
              <w:right w:val="nil"/>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4743E5"/>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rPr>
            </w:pPr>
            <w:r>
              <w:rPr>
                <w:rFonts w:hint="eastAsia" w:ascii="宋体" w:hAnsi="宋体" w:eastAsia="宋体" w:cs="宋体"/>
                <w:i w:val="0"/>
                <w:color w:val="000000"/>
                <w:kern w:val="0"/>
                <w:sz w:val="20"/>
                <w:szCs w:val="20"/>
                <w:u w:val="none"/>
                <w:lang w:val="en-US" w:eastAsia="zh-CN" w:bidi="ar"/>
              </w:rPr>
              <w:t>3940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3940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single" w:color="auto" w:sz="4" w:space="0"/>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35-39</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cs="宋体"/>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39</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华东（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国产调和</w:t>
            </w:r>
            <w:r>
              <w:rPr>
                <w:sz w:val="20"/>
                <w:szCs w:val="20"/>
              </w:rPr>
              <w:t>250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2850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auto"/>
                <w:kern w:val="0"/>
                <w:sz w:val="20"/>
                <w:szCs w:val="20"/>
                <w:u w:val="none"/>
                <w:lang w:val="en-US" w:eastAsia="zh-CN" w:bidi="ar"/>
              </w:rPr>
              <w:t>2850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华东油浆</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000000"/>
                <w:kern w:val="0"/>
                <w:sz w:val="20"/>
                <w:szCs w:val="20"/>
                <w:u w:val="none"/>
                <w:lang w:val="en-US" w:eastAsia="zh-CN" w:bidi="ar"/>
              </w:rPr>
              <w:t>2370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山东市场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直馏高硫</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rPr>
            </w:pPr>
            <w:r>
              <w:rPr>
                <w:rFonts w:hint="eastAsia" w:ascii="宋体" w:hAnsi="宋体" w:eastAsia="宋体" w:cs="宋体"/>
                <w:i w:val="0"/>
                <w:color w:val="000000"/>
                <w:kern w:val="0"/>
                <w:sz w:val="20"/>
                <w:szCs w:val="20"/>
                <w:u w:val="none"/>
                <w:lang w:val="en-US" w:eastAsia="zh-CN" w:bidi="ar"/>
              </w:rPr>
              <w:t>3710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3710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rPr>
            </w:pPr>
            <w:r>
              <w:rPr>
                <w:rFonts w:hint="eastAsia" w:ascii="宋体" w:hAnsi="宋体" w:eastAsia="宋体" w:cs="宋体"/>
                <w:i w:val="0"/>
                <w:color w:val="000000"/>
                <w:kern w:val="0"/>
                <w:sz w:val="20"/>
                <w:szCs w:val="20"/>
                <w:u w:val="none"/>
                <w:lang w:val="en-US" w:eastAsia="zh-CN" w:bidi="ar"/>
              </w:rPr>
              <w:t>3910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3910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34-36</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cs="宋体"/>
                <w:i w:val="0"/>
                <w:color w:val="000000"/>
                <w:kern w:val="0"/>
                <w:sz w:val="20"/>
                <w:szCs w:val="20"/>
                <w:u w:val="none"/>
                <w:lang w:val="en-US" w:eastAsia="zh-CN" w:bidi="ar"/>
              </w:rPr>
              <w:t>34-</w:t>
            </w:r>
            <w:r>
              <w:rPr>
                <w:rFonts w:hint="eastAsia" w:ascii="宋体" w:hAnsi="宋体" w:eastAsia="宋体" w:cs="宋体"/>
                <w:i w:val="0"/>
                <w:color w:val="000000"/>
                <w:kern w:val="0"/>
                <w:sz w:val="20"/>
                <w:szCs w:val="20"/>
                <w:u w:val="none"/>
                <w:lang w:val="en-US" w:eastAsia="zh-CN" w:bidi="ar"/>
              </w:rPr>
              <w:t>36</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山东（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焦化原料（带沥青票）</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2800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000000"/>
                <w:kern w:val="0"/>
                <w:sz w:val="20"/>
                <w:szCs w:val="20"/>
                <w:u w:val="none"/>
                <w:lang w:val="en-US" w:eastAsia="zh-CN" w:bidi="ar"/>
              </w:rPr>
              <w:t>2800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油浆（密度密度</w:t>
            </w:r>
            <w:r>
              <w:rPr>
                <w:sz w:val="20"/>
                <w:szCs w:val="20"/>
              </w:rPr>
              <w:t>1.03-1.06</w:t>
            </w:r>
            <w:r>
              <w:rPr>
                <w:rFonts w:hint="eastAsia"/>
                <w:sz w:val="20"/>
                <w:szCs w:val="20"/>
              </w:rPr>
              <w:t>沥青票）</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2350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2350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w:t>
            </w:r>
            <w:r>
              <w:rPr>
                <w:sz w:val="20"/>
                <w:szCs w:val="20"/>
              </w:rPr>
              <w:t>1.1</w:t>
            </w:r>
            <w:r>
              <w:rPr>
                <w:rFonts w:hint="eastAsia"/>
                <w:sz w:val="20"/>
                <w:szCs w:val="20"/>
              </w:rPr>
              <w:t>左右沥青票</w:t>
            </w:r>
            <w:r>
              <w:rPr>
                <w:rFonts w:hint="eastAsia"/>
                <w:sz w:val="21"/>
                <w:szCs w:val="21"/>
              </w:rPr>
              <w: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2270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2270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nil"/>
              <w:right w:val="single" w:color="auto" w:sz="4" w:space="0"/>
            </w:tcBorders>
            <w:vAlign w:val="center"/>
          </w:tcPr>
          <w:p>
            <w:pPr>
              <w:rPr>
                <w:rFonts w:cs="Times New Roman"/>
                <w:b/>
                <w:bCs/>
                <w:sz w:val="20"/>
                <w:szCs w:val="20"/>
              </w:rPr>
            </w:pPr>
          </w:p>
        </w:tc>
        <w:tc>
          <w:tcPr>
            <w:tcW w:w="2533" w:type="dxa"/>
            <w:tcBorders>
              <w:top w:val="nil"/>
              <w:left w:val="nil"/>
              <w:bottom w:val="nil"/>
              <w:right w:val="single" w:color="auto" w:sz="4" w:space="0"/>
            </w:tcBorders>
            <w:vAlign w:val="center"/>
          </w:tcPr>
          <w:p>
            <w:pPr>
              <w:jc w:val="center"/>
              <w:rPr>
                <w:rFonts w:cs="Times New Roman"/>
                <w:sz w:val="20"/>
                <w:szCs w:val="20"/>
              </w:rPr>
            </w:pPr>
            <w:r>
              <w:rPr>
                <w:rFonts w:hint="eastAsia"/>
                <w:sz w:val="20"/>
                <w:szCs w:val="20"/>
              </w:rPr>
              <w:t>常渣（密度</w:t>
            </w:r>
            <w:r>
              <w:rPr>
                <w:sz w:val="20"/>
                <w:szCs w:val="20"/>
              </w:rPr>
              <w:t>0.95</w:t>
            </w:r>
            <w:r>
              <w:rPr>
                <w:rFonts w:hint="eastAsia"/>
                <w:sz w:val="20"/>
                <w:szCs w:val="20"/>
              </w:rPr>
              <w:t>左右）</w:t>
            </w:r>
          </w:p>
        </w:tc>
        <w:tc>
          <w:tcPr>
            <w:tcW w:w="820" w:type="dxa"/>
            <w:tcBorders>
              <w:top w:val="nil"/>
              <w:left w:val="nil"/>
              <w:bottom w:val="nil"/>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N/A</w:t>
            </w:r>
          </w:p>
        </w:tc>
        <w:tc>
          <w:tcPr>
            <w:tcW w:w="964"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N/A</w:t>
            </w:r>
          </w:p>
        </w:tc>
        <w:tc>
          <w:tcPr>
            <w:tcW w:w="2284" w:type="dxa"/>
            <w:tcBorders>
              <w:top w:val="nil"/>
              <w:left w:val="nil"/>
              <w:bottom w:val="nil"/>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1658" w:hRule="atLeast"/>
        </w:trPr>
        <w:tc>
          <w:tcPr>
            <w:tcW w:w="963" w:type="dxa"/>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7565" w:type="dxa"/>
            <w:gridSpan w:val="5"/>
            <w:tcBorders>
              <w:top w:val="nil"/>
              <w:left w:val="nil"/>
              <w:bottom w:val="single" w:color="auto" w:sz="4" w:space="0"/>
              <w:right w:val="single" w:color="auto" w:sz="4" w:space="0"/>
            </w:tcBorders>
            <w:vAlign w:val="center"/>
          </w:tcPr>
          <w:p>
            <w:pPr>
              <w:jc w:val="center"/>
              <w:rPr>
                <w:rFonts w:hint="eastAsia"/>
                <w:sz w:val="20"/>
                <w:szCs w:val="20"/>
              </w:rPr>
            </w:pPr>
            <w:r>
              <w:rPr>
                <w:rFonts w:hint="eastAsia"/>
                <w:sz w:val="21"/>
                <w:szCs w:val="21"/>
              </w:rPr>
              <w:t>备注：</w:t>
            </w:r>
            <w:r>
              <w:rPr>
                <w:sz w:val="21"/>
                <w:szCs w:val="21"/>
              </w:rPr>
              <w:t>1</w:t>
            </w:r>
            <w:r>
              <w:rPr>
                <w:rFonts w:hint="eastAsia"/>
                <w:sz w:val="21"/>
                <w:szCs w:val="21"/>
              </w:rPr>
              <w:t>自</w:t>
            </w:r>
            <w:r>
              <w:rPr>
                <w:sz w:val="21"/>
                <w:szCs w:val="21"/>
              </w:rPr>
              <w:t>2015</w:t>
            </w:r>
            <w:r>
              <w:rPr>
                <w:rFonts w:hint="eastAsia"/>
                <w:sz w:val="21"/>
                <w:szCs w:val="21"/>
              </w:rPr>
              <w:t>年</w:t>
            </w:r>
            <w:r>
              <w:rPr>
                <w:sz w:val="21"/>
                <w:szCs w:val="21"/>
              </w:rPr>
              <w:t>6</w:t>
            </w:r>
            <w:r>
              <w:rPr>
                <w:rFonts w:hint="eastAsia"/>
                <w:sz w:val="21"/>
                <w:szCs w:val="21"/>
              </w:rPr>
              <w:t>月</w:t>
            </w:r>
            <w:r>
              <w:rPr>
                <w:sz w:val="21"/>
                <w:szCs w:val="21"/>
              </w:rPr>
              <w:t>10</w:t>
            </w:r>
            <w:r>
              <w:rPr>
                <w:rFonts w:hint="eastAsia"/>
                <w:sz w:val="21"/>
                <w:szCs w:val="21"/>
              </w:rPr>
              <w:t>日起，新增进口稀释沥青估价，该估价含沥青票，为港口库船提价格。</w:t>
            </w:r>
            <w:r>
              <w:rPr>
                <w:rFonts w:cs="Times New Roman"/>
                <w:sz w:val="21"/>
                <w:szCs w:val="21"/>
              </w:rPr>
              <w:br w:type="textWrapping"/>
            </w:r>
            <w:r>
              <w:rPr>
                <w:sz w:val="21"/>
                <w:szCs w:val="21"/>
              </w:rPr>
              <w:t xml:space="preserve">      2</w:t>
            </w:r>
            <w:r>
              <w:rPr>
                <w:rFonts w:hint="eastAsia"/>
                <w:sz w:val="21"/>
                <w:szCs w:val="21"/>
              </w:rPr>
              <w:t>、近期山东地区常渣外销量稀少，于</w:t>
            </w:r>
            <w:r>
              <w:rPr>
                <w:sz w:val="21"/>
                <w:szCs w:val="21"/>
              </w:rPr>
              <w:t>2016</w:t>
            </w:r>
            <w:r>
              <w:rPr>
                <w:rFonts w:hint="eastAsia"/>
                <w:sz w:val="21"/>
                <w:szCs w:val="21"/>
              </w:rPr>
              <w:t>年</w:t>
            </w:r>
            <w:r>
              <w:rPr>
                <w:sz w:val="21"/>
                <w:szCs w:val="21"/>
              </w:rPr>
              <w:t>3</w:t>
            </w:r>
            <w:r>
              <w:rPr>
                <w:rFonts w:hint="eastAsia"/>
                <w:sz w:val="21"/>
                <w:szCs w:val="21"/>
              </w:rPr>
              <w:t>月</w:t>
            </w:r>
            <w:r>
              <w:rPr>
                <w:sz w:val="21"/>
                <w:szCs w:val="21"/>
              </w:rPr>
              <w:t>22</w:t>
            </w:r>
            <w:r>
              <w:rPr>
                <w:rFonts w:hint="eastAsia"/>
                <w:sz w:val="21"/>
                <w:szCs w:val="21"/>
              </w:rPr>
              <w:t>日起暂停常渣成交估价。</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cs="Times New Roman"/>
                <w:sz w:val="20"/>
                <w:szCs w:val="20"/>
              </w:rPr>
            </w:pPr>
            <w:r>
              <w:rPr>
                <w:sz w:val="20"/>
                <w:szCs w:val="20"/>
              </w:rPr>
              <w:t>3</w:t>
            </w:r>
            <w:r>
              <w:rPr>
                <w:rFonts w:hint="eastAsia"/>
                <w:sz w:val="20"/>
                <w:szCs w:val="20"/>
                <w:lang w:val="en-US" w:eastAsia="zh-CN"/>
              </w:rPr>
              <w:t>823</w:t>
            </w:r>
          </w:p>
        </w:tc>
        <w:tc>
          <w:tcPr>
            <w:tcW w:w="733" w:type="dxa"/>
            <w:vAlign w:val="center"/>
          </w:tcPr>
          <w:p>
            <w:pPr>
              <w:jc w:val="right"/>
              <w:rPr>
                <w:rFonts w:cs="Times New Roman"/>
                <w:sz w:val="20"/>
                <w:szCs w:val="20"/>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38</w:t>
            </w:r>
            <w:r>
              <w:rPr>
                <w:rFonts w:hint="eastAsia"/>
                <w:sz w:val="20"/>
                <w:szCs w:val="20"/>
                <w:lang w:val="en-US" w:eastAsia="zh-CN"/>
              </w:rPr>
              <w:t>16</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w:t>
            </w:r>
          </w:p>
        </w:tc>
        <w:tc>
          <w:tcPr>
            <w:tcW w:w="732" w:type="dxa"/>
            <w:vAlign w:val="center"/>
          </w:tcPr>
          <w:p>
            <w:pPr>
              <w:jc w:val="right"/>
              <w:rPr>
                <w:rFonts w:cs="Times New Roman"/>
                <w:sz w:val="20"/>
                <w:szCs w:val="20"/>
              </w:rPr>
            </w:pPr>
            <w:r>
              <w:rPr>
                <w:sz w:val="20"/>
                <w:szCs w:val="20"/>
              </w:rPr>
              <w:t>10</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5</w:t>
            </w:r>
            <w:r>
              <w:rPr>
                <w:sz w:val="20"/>
                <w:szCs w:val="20"/>
              </w:rPr>
              <w:t>May17</w:t>
            </w:r>
          </w:p>
        </w:tc>
      </w:tr>
    </w:tbl>
    <w:p>
      <w:pPr>
        <w:rPr>
          <w:rFonts w:ascii="Arial" w:hAnsi="Arial" w:cs="Arial"/>
          <w:sz w:val="21"/>
          <w:szCs w:val="21"/>
        </w:rPr>
      </w:pPr>
    </w:p>
    <w:p>
      <w:pPr>
        <w:rPr>
          <w:rFonts w:hint="eastAsia" w:ascii="Arial" w:hAnsi="Arial"/>
          <w:sz w:val="21"/>
          <w:szCs w:val="21"/>
        </w:rPr>
      </w:pPr>
    </w:p>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wordWrap w:val="0"/>
        <w:spacing w:after="90" w:line="288" w:lineRule="auto"/>
        <w:ind w:firstLine="480"/>
        <w:rPr>
          <w:rFonts w:cs="Times New Roman"/>
        </w:rPr>
      </w:pPr>
      <w:bookmarkStart w:id="37" w:name="_Toc436380345"/>
      <w:r>
        <w:rPr>
          <w:rFonts w:hint="eastAsia" w:ascii="Arial" w:hAnsi="Arial"/>
          <w:sz w:val="21"/>
          <w:szCs w:val="21"/>
        </w:rPr>
        <w:t>周</w:t>
      </w:r>
      <w:r>
        <w:rPr>
          <w:rFonts w:hint="eastAsia" w:ascii="Arial" w:hAnsi="Arial"/>
          <w:sz w:val="21"/>
          <w:szCs w:val="21"/>
          <w:lang w:eastAsia="zh-CN"/>
        </w:rPr>
        <w:t>一</w:t>
      </w:r>
      <w:r>
        <w:rPr>
          <w:rFonts w:hint="eastAsia" w:ascii="Arial" w:hAnsi="Arial"/>
          <w:sz w:val="21"/>
          <w:szCs w:val="21"/>
        </w:rPr>
        <w:t>上期所燃料油期货无成交</w:t>
      </w:r>
    </w:p>
    <w:p>
      <w:pPr>
        <w:wordWrap w:val="0"/>
        <w:spacing w:after="90" w:line="288" w:lineRule="auto"/>
        <w:ind w:firstLine="480"/>
        <w:rPr>
          <w:rFonts w:cs="Times New Roman"/>
          <w:sz w:val="21"/>
          <w:szCs w:val="21"/>
        </w:rPr>
      </w:pPr>
    </w:p>
    <w:p>
      <w:pPr>
        <w:pStyle w:val="23"/>
        <w:rPr>
          <w:rFonts w:cs="Times New Roman"/>
          <w:sz w:val="20"/>
          <w:szCs w:val="20"/>
        </w:rPr>
      </w:pPr>
    </w:p>
    <w:p>
      <w:pPr>
        <w:pStyle w:val="23"/>
        <w:rPr>
          <w:rFonts w:cs="Times New Roman"/>
          <w:sz w:val="20"/>
          <w:szCs w:val="20"/>
        </w:rPr>
      </w:pPr>
    </w:p>
    <w:p>
      <w:pPr>
        <w:pStyle w:val="23"/>
        <w:rPr>
          <w:rFonts w:cs="Times New Roman"/>
          <w:sz w:val="20"/>
          <w:szCs w:val="20"/>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Layout w:type="fixed"/>
          <w:tblCellMar>
            <w:top w:w="0" w:type="dxa"/>
            <w:left w:w="108" w:type="dxa"/>
            <w:bottom w:w="0" w:type="dxa"/>
            <w:right w:w="108" w:type="dxa"/>
          </w:tblCellMar>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5</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4,500.00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泓富</w:t>
            </w:r>
            <w:r>
              <w:rPr>
                <w:rFonts w:ascii="Calibri" w:hAnsi="Calibri" w:cs="Calibri"/>
                <w:sz w:val="20"/>
                <w:szCs w:val="20"/>
              </w:rPr>
              <w:t>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6</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龙光</w:t>
            </w:r>
            <w:r>
              <w:rPr>
                <w:rFonts w:ascii="Calibri" w:hAnsi="Calibri" w:cs="Calibri"/>
                <w:sz w:val="20"/>
                <w:szCs w:val="20"/>
              </w:rPr>
              <w:t>688</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3</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2,978.00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大富</w:t>
            </w:r>
            <w:r>
              <w:rPr>
                <w:rFonts w:ascii="Calibri" w:hAnsi="Calibri" w:cs="Calibri"/>
                <w:sz w:val="20"/>
                <w:szCs w:val="20"/>
              </w:rPr>
              <w:t>1</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4</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珠海</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湛海供</w:t>
            </w:r>
            <w:r>
              <w:rPr>
                <w:rFonts w:ascii="Calibri" w:hAnsi="Calibri" w:cs="Calibri"/>
                <w:sz w:val="20"/>
                <w:szCs w:val="20"/>
              </w:rPr>
              <w:t>166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10</w:t>
            </w:r>
            <w:r>
              <w:rPr>
                <w:rFonts w:hint="eastAsia"/>
                <w:b/>
                <w:bCs/>
                <w:sz w:val="20"/>
                <w:szCs w:val="20"/>
              </w:rPr>
              <w:t>，</w:t>
            </w:r>
            <w:r>
              <w:rPr>
                <w:b/>
                <w:bCs/>
                <w:sz w:val="20"/>
                <w:szCs w:val="20"/>
              </w:rPr>
              <w:t>478.00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7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Layout w:type="fixed"/>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12</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40,000.00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462"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安定号</w:t>
            </w:r>
          </w:p>
        </w:tc>
        <w:tc>
          <w:tcPr>
            <w:tcW w:w="1080"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混调</w:t>
            </w:r>
          </w:p>
        </w:tc>
      </w:tr>
      <w:tr>
        <w:tblPrEx>
          <w:tblLayout w:type="fixed"/>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40</w:t>
            </w:r>
            <w:r>
              <w:rPr>
                <w:rFonts w:hint="eastAsia"/>
                <w:b/>
                <w:bCs/>
                <w:sz w:val="20"/>
                <w:szCs w:val="20"/>
              </w:rPr>
              <w:t>，</w:t>
            </w:r>
            <w:r>
              <w:rPr>
                <w:b/>
                <w:bCs/>
                <w:sz w:val="20"/>
                <w:szCs w:val="20"/>
              </w:rPr>
              <w:t>000.00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62"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80"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528" w:type="dxa"/>
        <w:tblInd w:w="-106" w:type="dxa"/>
        <w:tblLayout w:type="fixed"/>
        <w:tblCellMar>
          <w:top w:w="0" w:type="dxa"/>
          <w:left w:w="108" w:type="dxa"/>
          <w:bottom w:w="0" w:type="dxa"/>
          <w:right w:w="108" w:type="dxa"/>
        </w:tblCellMar>
      </w:tblPr>
      <w:tblGrid>
        <w:gridCol w:w="785"/>
        <w:gridCol w:w="1421"/>
        <w:gridCol w:w="1220"/>
        <w:gridCol w:w="1216"/>
        <w:gridCol w:w="1605"/>
        <w:gridCol w:w="1172"/>
        <w:gridCol w:w="1109"/>
      </w:tblGrid>
      <w:tr>
        <w:tblPrEx>
          <w:tblLayout w:type="fixed"/>
        </w:tblPrEx>
        <w:trPr>
          <w:trHeight w:val="300" w:hRule="atLeast"/>
        </w:trPr>
        <w:tc>
          <w:tcPr>
            <w:tcW w:w="785" w:type="dxa"/>
            <w:tcBorders>
              <w:top w:val="single" w:color="auto" w:sz="8" w:space="0"/>
              <w:left w:val="single" w:color="auto" w:sz="8" w:space="0"/>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220"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216"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605"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172"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09"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1</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w:t>
            </w:r>
            <w:r>
              <w:rPr>
                <w:sz w:val="20"/>
                <w:szCs w:val="20"/>
              </w:rPr>
              <w:t>4</w:t>
            </w:r>
            <w:r>
              <w:rPr>
                <w:rFonts w:hint="eastAsia"/>
                <w:sz w:val="20"/>
                <w:szCs w:val="20"/>
              </w:rPr>
              <w:t>日</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12,000.00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直馏油</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月中旬</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67,000.00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稀释沥青</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8" w:space="0"/>
              <w:right w:val="single" w:color="auto" w:sz="8" w:space="0"/>
            </w:tcBorders>
            <w:vAlign w:val="center"/>
          </w:tcPr>
          <w:p>
            <w:pPr>
              <w:jc w:val="center"/>
              <w:rPr>
                <w:rFonts w:cs="Times New Roman"/>
                <w:b/>
                <w:bCs/>
                <w:sz w:val="20"/>
                <w:szCs w:val="20"/>
              </w:rPr>
            </w:pPr>
            <w:r>
              <w:rPr>
                <w:rFonts w:hint="eastAsia"/>
                <w:b/>
                <w:bCs/>
                <w:sz w:val="20"/>
                <w:szCs w:val="20"/>
              </w:rPr>
              <w:t>合计</w:t>
            </w:r>
          </w:p>
        </w:tc>
        <w:tc>
          <w:tcPr>
            <w:tcW w:w="1220" w:type="dxa"/>
            <w:tcBorders>
              <w:top w:val="nil"/>
              <w:left w:val="nil"/>
              <w:bottom w:val="single" w:color="auto" w:sz="8" w:space="0"/>
              <w:right w:val="single" w:color="auto" w:sz="8" w:space="0"/>
            </w:tcBorders>
            <w:vAlign w:val="center"/>
          </w:tcPr>
          <w:p>
            <w:pPr>
              <w:jc w:val="center"/>
              <w:rPr>
                <w:rFonts w:cs="Times New Roman"/>
                <w:b/>
                <w:bCs/>
                <w:sz w:val="20"/>
                <w:szCs w:val="20"/>
              </w:rPr>
            </w:pPr>
            <w:r>
              <w:rPr>
                <w:b/>
                <w:bCs/>
                <w:sz w:val="20"/>
                <w:szCs w:val="20"/>
              </w:rPr>
              <w:t>79,000.00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r>
    </w:tbl>
    <w:p>
      <w:pPr>
        <w:rPr>
          <w:rFonts w:cs="Times New Roman"/>
          <w:sz w:val="21"/>
          <w:szCs w:val="21"/>
        </w:rPr>
      </w:pPr>
    </w:p>
    <w:p>
      <w:pPr>
        <w:rPr>
          <w:rFonts w:cs="Times New Roman"/>
          <w:sz w:val="21"/>
          <w:szCs w:val="21"/>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40" w:name="_Toc436380349"/>
      <w:r>
        <w:rPr>
          <w:rFonts w:hint="eastAsia" w:ascii="宋体" w:hAnsi="宋体" w:eastAsia="宋体" w:cs="宋体"/>
          <w:sz w:val="24"/>
          <w:szCs w:val="24"/>
        </w:rPr>
        <w:t>山东原油船期预报</w:t>
      </w:r>
      <w:bookmarkEnd w:id="40"/>
    </w:p>
    <w:tbl>
      <w:tblPr>
        <w:tblStyle w:val="29"/>
        <w:tblW w:w="8528" w:type="dxa"/>
        <w:tblInd w:w="-106" w:type="dxa"/>
        <w:tblLayout w:type="fixed"/>
        <w:tblCellMar>
          <w:top w:w="0" w:type="dxa"/>
          <w:left w:w="108" w:type="dxa"/>
          <w:bottom w:w="0" w:type="dxa"/>
          <w:right w:w="108" w:type="dxa"/>
        </w:tblCellMar>
      </w:tblPr>
      <w:tblGrid>
        <w:gridCol w:w="394"/>
        <w:gridCol w:w="937"/>
        <w:gridCol w:w="1112"/>
        <w:gridCol w:w="1630"/>
        <w:gridCol w:w="1748"/>
        <w:gridCol w:w="1817"/>
        <w:gridCol w:w="890"/>
      </w:tblGrid>
      <w:tr>
        <w:tblPrEx>
          <w:tblLayout w:type="fixed"/>
          <w:tblCellMar>
            <w:top w:w="0" w:type="dxa"/>
            <w:left w:w="108" w:type="dxa"/>
            <w:bottom w:w="0" w:type="dxa"/>
            <w:right w:w="108" w:type="dxa"/>
          </w:tblCellMar>
        </w:tblPrEx>
        <w:trPr>
          <w:trHeight w:val="525" w:hRule="atLeast"/>
        </w:trPr>
        <w:tc>
          <w:tcPr>
            <w:tcW w:w="394" w:type="dxa"/>
            <w:tcBorders>
              <w:top w:val="single" w:color="auto" w:sz="8" w:space="0"/>
              <w:left w:val="single" w:color="auto" w:sz="8" w:space="0"/>
              <w:bottom w:val="single" w:color="auto" w:sz="8" w:space="0"/>
              <w:right w:val="single" w:color="auto" w:sz="8" w:space="0"/>
            </w:tcBorders>
            <w:shd w:val="clear" w:color="auto" w:fill="99CCFF"/>
            <w:vAlign w:val="bottom"/>
          </w:tcPr>
          <w:p>
            <w:pPr>
              <w:jc w:val="center"/>
              <w:rPr>
                <w:rFonts w:cs="Times New Roman"/>
                <w:sz w:val="21"/>
                <w:szCs w:val="21"/>
              </w:rPr>
            </w:pPr>
            <w:bookmarkStart w:id="41" w:name="_PictureBullets"/>
            <w:r>
              <w:rPr>
                <w:rFonts w:hint="eastAsia"/>
                <w:sz w:val="21"/>
                <w:szCs w:val="21"/>
              </w:rPr>
              <w:t>序号</w:t>
            </w:r>
          </w:p>
        </w:tc>
        <w:tc>
          <w:tcPr>
            <w:tcW w:w="93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预计到港日期</w:t>
            </w:r>
          </w:p>
        </w:tc>
        <w:tc>
          <w:tcPr>
            <w:tcW w:w="1112"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数量（吨）</w:t>
            </w:r>
          </w:p>
        </w:tc>
        <w:tc>
          <w:tcPr>
            <w:tcW w:w="163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航线</w:t>
            </w:r>
          </w:p>
        </w:tc>
        <w:tc>
          <w:tcPr>
            <w:tcW w:w="1748"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船名</w:t>
            </w:r>
          </w:p>
        </w:tc>
        <w:tc>
          <w:tcPr>
            <w:tcW w:w="181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接货公司</w:t>
            </w:r>
          </w:p>
        </w:tc>
        <w:tc>
          <w:tcPr>
            <w:tcW w:w="89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备注</w:t>
            </w:r>
          </w:p>
        </w:tc>
      </w:tr>
      <w:tr>
        <w:tblPrEx>
          <w:tblLayout w:type="fixed"/>
          <w:tblCellMar>
            <w:top w:w="0" w:type="dxa"/>
            <w:left w:w="108" w:type="dxa"/>
            <w:bottom w:w="0" w:type="dxa"/>
            <w:right w:w="108" w:type="dxa"/>
          </w:tblCellMar>
        </w:tblPrEx>
        <w:trPr>
          <w:trHeight w:val="255" w:hRule="atLeast"/>
        </w:trPr>
        <w:tc>
          <w:tcPr>
            <w:tcW w:w="394"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w:t>
            </w:r>
          </w:p>
        </w:tc>
        <w:tc>
          <w:tcPr>
            <w:tcW w:w="93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81,000.00</w:t>
            </w:r>
          </w:p>
        </w:tc>
        <w:tc>
          <w:tcPr>
            <w:tcW w:w="163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莱州港</w:t>
            </w:r>
          </w:p>
        </w:tc>
        <w:tc>
          <w:tcPr>
            <w:tcW w:w="1748"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MARIA PRINC</w:t>
            </w:r>
          </w:p>
        </w:tc>
        <w:tc>
          <w:tcPr>
            <w:tcW w:w="181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印度尼西亚</w:t>
            </w:r>
            <w:r>
              <w:rPr>
                <w:rFonts w:ascii="Calibri" w:hAnsi="Calibri" w:cs="Calibri"/>
                <w:sz w:val="20"/>
                <w:szCs w:val="20"/>
              </w:rPr>
              <w:t>/</w:t>
            </w:r>
            <w:r>
              <w:rPr>
                <w:rFonts w:hint="eastAsia"/>
                <w:sz w:val="20"/>
                <w:szCs w:val="20"/>
              </w:rPr>
              <w:t>龙口</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PEAK SPIRIT</w:t>
            </w:r>
            <w:r>
              <w:rPr>
                <w:rFonts w:hint="eastAsia"/>
                <w:sz w:val="20"/>
                <w:szCs w:val="20"/>
              </w:rPr>
              <w:t>匹克精神</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N/A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华星石化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ALMI SPIRIT</w:t>
            </w:r>
            <w:r>
              <w:rPr>
                <w:rFonts w:hint="eastAsia"/>
                <w:sz w:val="20"/>
                <w:szCs w:val="20"/>
              </w:rPr>
              <w:t>阿米尔</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264,000.00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董家口港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ETHOS</w:t>
            </w:r>
            <w:r>
              <w:rPr>
                <w:rFonts w:hint="eastAsia"/>
                <w:sz w:val="20"/>
                <w:szCs w:val="20"/>
              </w:rPr>
              <w:t>吉恩</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齐润化工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SUEZ RAJAN</w:t>
            </w:r>
            <w:r>
              <w:rPr>
                <w:rFonts w:hint="eastAsia"/>
                <w:sz w:val="20"/>
                <w:szCs w:val="20"/>
              </w:rPr>
              <w:t>苏雷加</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114,000.00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新通洋</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10</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榆林湾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玉皇化工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278,000.00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科威特</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HECT</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NECTAR</w:t>
            </w:r>
            <w:r>
              <w:rPr>
                <w:rFonts w:hint="eastAsia"/>
                <w:sz w:val="20"/>
                <w:szCs w:val="20"/>
              </w:rPr>
              <w:t>纳卡达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宙斯</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38,000.00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NEW ODYSSEY</w:t>
            </w:r>
            <w:r>
              <w:rPr>
                <w:rFonts w:hint="eastAsia"/>
                <w:sz w:val="20"/>
                <w:szCs w:val="20"/>
              </w:rPr>
              <w:t>凯途</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中国化工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SEEB</w:t>
            </w:r>
            <w:r>
              <w:rPr>
                <w:rFonts w:hint="eastAsia"/>
                <w:sz w:val="20"/>
                <w:szCs w:val="20"/>
              </w:rPr>
              <w:t>喜报</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Shaybah</w:t>
            </w:r>
            <w:r>
              <w:rPr>
                <w:rFonts w:hint="eastAsia"/>
                <w:sz w:val="20"/>
                <w:szCs w:val="20"/>
              </w:rPr>
              <w:t>沙巴</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16</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平池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17</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Cap Guillaume</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NORDIC DISC</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271,000.00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董家口港</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NEW COURAGE</w:t>
            </w:r>
            <w:r>
              <w:rPr>
                <w:rFonts w:hint="eastAsia"/>
                <w:sz w:val="20"/>
                <w:szCs w:val="20"/>
              </w:rPr>
              <w:t>凯升</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OCEAN PEGAS</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SAPPORO PRI</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利津石化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25</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BRIGHTOIL L</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93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合计</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2,752,000.00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1"/>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73571F2"/>
    <w:rsid w:val="09A22A9A"/>
    <w:rsid w:val="204400A1"/>
    <w:rsid w:val="216F6706"/>
    <w:rsid w:val="2C466334"/>
    <w:rsid w:val="2E124748"/>
    <w:rsid w:val="442365D5"/>
    <w:rsid w:val="508E7A28"/>
    <w:rsid w:val="62C148D1"/>
    <w:rsid w:val="63211DE2"/>
    <w:rsid w:val="64DD49F1"/>
    <w:rsid w:val="6A4867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2017-05-09T03:40:49Z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