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gradient" on="t" color2="#CCECFF" angle="-135" focus="100%" focussize="0f,0f" focusposition="32768f,32768f"/>
    </v:background>
  </w:background>
  <w:body>
    <w:p>
      <w:pPr>
        <w:ind w:firstLine="31680" w:firstLineChars="250"/>
        <w:rPr>
          <w:rFonts w:cs="Times New Roman"/>
        </w:rPr>
      </w:pPr>
      <w:r>
        <w:pict>
          <v:shape id="图片 65" o:spid="_x0000_s1028" o:spt="75" alt="椹板-图3" type="#_x0000_t75" style="position:absolute;left:0pt;margin-left:-79.35pt;margin-top:-65.55pt;height:280.8pt;width:595pt;mso-position-vertical-relative:line;z-index:-251656192;mso-width-relative:page;mso-height-relative:page;" filled="f" o:preferrelative="t" stroked="f" coordsize="21600,21600">
            <v:path/>
            <v:fill on="f" focussize="0,0"/>
            <v:stroke on="f" joinstyle="miter"/>
            <v:imagedata r:id="rId7" o:title=""/>
            <o:lock v:ext="edit" aspectratio="t"/>
          </v:shape>
        </w:pict>
      </w:r>
      <w:r>
        <w:pict>
          <v:shape id="_x0000_s1029" o:spid="_x0000_s1029" o:spt="202" type="#_x0000_t202" style="position:absolute;left:0pt;margin-left:36pt;margin-top:0pt;height:70.2pt;width:378pt;z-index:251658240;mso-width-relative:page;mso-height-relative:page;" filled="f" stroked="f" coordsize="21600,21600">
            <v:path/>
            <v:fill on="f" focussize="0,0"/>
            <v:stroke on="f" joinstyle="miter"/>
            <v:imagedata o:title=""/>
            <o:lock v:ext="edit"/>
            <v:textbox>
              <w:txbxContent>
                <w:p>
                  <w:pPr>
                    <w:ind w:firstLine="31680" w:firstLineChars="49"/>
                    <w:rPr>
                      <w:rFonts w:ascii="Verdana" w:hAnsi="Verdana" w:eastAsia="黑体" w:cs="Times New Roman"/>
                      <w:b/>
                      <w:bCs/>
                      <w:color w:val="000080"/>
                      <w:sz w:val="36"/>
                      <w:szCs w:val="36"/>
                      <w:u w:val="double"/>
                    </w:rPr>
                  </w:pPr>
                  <w:r>
                    <w:rPr>
                      <w:rFonts w:ascii="Verdana" w:hAnsi="Verdana" w:eastAsia="黑体" w:cs="Verdana"/>
                      <w:b/>
                      <w:bCs/>
                      <w:color w:val="000080"/>
                      <w:sz w:val="36"/>
                      <w:szCs w:val="36"/>
                      <w:u w:val="double"/>
                    </w:rPr>
                    <w:t xml:space="preserve">   Chinaccm</w:t>
                  </w:r>
                  <w:r>
                    <w:rPr>
                      <w:rFonts w:ascii="Verdana" w:hAnsi="Verdana" w:eastAsia="黑体" w:cs="Verdana"/>
                      <w:b/>
                      <w:bCs/>
                      <w:color w:val="FF0000"/>
                      <w:sz w:val="44"/>
                      <w:szCs w:val="44"/>
                      <w:u w:val="double"/>
                    </w:rPr>
                    <w:t xml:space="preserve"> VIP</w:t>
                  </w:r>
                  <w:r>
                    <w:rPr>
                      <w:rFonts w:ascii="Verdana" w:hAnsi="Verdana" w:eastAsia="黑体" w:cs="Verdana"/>
                      <w:b/>
                      <w:bCs/>
                      <w:color w:val="000080"/>
                      <w:sz w:val="36"/>
                      <w:szCs w:val="36"/>
                      <w:u w:val="double"/>
                    </w:rPr>
                    <w:t xml:space="preserve">day report   </w:t>
                  </w:r>
                </w:p>
                <w:p>
                  <w:pPr>
                    <w:jc w:val="center"/>
                    <w:rPr>
                      <w:rFonts w:ascii="Verdana" w:hAnsi="Verdana" w:eastAsia="黑体" w:cs="Times New Roman"/>
                      <w:b/>
                      <w:bCs/>
                      <w:color w:val="FF6600"/>
                      <w:sz w:val="36"/>
                      <w:szCs w:val="36"/>
                      <w:u w:val="double"/>
                    </w:rPr>
                  </w:pPr>
                  <w:r>
                    <w:rPr>
                      <w:rFonts w:hint="eastAsia"/>
                      <w:b/>
                      <w:bCs/>
                      <w:color w:val="FF6600"/>
                    </w:rPr>
                    <w:t>中华商务网服务日报</w:t>
                  </w:r>
                </w:p>
              </w:txbxContent>
            </v:textbox>
          </v:shape>
        </w:pict>
      </w:r>
    </w:p>
    <w:p>
      <w:pPr>
        <w:ind w:firstLine="31680" w:firstLineChars="250"/>
        <w:rPr>
          <w:rFonts w:cs="Times New Roman"/>
        </w:rPr>
      </w:pPr>
    </w:p>
    <w:p>
      <w:pPr>
        <w:rPr>
          <w:rFonts w:cs="Times New Roman"/>
        </w:rPr>
      </w:pPr>
    </w:p>
    <w:p>
      <w:pPr>
        <w:rPr>
          <w:rFonts w:cs="Times New Roman"/>
        </w:rPr>
      </w:pPr>
    </w:p>
    <w:p>
      <w:pPr>
        <w:rPr>
          <w:rFonts w:cs="Times New Roman"/>
        </w:rPr>
      </w:pPr>
    </w:p>
    <w:p>
      <w:pPr>
        <w:tabs>
          <w:tab w:val="right" w:pos="8312"/>
        </w:tabs>
        <w:rPr>
          <w:rFonts w:cs="Times New Roman"/>
        </w:rPr>
      </w:pPr>
      <w:r>
        <w:pict>
          <v:shape id="_x0000_s1030" o:spid="_x0000_s1030" o:spt="202" type="#_x0000_t202" style="position:absolute;left:0pt;margin-left:126pt;margin-top:0pt;height:39pt;width:198pt;z-index:251658240;mso-width-relative:page;mso-height-relative:page;" filled="f" stroked="f" coordsize="21600,21600">
            <v:path/>
            <v:fill on="f" focussize="0,0"/>
            <v:stroke on="f" joinstyle="miter"/>
            <v:imagedata o:title=""/>
            <o:lock v:ext="edit"/>
            <v:textbox>
              <w:txbxContent>
                <w:p>
                  <w:pPr>
                    <w:jc w:val="center"/>
                    <w:rPr>
                      <w:rFonts w:ascii="黑体" w:eastAsia="黑体" w:cs="Times New Roman"/>
                      <w:b/>
                      <w:bCs/>
                      <w:color w:val="993366"/>
                    </w:rPr>
                  </w:pPr>
                  <w:r>
                    <w:rPr>
                      <w:rFonts w:ascii="黑体" w:eastAsia="黑体" w:cs="黑体"/>
                      <w:b/>
                      <w:bCs/>
                      <w:color w:val="993366"/>
                    </w:rPr>
                    <w:t>2017</w:t>
                  </w:r>
                  <w:r>
                    <w:rPr>
                      <w:rFonts w:hint="eastAsia" w:ascii="黑体" w:eastAsia="黑体" w:cs="黑体"/>
                      <w:b/>
                      <w:bCs/>
                      <w:color w:val="993366"/>
                    </w:rPr>
                    <w:t>年</w:t>
                  </w:r>
                  <w:r>
                    <w:rPr>
                      <w:rFonts w:hint="eastAsia" w:ascii="黑体" w:eastAsia="黑体" w:cs="黑体"/>
                      <w:b/>
                      <w:bCs/>
                      <w:color w:val="993366"/>
                      <w:lang w:val="en-US" w:eastAsia="zh-CN"/>
                    </w:rPr>
                    <w:t>6</w:t>
                  </w:r>
                  <w:r>
                    <w:rPr>
                      <w:rFonts w:hint="eastAsia" w:ascii="黑体" w:eastAsia="黑体" w:cs="黑体"/>
                      <w:b/>
                      <w:bCs/>
                      <w:color w:val="993366"/>
                    </w:rPr>
                    <w:t>月</w:t>
                  </w:r>
                  <w:r>
                    <w:rPr>
                      <w:rFonts w:hint="eastAsia" w:ascii="黑体" w:eastAsia="黑体" w:cs="黑体"/>
                      <w:b/>
                      <w:bCs/>
                      <w:color w:val="993366"/>
                      <w:lang w:val="en-US" w:eastAsia="zh-CN"/>
                    </w:rPr>
                    <w:t>1</w:t>
                  </w:r>
                  <w:r>
                    <w:rPr>
                      <w:rFonts w:hint="eastAsia" w:ascii="黑体" w:eastAsia="黑体" w:cs="黑体"/>
                      <w:b/>
                      <w:bCs/>
                      <w:color w:val="993366"/>
                    </w:rPr>
                    <w:t>日</w:t>
                  </w:r>
                </w:p>
              </w:txbxContent>
            </v:textbox>
          </v:shape>
        </w:pict>
      </w:r>
      <w:r>
        <w:rPr>
          <w:rFonts w:cs="Times New Roman"/>
        </w:rPr>
        <w:tab/>
      </w:r>
    </w:p>
    <w:p>
      <w:pPr>
        <w:rPr>
          <w:rFonts w:cs="Times New Roman"/>
        </w:rPr>
      </w:pPr>
    </w:p>
    <w:p>
      <w:pPr>
        <w:rPr>
          <w:rFonts w:cs="Times New Roman"/>
        </w:rPr>
      </w:pPr>
    </w:p>
    <w:p>
      <w:pPr>
        <w:rPr>
          <w:rFonts w:cs="Times New Roman"/>
        </w:rPr>
      </w:pPr>
    </w:p>
    <w:p>
      <w:pPr>
        <w:rPr>
          <w:rFonts w:cs="Times New Roman"/>
        </w:rPr>
      </w:pPr>
      <w:r>
        <w:pict>
          <v:shape id="_x0000_s1031" o:spid="_x0000_s1031" o:spt="202" type="#_x0000_t202" style="position:absolute;left:0pt;margin-left:99pt;margin-top:7.8pt;height:39pt;width:306pt;z-index:251656192;mso-width-relative:page;mso-height-relative:page;" filled="f" stroked="f" coordsize="21600,21600">
            <v:path/>
            <v:fill on="f" focussize="0,0"/>
            <v:stroke on="f" joinstyle="miter"/>
            <v:imagedata o:title=""/>
            <o:lock v:ext="edit"/>
            <v:textbox>
              <w:txbxContent>
                <w:p>
                  <w:pPr>
                    <w:rPr>
                      <w:rFonts w:cs="Times New Roman"/>
                      <w:b/>
                      <w:bCs/>
                      <w:color w:val="993366"/>
                    </w:rPr>
                  </w:pPr>
                  <w:r>
                    <w:rPr>
                      <w:rFonts w:hint="eastAsia"/>
                      <w:b/>
                      <w:bCs/>
                      <w:color w:val="993366"/>
                    </w:rPr>
                    <w:t>主办单位：中华商务网石油产业频道</w:t>
                  </w:r>
                </w:p>
                <w:p>
                  <w:pPr>
                    <w:rPr>
                      <w:b/>
                      <w:bCs/>
                      <w:color w:val="993366"/>
                    </w:rPr>
                  </w:pPr>
                  <w:r>
                    <w:rPr>
                      <w:rFonts w:hint="eastAsia"/>
                      <w:b/>
                      <w:bCs/>
                      <w:color w:val="993366"/>
                    </w:rPr>
                    <w:t>石油产业：</w:t>
                  </w:r>
                  <w:r>
                    <w:rPr>
                      <w:b/>
                      <w:bCs/>
                      <w:color w:val="993366"/>
                    </w:rPr>
                    <w:t>http://www.chinaccm.com/shiyou.asp</w:t>
                  </w:r>
                </w:p>
              </w:txbxContent>
            </v:textbox>
          </v:shape>
        </w:pict>
      </w:r>
    </w:p>
    <w:p>
      <w:pPr>
        <w:rPr>
          <w:rFonts w:cs="Times New Roman"/>
        </w:rPr>
      </w:pPr>
    </w:p>
    <w:p>
      <w:pPr>
        <w:rPr>
          <w:rFonts w:cs="Times New Roman"/>
        </w:rPr>
      </w:pPr>
      <w:r>
        <w:pict>
          <v:shape id="图片 63" o:spid="_x0000_s1032" o:spt="75" alt="椹板-图2" type="#_x0000_t75" style="position:absolute;left:0pt;margin-left:-101.5pt;margin-top:6.1pt;height:577.2pt;width:369pt;mso-position-vertical-relative:line;z-index:-251655168;mso-width-relative:page;mso-height-relative:page;" filled="f" o:preferrelative="t" stroked="f" coordsize="21600,21600">
            <v:path/>
            <v:fill on="f" focussize="0,0"/>
            <v:stroke on="f" joinstyle="miter"/>
            <v:imagedata r:id="rId8" o:title=""/>
            <o:lock v:ext="edit" aspectratio="t"/>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r>
        <w:pict>
          <v:shape id="_x0000_s1033" o:spid="_x0000_s1033" o:spt="202" type="#_x0000_t202" style="position:absolute;left:0pt;margin-left:63pt;margin-top:7.8pt;height:317.75pt;width:76.8pt;mso-wrap-style:none;z-index:251654144;mso-width-relative:page;mso-height-relative:page;" filled="f" stroked="f" coordsize="21600,21600">
            <v:path/>
            <v:fill on="f" focussize="0,0"/>
            <v:stroke on="f" joinstyle="miter"/>
            <v:imagedata o:title=""/>
            <o:lock v:ext="edit"/>
            <v:textbox style="layout-flow:vertical-ideographic;mso-fit-shape-to-text:t;">
              <w:txbxContent>
                <w:p>
                  <w:pPr>
                    <w:rPr>
                      <w:rFonts w:cs="Times New Roman"/>
                    </w:rPr>
                  </w:pPr>
                  <w:r>
                    <w:rPr>
                      <w:rFonts w:cs="Times New Roman"/>
                      <w:b/>
                      <w:bCs/>
                      <w:color w:val="0000FF"/>
                      <w:sz w:val="72"/>
                      <w:szCs w:val="72"/>
                    </w:rPr>
                    <w:pict>
                      <v:shape id="_x0000_i1025" o:spt="136" type="#_x0000_t136" style="height:56.25pt;width:307.5pt;rotation:5898240f;" fillcolor="#800000" filled="t" stroked="t" coordsize="21600,21600">
                        <v:path/>
                        <v:fill on="t" focussize="0,0"/>
                        <v:stroke color="#800000"/>
                        <v:imagedata o:title=""/>
                        <o:lock v:ext="edit"/>
                        <v:textpath on="t" fitshape="t" fitpath="t" trim="t" xscale="f" string="燃料油市场日报" style="font-family:华文细黑;font-size:32pt;v-rotate-letters:t;v-text-align:center;"/>
                        <v:shadow on="t" color="#B2B2B2" opacity="52429f"/>
                        <w10:wrap type="none"/>
                        <w10:anchorlock/>
                      </v:shape>
                    </w:pict>
                  </w:r>
                </w:p>
              </w:txbxContent>
            </v:textbox>
          </v:shape>
        </w:pict>
      </w:r>
    </w:p>
    <w:p>
      <w:pPr>
        <w:rPr>
          <w:rFonts w:cs="Times New Roman"/>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r>
        <w:pict>
          <v:shape id="_x0000_s1034" o:spid="_x0000_s1034" o:spt="202" type="#_x0000_t202" style="position:absolute;left:0pt;margin-left:288pt;margin-top:0pt;height:319.8pt;width:198pt;z-index:251657216;mso-width-relative:page;mso-height-relative:page;" filled="f" stroked="f" coordsize="21600,21600">
            <v:path/>
            <v:fill on="f" focussize="0,0"/>
            <v:stroke on="f" joinstyle="miter"/>
            <v:imagedata o:title=""/>
            <o:lock v:ext="edit"/>
            <v:textbox>
              <w:txbxContent>
                <w:p>
                  <w:pPr>
                    <w:pStyle w:val="2"/>
                    <w:tabs>
                      <w:tab w:val="left" w:pos="2100"/>
                    </w:tabs>
                    <w:spacing w:before="120" w:after="0" w:line="240" w:lineRule="auto"/>
                    <w:rPr>
                      <w:rFonts w:ascii="黑体" w:hAnsi="黑体" w:eastAsia="黑体" w:cs="Times New Roman"/>
                      <w:color w:val="FF0000"/>
                      <w:sz w:val="28"/>
                      <w:szCs w:val="28"/>
                    </w:rPr>
                  </w:pPr>
                  <w:r>
                    <w:rPr>
                      <w:rFonts w:hint="eastAsia" w:ascii="黑体" w:hAnsi="黑体" w:eastAsia="黑体" w:cs="黑体"/>
                      <w:color w:val="FF0000"/>
                      <w:sz w:val="28"/>
                      <w:szCs w:val="28"/>
                    </w:rPr>
                    <w:t>声明</w:t>
                  </w:r>
                </w:p>
                <w:p>
                  <w:pPr>
                    <w:ind w:firstLine="31680" w:firstLineChars="196"/>
                    <w:rPr>
                      <w:rFonts w:cs="Times New Roman"/>
                      <w:color w:val="FF0000"/>
                    </w:rPr>
                  </w:pPr>
                  <w:r>
                    <w:rPr>
                      <w:rFonts w:hint="eastAsia"/>
                      <w:color w:val="FF0000"/>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pPr>
                    <w:ind w:firstLine="31680" w:firstLineChars="196"/>
                    <w:rPr>
                      <w:rFonts w:cs="Times New Roman"/>
                      <w:color w:val="FF0000"/>
                    </w:rPr>
                  </w:pPr>
                  <w:r>
                    <w:rPr>
                      <w:rFonts w:hint="eastAsia"/>
                      <w:color w:val="FF0000"/>
                    </w:rPr>
                    <w:t>因产品的市场行情及其价格会因不同市场因素而变化，因此本报告仅提供参考，并不干预或参与客户的商业决策或决定，对于客户如何使用此报告本公司不负任何责任。</w:t>
                  </w:r>
                </w:p>
                <w:p>
                  <w:pPr>
                    <w:rPr>
                      <w:rFonts w:ascii="黑体" w:eastAsia="黑体" w:cs="Times New Roman"/>
                      <w:b/>
                      <w:bCs/>
                      <w:color w:val="993366"/>
                    </w:rPr>
                  </w:pPr>
                </w:p>
              </w:txbxContent>
            </v:textbox>
          </v:shape>
        </w:pict>
      </w: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b/>
          <w:bCs/>
          <w:color w:val="FF0000"/>
        </w:rPr>
      </w:pPr>
    </w:p>
    <w:p>
      <w:pPr>
        <w:ind w:firstLine="31680" w:firstLineChars="196"/>
        <w:rPr>
          <w:rFonts w:cs="Times New Roman"/>
        </w:rPr>
      </w:pPr>
    </w:p>
    <w:p>
      <w:pPr>
        <w:rPr>
          <w:rFonts w:cs="Times New Roman"/>
        </w:rPr>
      </w:pPr>
    </w:p>
    <w:p>
      <w:pPr>
        <w:rPr>
          <w:rFonts w:cs="Times New Roman"/>
        </w:rPr>
      </w:pPr>
    </w:p>
    <w:p>
      <w:pPr>
        <w:rPr>
          <w:rFonts w:cs="Times New Roman"/>
        </w:rPr>
      </w:pPr>
      <w:r>
        <w:pict>
          <v:shape id="_x0000_s1036" o:spid="_x0000_s1036" o:spt="202" type="#_x0000_t202" style="position:absolute;left:0pt;margin-left:-64.5pt;margin-top:1.6pt;height:101.4pt;width:315pt;z-index:251655168;mso-width-relative:page;mso-height-relative:page;" filled="f" stroked="f" coordsize="21600,21600">
            <v:path/>
            <v:fill on="f" focussize="0,0"/>
            <v:stroke on="f" joinstyle="miter"/>
            <v:imagedata o:title=""/>
            <o:lock v:ext="edit"/>
            <v:textbox>
              <w:txbxContent>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800080"/>
                    </w:rPr>
                  </w:pPr>
                  <w:r>
                    <w:rPr>
                      <w:rFonts w:hint="eastAsia" w:ascii="黑体" w:eastAsia="黑体" w:cs="黑体"/>
                      <w:b/>
                      <w:bCs/>
                      <w:color w:val="800080"/>
                    </w:rPr>
                    <w:t>燃料油频道：</w:t>
                  </w:r>
                  <w:r>
                    <w:fldChar w:fldCharType="begin"/>
                  </w:r>
                  <w:r>
                    <w:instrText xml:space="preserve"> HYPERLINK "http://www.chinaccm.com/20/default.asp" </w:instrText>
                  </w:r>
                  <w:r>
                    <w:fldChar w:fldCharType="separate"/>
                  </w:r>
                  <w:r>
                    <w:rPr>
                      <w:rStyle w:val="28"/>
                      <w:rFonts w:ascii="黑体" w:eastAsia="黑体" w:cs="黑体"/>
                      <w:b/>
                      <w:bCs/>
                      <w:color w:val="800080"/>
                    </w:rPr>
                    <w:t>http://www.chinaccm.com/20/default.asp</w:t>
                  </w:r>
                  <w:r>
                    <w:rPr>
                      <w:rStyle w:val="28"/>
                      <w:rFonts w:ascii="黑体" w:eastAsia="黑体" w:cs="黑体"/>
                      <w:b/>
                      <w:bCs/>
                      <w:color w:val="800080"/>
                    </w:rPr>
                    <w:fldChar w:fldCharType="end"/>
                  </w:r>
                </w:p>
                <w:p>
                  <w:pPr>
                    <w:rPr>
                      <w:rFonts w:ascii="黑体" w:eastAsia="黑体" w:cs="Times New Roman"/>
                      <w:b/>
                      <w:bCs/>
                      <w:color w:val="800080"/>
                    </w:rPr>
                  </w:pPr>
                  <w:r>
                    <w:rPr>
                      <w:rFonts w:hint="eastAsia" w:ascii="黑体" w:eastAsia="黑体" w:cs="黑体"/>
                      <w:b/>
                      <w:bCs/>
                      <w:color w:val="800080"/>
                    </w:rPr>
                    <w:t>栏目编辑：</w:t>
                  </w:r>
                  <w:r>
                    <w:rPr>
                      <w:rFonts w:hint="eastAsia" w:ascii="黑体" w:eastAsia="黑体" w:cs="黑体"/>
                      <w:b/>
                      <w:bCs/>
                      <w:color w:val="800080"/>
                      <w:lang w:eastAsia="zh-CN"/>
                    </w:rPr>
                    <w:t>邱超榜</w:t>
                  </w:r>
                </w:p>
                <w:p>
                  <w:pPr>
                    <w:rPr>
                      <w:rFonts w:ascii="黑体" w:eastAsia="黑体" w:cs="Times New Roman"/>
                      <w:b/>
                      <w:bCs/>
                      <w:color w:val="800080"/>
                    </w:rPr>
                  </w:pPr>
                  <w:r>
                    <w:rPr>
                      <w:rFonts w:hint="eastAsia" w:ascii="黑体" w:eastAsia="黑体" w:cs="黑体"/>
                      <w:b/>
                      <w:bCs/>
                      <w:color w:val="800080"/>
                    </w:rPr>
                    <w:t>邮箱：</w:t>
                  </w:r>
                  <w:r>
                    <w:rPr>
                      <w:rFonts w:hint="eastAsia" w:ascii="黑体" w:hAnsi="黑体" w:eastAsia="黑体" w:cs="黑体"/>
                      <w:b w:val="0"/>
                      <w:bCs w:val="0"/>
                      <w:i w:val="0"/>
                      <w:caps w:val="0"/>
                      <w:color w:val="000000"/>
                      <w:spacing w:val="0"/>
                      <w:sz w:val="24"/>
                      <w:szCs w:val="24"/>
                      <w:shd w:val="clear" w:fill="FFFFFF"/>
                    </w:rPr>
                    <w:t>qcb@chinaccm.com</w:t>
                  </w:r>
                  <w:r>
                    <w:rPr>
                      <w:rFonts w:ascii="微软雅黑" w:hAnsi="微软雅黑" w:eastAsia="微软雅黑" w:cs="微软雅黑"/>
                      <w:b w:val="0"/>
                      <w:i w:val="0"/>
                      <w:caps w:val="0"/>
                      <w:color w:val="000000"/>
                      <w:spacing w:val="0"/>
                      <w:sz w:val="24"/>
                      <w:szCs w:val="24"/>
                      <w:shd w:val="clear" w:fill="FFFFFF"/>
                    </w:rPr>
                    <w:t> </w:t>
                  </w:r>
                  <w:r>
                    <w:rPr>
                      <w:rFonts w:ascii="黑体" w:eastAsia="黑体" w:cs="Times New Roman"/>
                      <w:b/>
                      <w:bCs/>
                      <w:color w:val="800080"/>
                    </w:rPr>
                    <w:br w:type="textWrapping"/>
                  </w:r>
                </w:p>
                <w:p>
                  <w:pPr>
                    <w:rPr>
                      <w:rFonts w:ascii="黑体" w:eastAsia="黑体" w:cs="Times New Roman"/>
                      <w:b/>
                      <w:bCs/>
                      <w:color w:val="800080"/>
                    </w:rPr>
                  </w:pPr>
                </w:p>
                <w:p>
                  <w:pPr>
                    <w:rPr>
                      <w:rFonts w:ascii="黑体" w:eastAsia="黑体" w:cs="Times New Roman"/>
                      <w:b/>
                      <w:bCs/>
                      <w:color w:val="800080"/>
                    </w:rPr>
                  </w:pPr>
                </w:p>
                <w:p>
                  <w:pPr>
                    <w:rPr>
                      <w:rFonts w:ascii="黑体" w:eastAsia="黑体" w:cs="Times New Roman"/>
                      <w:b/>
                      <w:bCs/>
                      <w:color w:val="993366"/>
                    </w:rPr>
                  </w:pPr>
                </w:p>
                <w:p>
                  <w:pPr>
                    <w:rPr>
                      <w:rFonts w:ascii="黑体" w:eastAsia="黑体" w:cs="Times New Roman"/>
                      <w:b/>
                      <w:bCs/>
                      <w:color w:val="993366"/>
                    </w:rPr>
                  </w:pPr>
                </w:p>
              </w:txbxContent>
            </v:textbox>
          </v:shape>
        </w:pict>
      </w:r>
      <w:r>
        <w:pict>
          <v:shape id="图片 69" o:spid="_x0000_s1035" o:spt="75" alt="椹板-图4" type="#_x0000_t75" style="position:absolute;left:0pt;margin-left:144pt;margin-top:7.8pt;height:194pt;width:362pt;mso-position-vertical-relative:line;mso-wrap-distance-left:9pt;mso-wrap-distance-right:9pt;z-index:-251657216;mso-width-relative:page;mso-height-relative:page;" filled="f" o:preferrelative="t" stroked="f" coordsize="21600,21600" wrapcoords="-45 0 -45 21517 21600 21517 21600 0 -45 0">
            <v:path/>
            <v:fill on="f" focussize="0,0"/>
            <v:stroke on="f" joinstyle="miter"/>
            <v:imagedata r:id="rId9" o:title=""/>
            <o:lock v:ext="edit" aspectratio="t"/>
            <w10:wrap type="through"/>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center"/>
        <w:rPr>
          <w:rFonts w:cs="Times New Roman"/>
          <w:b/>
          <w:bCs/>
          <w:sz w:val="32"/>
          <w:szCs w:val="32"/>
        </w:rPr>
      </w:pPr>
      <w:r>
        <w:rPr>
          <w:rFonts w:hint="eastAsia"/>
          <w:b/>
          <w:bCs/>
          <w:sz w:val="32"/>
          <w:szCs w:val="32"/>
        </w:rPr>
        <w:t>目录</w:t>
      </w:r>
    </w:p>
    <w:p>
      <w:pPr>
        <w:pStyle w:val="16"/>
        <w:rPr>
          <w:rFonts w:ascii="Times New Roman" w:hAnsi="Times New Roman" w:cs="Times New Roman"/>
          <w:b w:val="0"/>
          <w:bCs w:val="0"/>
          <w:color w:val="auto"/>
          <w:kern w:val="2"/>
          <w:sz w:val="21"/>
          <w:szCs w:val="21"/>
        </w:rPr>
      </w:pPr>
      <w:bookmarkStart w:id="0" w:name="_Toc283387074"/>
      <w:r>
        <w:fldChar w:fldCharType="begin"/>
      </w:r>
      <w:r>
        <w:instrText xml:space="preserve"> TOC \o "1-3" \h \z \u </w:instrText>
      </w:r>
      <w:r>
        <w:fldChar w:fldCharType="separate"/>
      </w:r>
      <w:r>
        <w:fldChar w:fldCharType="begin"/>
      </w:r>
      <w:r>
        <w:instrText xml:space="preserve"> HYPERLINK \l "_Toc436380329" </w:instrText>
      </w:r>
      <w:r>
        <w:fldChar w:fldCharType="separate"/>
      </w:r>
      <w:r>
        <w:rPr>
          <w:rStyle w:val="28"/>
          <w:rFonts w:hint="eastAsia"/>
        </w:rPr>
        <w:t>一、国际燃料油市场行情</w:t>
      </w:r>
      <w:r>
        <w:rPr>
          <w:rFonts w:cs="Times New Roman"/>
        </w:rPr>
        <w:tab/>
      </w:r>
      <w:r>
        <w:fldChar w:fldCharType="begin"/>
      </w:r>
      <w:r>
        <w:instrText xml:space="preserve"> PAGEREF _Toc436380329 \h </w:instrText>
      </w:r>
      <w:r>
        <w:fldChar w:fldCharType="separate"/>
      </w:r>
      <w:r>
        <w:t>3</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"_Toc436380330" </w:instrText>
      </w:r>
      <w:r>
        <w:fldChar w:fldCharType="separate"/>
      </w:r>
      <w:r>
        <w:rPr>
          <w:rStyle w:val="28"/>
        </w:rPr>
        <w:t xml:space="preserve">1.1  </w:t>
      </w:r>
      <w:r>
        <w:rPr>
          <w:rStyle w:val="28"/>
          <w:rFonts w:hint="eastAsia"/>
        </w:rPr>
        <w:t>国际燃料油市场动态</w:t>
      </w:r>
      <w:r>
        <w:rPr>
          <w:rFonts w:cs="Times New Roman"/>
        </w:rPr>
        <w:tab/>
      </w:r>
      <w:r>
        <w:fldChar w:fldCharType="begin"/>
      </w:r>
      <w:r>
        <w:instrText xml:space="preserve"> PAGEREF _Toc436380330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"_Toc436380331" </w:instrText>
      </w:r>
      <w:r>
        <w:fldChar w:fldCharType="separate"/>
      </w:r>
      <w:r>
        <w:rPr>
          <w:rStyle w:val="28"/>
        </w:rPr>
        <w:t>1.2</w:t>
      </w:r>
      <w:r>
        <w:rPr>
          <w:rFonts w:ascii="Times New Roman" w:hAnsi="Times New Roman" w:cs="Times New Roman"/>
          <w:kern w:val="2"/>
          <w:sz w:val="21"/>
          <w:szCs w:val="21"/>
        </w:rPr>
        <w:tab/>
      </w:r>
      <w:r>
        <w:rPr>
          <w:rStyle w:val="28"/>
          <w:rFonts w:hint="eastAsia"/>
        </w:rPr>
        <w:t>新加坡燃料油市场价格</w:t>
      </w:r>
      <w:r>
        <w:rPr>
          <w:rFonts w:cs="Times New Roman"/>
        </w:rPr>
        <w:tab/>
      </w:r>
      <w:r>
        <w:fldChar w:fldCharType="begin"/>
      </w:r>
      <w:r>
        <w:instrText xml:space="preserve"> PAGEREF _Toc436380331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"_Toc436380332" </w:instrText>
      </w:r>
      <w:r>
        <w:fldChar w:fldCharType="separate"/>
      </w:r>
      <w:r>
        <w:rPr>
          <w:rStyle w:val="28"/>
        </w:rPr>
        <w:t>1.3</w:t>
      </w:r>
      <w:r>
        <w:rPr>
          <w:rFonts w:ascii="Times New Roman" w:hAnsi="Times New Roman" w:cs="Times New Roman"/>
          <w:kern w:val="2"/>
          <w:sz w:val="21"/>
          <w:szCs w:val="21"/>
        </w:rPr>
        <w:tab/>
      </w:r>
      <w:r>
        <w:rPr>
          <w:rStyle w:val="28"/>
          <w:rFonts w:hint="eastAsia"/>
        </w:rPr>
        <w:t>新加坡燃料油纸货价格</w:t>
      </w:r>
      <w:r>
        <w:rPr>
          <w:rFonts w:cs="Times New Roman"/>
        </w:rPr>
        <w:tab/>
      </w:r>
      <w:r>
        <w:fldChar w:fldCharType="begin"/>
      </w:r>
      <w:r>
        <w:instrText xml:space="preserve"> PAGEREF _Toc436380332 \h </w:instrText>
      </w:r>
      <w:r>
        <w:fldChar w:fldCharType="separate"/>
      </w:r>
      <w:r>
        <w:t>3</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"_Toc436380333" </w:instrText>
      </w:r>
      <w:r>
        <w:fldChar w:fldCharType="separate"/>
      </w:r>
      <w:r>
        <w:rPr>
          <w:rStyle w:val="28"/>
        </w:rPr>
        <w:t>1.4</w:t>
      </w:r>
      <w:r>
        <w:rPr>
          <w:rFonts w:ascii="Times New Roman" w:hAnsi="Times New Roman" w:cs="Times New Roman"/>
          <w:kern w:val="2"/>
          <w:sz w:val="21"/>
          <w:szCs w:val="21"/>
        </w:rPr>
        <w:tab/>
      </w:r>
      <w:r>
        <w:rPr>
          <w:rStyle w:val="28"/>
          <w:rFonts w:hint="eastAsia"/>
        </w:rPr>
        <w:t>新加坡燃料油黄埔到岸价</w:t>
      </w:r>
      <w:r>
        <w:rPr>
          <w:rFonts w:cs="Times New Roman"/>
        </w:rPr>
        <w:tab/>
      </w:r>
      <w:r>
        <w:fldChar w:fldCharType="begin"/>
      </w:r>
      <w:r>
        <w:instrText xml:space="preserve"> PAGEREF _Toc436380333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"_Toc436380334" </w:instrText>
      </w:r>
      <w:r>
        <w:fldChar w:fldCharType="separate"/>
      </w:r>
      <w:r>
        <w:rPr>
          <w:rStyle w:val="28"/>
        </w:rPr>
        <w:t>1.5</w:t>
      </w:r>
      <w:r>
        <w:rPr>
          <w:rFonts w:ascii="Times New Roman" w:hAnsi="Times New Roman" w:cs="Times New Roman"/>
          <w:kern w:val="2"/>
          <w:sz w:val="21"/>
          <w:szCs w:val="21"/>
        </w:rPr>
        <w:tab/>
      </w:r>
      <w:r>
        <w:rPr>
          <w:rStyle w:val="28"/>
          <w:rFonts w:hint="eastAsia"/>
        </w:rPr>
        <w:t>韩国燃料油市场价格</w:t>
      </w:r>
      <w:r>
        <w:rPr>
          <w:rFonts w:cs="Times New Roman"/>
        </w:rPr>
        <w:tab/>
      </w:r>
      <w:r>
        <w:fldChar w:fldCharType="begin"/>
      </w:r>
      <w:r>
        <w:instrText xml:space="preserve"> PAGEREF _Toc436380334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"_Toc436380335" </w:instrText>
      </w:r>
      <w:r>
        <w:fldChar w:fldCharType="separate"/>
      </w:r>
      <w:r>
        <w:rPr>
          <w:rStyle w:val="28"/>
        </w:rPr>
        <w:t>1.6</w:t>
      </w:r>
      <w:r>
        <w:rPr>
          <w:rFonts w:ascii="Times New Roman" w:hAnsi="Times New Roman" w:cs="Times New Roman"/>
          <w:kern w:val="2"/>
          <w:sz w:val="21"/>
          <w:szCs w:val="21"/>
        </w:rPr>
        <w:tab/>
      </w:r>
      <w:r>
        <w:rPr>
          <w:rStyle w:val="28"/>
          <w:rFonts w:hint="eastAsia"/>
        </w:rPr>
        <w:t>阿拉伯湾燃料油市场价格</w:t>
      </w:r>
      <w:r>
        <w:rPr>
          <w:rFonts w:cs="Times New Roman"/>
        </w:rPr>
        <w:tab/>
      </w:r>
      <w:r>
        <w:fldChar w:fldCharType="begin"/>
      </w:r>
      <w:r>
        <w:instrText xml:space="preserve"> PAGEREF _Toc436380335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"_Toc436380336" </w:instrText>
      </w:r>
      <w:r>
        <w:fldChar w:fldCharType="separate"/>
      </w:r>
      <w:r>
        <w:rPr>
          <w:rStyle w:val="28"/>
        </w:rPr>
        <w:t>1.7</w:t>
      </w:r>
      <w:r>
        <w:rPr>
          <w:rFonts w:ascii="Times New Roman" w:hAnsi="Times New Roman" w:cs="Times New Roman"/>
          <w:kern w:val="2"/>
          <w:sz w:val="21"/>
          <w:szCs w:val="21"/>
        </w:rPr>
        <w:tab/>
      </w:r>
      <w:r>
        <w:rPr>
          <w:rStyle w:val="28"/>
          <w:rFonts w:hint="eastAsia"/>
        </w:rPr>
        <w:t>日本燃料油市场价格</w:t>
      </w:r>
      <w:r>
        <w:rPr>
          <w:rFonts w:cs="Times New Roman"/>
        </w:rPr>
        <w:tab/>
      </w:r>
      <w:r>
        <w:fldChar w:fldCharType="begin"/>
      </w:r>
      <w:r>
        <w:instrText xml:space="preserve"> PAGEREF _Toc436380336 \h </w:instrText>
      </w:r>
      <w:r>
        <w:fldChar w:fldCharType="separate"/>
      </w:r>
      <w:r>
        <w:t>4</w:t>
      </w:r>
      <w:r>
        <w:fldChar w:fldCharType="end"/>
      </w:r>
      <w:r>
        <w:fldChar w:fldCharType="end"/>
      </w:r>
    </w:p>
    <w:p>
      <w:pPr>
        <w:pStyle w:val="20"/>
        <w:tabs>
          <w:tab w:val="left" w:pos="1260"/>
          <w:tab w:val="right" w:leader="dot" w:pos="8302"/>
        </w:tabs>
        <w:ind w:left="31680"/>
        <w:rPr>
          <w:rFonts w:ascii="Times New Roman" w:hAnsi="Times New Roman" w:cs="Times New Roman"/>
          <w:kern w:val="2"/>
          <w:sz w:val="21"/>
          <w:szCs w:val="21"/>
        </w:rPr>
      </w:pPr>
      <w:r>
        <w:fldChar w:fldCharType="begin"/>
      </w:r>
      <w:r>
        <w:instrText xml:space="preserve"> HYPERLINK \l "_Toc436380337" </w:instrText>
      </w:r>
      <w:r>
        <w:fldChar w:fldCharType="separate"/>
      </w:r>
      <w:r>
        <w:rPr>
          <w:rStyle w:val="28"/>
        </w:rPr>
        <w:t>1.8</w:t>
      </w:r>
      <w:r>
        <w:rPr>
          <w:rFonts w:ascii="Times New Roman" w:hAnsi="Times New Roman" w:cs="Times New Roman"/>
          <w:kern w:val="2"/>
          <w:sz w:val="21"/>
          <w:szCs w:val="21"/>
        </w:rPr>
        <w:tab/>
      </w:r>
      <w:r>
        <w:rPr>
          <w:rStyle w:val="28"/>
          <w:rFonts w:hint="eastAsia"/>
        </w:rPr>
        <w:t>地中海燃料油市场价格</w:t>
      </w:r>
      <w:r>
        <w:rPr>
          <w:rFonts w:cs="Times New Roman"/>
        </w:rPr>
        <w:tab/>
      </w:r>
      <w:r>
        <w:fldChar w:fldCharType="begin"/>
      </w:r>
      <w:r>
        <w:instrText xml:space="preserve"> PAGEREF _Toc436380337 \h </w:instrText>
      </w:r>
      <w:r>
        <w:fldChar w:fldCharType="separate"/>
      </w:r>
      <w:r>
        <w:t>4</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"_Toc436380338" </w:instrText>
      </w:r>
      <w:r>
        <w:fldChar w:fldCharType="separate"/>
      </w:r>
      <w:r>
        <w:rPr>
          <w:rStyle w:val="28"/>
          <w:rFonts w:hint="eastAsia"/>
        </w:rPr>
        <w:t>二、国内燃料油市场动态</w:t>
      </w:r>
      <w:r>
        <w:rPr>
          <w:rFonts w:cs="Times New Roman"/>
        </w:rPr>
        <w:tab/>
      </w:r>
      <w:r>
        <w:fldChar w:fldCharType="begin"/>
      </w:r>
      <w:r>
        <w:instrText xml:space="preserve"> PAGEREF _Toc436380338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"_Toc436380339" </w:instrText>
      </w:r>
      <w:r>
        <w:fldChar w:fldCharType="separate"/>
      </w:r>
      <w:r>
        <w:rPr>
          <w:rStyle w:val="28"/>
        </w:rPr>
        <w:t xml:space="preserve">2.1  </w:t>
      </w:r>
      <w:r>
        <w:rPr>
          <w:rStyle w:val="28"/>
          <w:rFonts w:hint="eastAsia"/>
        </w:rPr>
        <w:t>华南地区燃料油市场行情</w:t>
      </w:r>
      <w:r>
        <w:rPr>
          <w:rFonts w:cs="Times New Roman"/>
        </w:rPr>
        <w:tab/>
      </w:r>
      <w:r>
        <w:fldChar w:fldCharType="begin"/>
      </w:r>
      <w:r>
        <w:instrText xml:space="preserve"> PAGEREF _Toc436380339 \h </w:instrText>
      </w:r>
      <w:r>
        <w:fldChar w:fldCharType="separate"/>
      </w:r>
      <w:r>
        <w:t>5</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"_Toc436380340" </w:instrText>
      </w:r>
      <w:r>
        <w:fldChar w:fldCharType="separate"/>
      </w:r>
      <w:r>
        <w:rPr>
          <w:rStyle w:val="28"/>
        </w:rPr>
        <w:t>2.2</w:t>
      </w:r>
      <w:r>
        <w:rPr>
          <w:rStyle w:val="28"/>
          <w:rFonts w:hint="eastAsia"/>
        </w:rPr>
        <w:t>华东地区燃料油市场行情</w:t>
      </w:r>
      <w:r>
        <w:rPr>
          <w:rFonts w:cs="Times New Roman"/>
        </w:rPr>
        <w:tab/>
      </w:r>
      <w:r>
        <w:fldChar w:fldCharType="begin"/>
      </w:r>
      <w:r>
        <w:instrText xml:space="preserve"> PAGEREF _Toc436380340 \h </w:instrText>
      </w:r>
      <w:r>
        <w:fldChar w:fldCharType="separate"/>
      </w:r>
      <w:r>
        <w:t>6</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"_Toc436380341" </w:instrText>
      </w:r>
      <w:r>
        <w:fldChar w:fldCharType="separate"/>
      </w:r>
      <w:r>
        <w:rPr>
          <w:rStyle w:val="28"/>
        </w:rPr>
        <w:t>2.3</w:t>
      </w:r>
      <w:r>
        <w:rPr>
          <w:rStyle w:val="28"/>
          <w:rFonts w:hint="eastAsia"/>
        </w:rPr>
        <w:t>山东地区燃料油市场行情</w:t>
      </w:r>
      <w:r>
        <w:rPr>
          <w:rFonts w:cs="Times New Roman"/>
        </w:rPr>
        <w:tab/>
      </w:r>
      <w:r>
        <w:fldChar w:fldCharType="begin"/>
      </w:r>
      <w:r>
        <w:instrText xml:space="preserve"> PAGEREF _Toc436380341 \h </w:instrText>
      </w:r>
      <w:r>
        <w:fldChar w:fldCharType="separate"/>
      </w:r>
      <w:r>
        <w:t>7</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"_Toc436380342" </w:instrText>
      </w:r>
      <w:r>
        <w:fldChar w:fldCharType="separate"/>
      </w:r>
      <w:r>
        <w:rPr>
          <w:rStyle w:val="28"/>
        </w:rPr>
        <w:t>2.4</w:t>
      </w:r>
      <w:r>
        <w:rPr>
          <w:rStyle w:val="28"/>
          <w:rFonts w:hint="eastAsia"/>
        </w:rPr>
        <w:t>国内各地区燃料油市场价格</w:t>
      </w:r>
      <w:r>
        <w:rPr>
          <w:rFonts w:cs="Times New Roman"/>
        </w:rPr>
        <w:tab/>
      </w:r>
      <w:r>
        <w:fldChar w:fldCharType="begin"/>
      </w:r>
      <w:r>
        <w:instrText xml:space="preserve"> PAGEREF _Toc436380342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"_Toc436380343" </w:instrText>
      </w:r>
      <w:r>
        <w:fldChar w:fldCharType="separate"/>
      </w:r>
      <w:r>
        <w:rPr>
          <w:rStyle w:val="28"/>
        </w:rPr>
        <w:t>2.5</w:t>
      </w:r>
      <w:r>
        <w:rPr>
          <w:rStyle w:val="28"/>
          <w:rFonts w:hint="eastAsia"/>
        </w:rPr>
        <w:t>上海期货交易所收盘数据</w:t>
      </w:r>
      <w:r>
        <w:rPr>
          <w:rFonts w:cs="Times New Roman"/>
        </w:rPr>
        <w:tab/>
      </w:r>
      <w:r>
        <w:fldChar w:fldCharType="begin"/>
      </w:r>
      <w:r>
        <w:instrText xml:space="preserve"> PAGEREF _Toc436380343 \h </w:instrText>
      </w:r>
      <w:r>
        <w:fldChar w:fldCharType="separate"/>
      </w:r>
      <w:r>
        <w:t>8</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"_Toc436380344" </w:instrText>
      </w:r>
      <w:r>
        <w:fldChar w:fldCharType="separate"/>
      </w:r>
      <w:r>
        <w:rPr>
          <w:rStyle w:val="28"/>
        </w:rPr>
        <w:t>2.6</w:t>
      </w:r>
      <w:r>
        <w:rPr>
          <w:rStyle w:val="28"/>
          <w:rFonts w:hint="eastAsia"/>
        </w:rPr>
        <w:t>上海期货交易所收盘报告</w:t>
      </w:r>
      <w:r>
        <w:rPr>
          <w:rFonts w:cs="Times New Roman"/>
        </w:rPr>
        <w:tab/>
      </w:r>
      <w:r>
        <w:fldChar w:fldCharType="begin"/>
      </w:r>
      <w:r>
        <w:instrText xml:space="preserve"> PAGEREF _Toc436380344 \h </w:instrText>
      </w:r>
      <w:r>
        <w:fldChar w:fldCharType="separate"/>
      </w:r>
      <w:r>
        <w:t>9</w:t>
      </w:r>
      <w:r>
        <w:fldChar w:fldCharType="end"/>
      </w:r>
      <w:r>
        <w:fldChar w:fldCharType="end"/>
      </w:r>
    </w:p>
    <w:p>
      <w:pPr>
        <w:pStyle w:val="16"/>
        <w:rPr>
          <w:rFonts w:ascii="Times New Roman" w:hAnsi="Times New Roman" w:cs="Times New Roman"/>
          <w:b w:val="0"/>
          <w:bCs w:val="0"/>
          <w:color w:val="auto"/>
          <w:kern w:val="2"/>
          <w:sz w:val="21"/>
          <w:szCs w:val="21"/>
        </w:rPr>
      </w:pPr>
      <w:r>
        <w:fldChar w:fldCharType="begin"/>
      </w:r>
      <w:r>
        <w:instrText xml:space="preserve"> HYPERLINK \l "_Toc436380345" </w:instrText>
      </w:r>
      <w:r>
        <w:fldChar w:fldCharType="separate"/>
      </w:r>
      <w:r>
        <w:rPr>
          <w:rStyle w:val="28"/>
          <w:rFonts w:hint="eastAsia"/>
        </w:rPr>
        <w:t>三、国内燃料油船期预报</w:t>
      </w:r>
      <w:r>
        <w:rPr>
          <w:rFonts w:cs="Times New Roman"/>
        </w:rPr>
        <w:tab/>
      </w:r>
      <w:r>
        <w:fldChar w:fldCharType="begin"/>
      </w:r>
      <w:r>
        <w:instrText xml:space="preserve"> PAGEREF _Toc436380345 \h </w:instrText>
      </w:r>
      <w:r>
        <w:fldChar w:fldCharType="separate"/>
      </w:r>
      <w:r>
        <w:t>9</w:t>
      </w:r>
      <w:r>
        <w:fldChar w:fldCharType="end"/>
      </w:r>
      <w:r>
        <w:fldChar w:fldCharType="end"/>
      </w:r>
    </w:p>
    <w:p>
      <w:pPr>
        <w:pStyle w:val="20"/>
        <w:tabs>
          <w:tab w:val="right" w:leader="dot" w:pos="8302"/>
        </w:tabs>
        <w:ind w:left="31680"/>
        <w:rPr>
          <w:rFonts w:ascii="Times New Roman" w:hAnsi="Times New Roman" w:cs="Times New Roman"/>
          <w:kern w:val="2"/>
          <w:sz w:val="21"/>
          <w:szCs w:val="21"/>
        </w:rPr>
      </w:pPr>
      <w:r>
        <w:fldChar w:fldCharType="begin"/>
      </w:r>
      <w:r>
        <w:instrText xml:space="preserve"> HYPERLINK \l "_Toc436380346" </w:instrText>
      </w:r>
      <w:r>
        <w:fldChar w:fldCharType="separate"/>
      </w:r>
      <w:r>
        <w:rPr>
          <w:rStyle w:val="28"/>
        </w:rPr>
        <w:t xml:space="preserve">3.1 </w:t>
      </w:r>
      <w:r>
        <w:rPr>
          <w:rStyle w:val="28"/>
          <w:rFonts w:hint="eastAsia"/>
        </w:rPr>
        <w:t>华南燃料油船期预报</w:t>
      </w:r>
      <w:r>
        <w:rPr>
          <w:rFonts w:cs="Times New Roman"/>
        </w:rPr>
        <w:tab/>
      </w:r>
      <w:r>
        <w:fldChar w:fldCharType="begin"/>
      </w:r>
      <w:r>
        <w:instrText xml:space="preserve"> PAGEREF _Toc436380346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"_Toc436380347" </w:instrText>
      </w:r>
      <w:r>
        <w:fldChar w:fldCharType="separate"/>
      </w:r>
      <w:r>
        <w:rPr>
          <w:rStyle w:val="28"/>
        </w:rPr>
        <w:t>3.2</w:t>
      </w:r>
      <w:r>
        <w:rPr>
          <w:rFonts w:ascii="Times New Roman" w:hAnsi="Times New Roman" w:cs="Times New Roman"/>
          <w:kern w:val="2"/>
          <w:sz w:val="21"/>
          <w:szCs w:val="21"/>
        </w:rPr>
        <w:tab/>
      </w:r>
      <w:r>
        <w:rPr>
          <w:rStyle w:val="28"/>
          <w:rFonts w:hint="eastAsia"/>
        </w:rPr>
        <w:t>华东燃料油船期预报</w:t>
      </w:r>
      <w:r>
        <w:rPr>
          <w:rFonts w:cs="Times New Roman"/>
        </w:rPr>
        <w:tab/>
      </w:r>
      <w:r>
        <w:fldChar w:fldCharType="begin"/>
      </w:r>
      <w:r>
        <w:instrText xml:space="preserve"> PAGEREF _Toc436380347 \h </w:instrText>
      </w:r>
      <w:r>
        <w:fldChar w:fldCharType="separate"/>
      </w:r>
      <w:r>
        <w:t>9</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"_Toc436380348" </w:instrText>
      </w:r>
      <w:r>
        <w:fldChar w:fldCharType="separate"/>
      </w:r>
      <w:r>
        <w:rPr>
          <w:rStyle w:val="28"/>
        </w:rPr>
        <w:t>3.3</w:t>
      </w:r>
      <w:r>
        <w:rPr>
          <w:rFonts w:ascii="Times New Roman" w:hAnsi="Times New Roman" w:cs="Times New Roman"/>
          <w:kern w:val="2"/>
          <w:sz w:val="21"/>
          <w:szCs w:val="21"/>
        </w:rPr>
        <w:tab/>
      </w:r>
      <w:r>
        <w:rPr>
          <w:rStyle w:val="28"/>
          <w:rFonts w:hint="eastAsia"/>
        </w:rPr>
        <w:t>山东燃料油船期预报</w:t>
      </w:r>
      <w:r>
        <w:rPr>
          <w:rFonts w:cs="Times New Roman"/>
        </w:rPr>
        <w:tab/>
      </w:r>
      <w:r>
        <w:fldChar w:fldCharType="begin"/>
      </w:r>
      <w:r>
        <w:instrText xml:space="preserve"> PAGEREF _Toc436380348 \h </w:instrText>
      </w:r>
      <w:r>
        <w:fldChar w:fldCharType="separate"/>
      </w:r>
      <w:r>
        <w:t>10</w:t>
      </w:r>
      <w:r>
        <w:fldChar w:fldCharType="end"/>
      </w:r>
      <w:r>
        <w:fldChar w:fldCharType="end"/>
      </w:r>
    </w:p>
    <w:p>
      <w:pPr>
        <w:pStyle w:val="20"/>
        <w:tabs>
          <w:tab w:val="left" w:pos="900"/>
          <w:tab w:val="right" w:leader="dot" w:pos="8302"/>
        </w:tabs>
        <w:ind w:left="31680"/>
        <w:rPr>
          <w:rFonts w:ascii="Times New Roman" w:hAnsi="Times New Roman" w:cs="Times New Roman"/>
          <w:kern w:val="2"/>
          <w:sz w:val="21"/>
          <w:szCs w:val="21"/>
        </w:rPr>
      </w:pPr>
      <w:r>
        <w:fldChar w:fldCharType="begin"/>
      </w:r>
      <w:r>
        <w:instrText xml:space="preserve"> HYPERLINK \l "_Toc436380349" </w:instrText>
      </w:r>
      <w:r>
        <w:fldChar w:fldCharType="separate"/>
      </w:r>
      <w:r>
        <w:rPr>
          <w:rStyle w:val="28"/>
        </w:rPr>
        <w:t>3.4</w:t>
      </w:r>
      <w:r>
        <w:rPr>
          <w:rFonts w:ascii="Times New Roman" w:hAnsi="Times New Roman" w:cs="Times New Roman"/>
          <w:kern w:val="2"/>
          <w:sz w:val="21"/>
          <w:szCs w:val="21"/>
        </w:rPr>
        <w:tab/>
      </w:r>
      <w:r>
        <w:rPr>
          <w:rStyle w:val="28"/>
          <w:rFonts w:hint="eastAsia"/>
        </w:rPr>
        <w:t>山东原油船期预报</w:t>
      </w:r>
      <w:r>
        <w:rPr>
          <w:rFonts w:cs="Times New Roman"/>
        </w:rPr>
        <w:tab/>
      </w:r>
      <w:r>
        <w:fldChar w:fldCharType="begin"/>
      </w:r>
      <w:r>
        <w:instrText xml:space="preserve"> PAGEREF _Toc436380349 \h </w:instrText>
      </w:r>
      <w:r>
        <w:fldChar w:fldCharType="separate"/>
      </w:r>
      <w:r>
        <w:t>10</w:t>
      </w:r>
      <w:r>
        <w:fldChar w:fldCharType="end"/>
      </w:r>
      <w:r>
        <w:fldChar w:fldCharType="end"/>
      </w:r>
    </w:p>
    <w:p>
      <w:pPr>
        <w:pStyle w:val="2"/>
        <w:tabs>
          <w:tab w:val="left" w:pos="2100"/>
        </w:tabs>
        <w:spacing w:before="120" w:after="0" w:line="240" w:lineRule="auto"/>
        <w:rPr>
          <w:rFonts w:cs="Times New Roman"/>
        </w:rPr>
      </w:pPr>
      <w: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olor w:val="FF0000"/>
          <w:sz w:val="28"/>
          <w:szCs w:val="28"/>
        </w:rPr>
      </w:pPr>
      <w:bookmarkStart w:id="1" w:name="_Toc436380329"/>
    </w:p>
    <w:p>
      <w:pPr>
        <w:rPr>
          <w:rFonts w:hint="eastAsia"/>
          <w:color w:val="FF0000"/>
          <w:sz w:val="28"/>
          <w:szCs w:val="28"/>
        </w:rPr>
      </w:pPr>
    </w:p>
    <w:p>
      <w:pPr>
        <w:rPr>
          <w:rFonts w:hint="eastAsia"/>
          <w:color w:val="FF0000"/>
          <w:sz w:val="28"/>
          <w:szCs w:val="28"/>
        </w:rPr>
      </w:pPr>
    </w:p>
    <w:p>
      <w:pPr>
        <w:pStyle w:val="2"/>
        <w:tabs>
          <w:tab w:val="left" w:pos="2100"/>
        </w:tabs>
        <w:spacing w:before="120" w:after="0" w:line="240" w:lineRule="auto"/>
        <w:rPr>
          <w:rFonts w:ascii="宋体" w:hAnsi="宋体" w:eastAsia="宋体" w:cs="宋体"/>
          <w:sz w:val="24"/>
          <w:szCs w:val="24"/>
        </w:rPr>
      </w:pPr>
      <w:r>
        <w:rPr>
          <w:rFonts w:hint="eastAsia"/>
          <w:color w:val="FF0000"/>
          <w:sz w:val="28"/>
          <w:szCs w:val="28"/>
        </w:rPr>
        <w:t>一、</w:t>
      </w:r>
      <w:bookmarkEnd w:id="0"/>
      <w:r>
        <w:rPr>
          <w:rFonts w:hint="eastAsia"/>
          <w:color w:val="FF0000"/>
          <w:sz w:val="28"/>
          <w:szCs w:val="28"/>
        </w:rPr>
        <w:t>国际燃料油市场行情</w:t>
      </w:r>
      <w:bookmarkEnd w:id="1"/>
      <w:bookmarkStart w:id="2" w:name="_Toc123098827"/>
      <w:bookmarkStart w:id="3" w:name="_Toc120023864"/>
      <w:bookmarkStart w:id="4" w:name="_Toc164833123"/>
      <w:bookmarkStart w:id="5" w:name="_Toc436380330"/>
      <w:bookmarkStart w:id="6" w:name="_Toc122509008"/>
      <w:bookmarkStart w:id="7" w:name="_Toc111024839"/>
      <w:bookmarkStart w:id="8" w:name="_Toc152134469"/>
      <w:bookmarkStart w:id="9" w:name="_Toc283387075"/>
    </w:p>
    <w:p>
      <w:pPr>
        <w:pStyle w:val="3"/>
        <w:spacing w:before="120" w:after="120" w:line="240" w:lineRule="auto"/>
        <w:ind w:right="480"/>
        <w:rPr>
          <w:rFonts w:ascii="宋体" w:hAnsi="宋体" w:eastAsia="宋体" w:cs="Times New Roman"/>
          <w:sz w:val="24"/>
          <w:szCs w:val="24"/>
        </w:rPr>
      </w:pPr>
      <w:r>
        <w:rPr>
          <w:rFonts w:ascii="宋体" w:hAnsi="宋体" w:eastAsia="宋体" w:cs="宋体"/>
          <w:sz w:val="24"/>
          <w:szCs w:val="24"/>
        </w:rPr>
        <w:t xml:space="preserve">1.1  </w:t>
      </w:r>
      <w:r>
        <w:rPr>
          <w:rFonts w:hint="eastAsia" w:ascii="宋体" w:hAnsi="宋体" w:eastAsia="宋体" w:cs="宋体"/>
          <w:sz w:val="24"/>
          <w:szCs w:val="24"/>
        </w:rPr>
        <w:t>国际燃料油市场动态</w:t>
      </w:r>
      <w:bookmarkEnd w:id="2"/>
      <w:bookmarkEnd w:id="3"/>
      <w:bookmarkEnd w:id="4"/>
      <w:bookmarkEnd w:id="5"/>
      <w:bookmarkEnd w:id="6"/>
      <w:bookmarkEnd w:id="7"/>
      <w:bookmarkEnd w:id="8"/>
      <w:bookmarkEnd w:id="9"/>
    </w:p>
    <w:p>
      <w:pPr>
        <w:rPr>
          <w:rFonts w:hint="eastAsia" w:ascii="宋体" w:hAnsi="宋体" w:eastAsia="宋体" w:cs="宋体"/>
          <w:sz w:val="21"/>
          <w:szCs w:val="21"/>
        </w:rPr>
      </w:pPr>
      <w:r>
        <w:rPr>
          <w:rFonts w:hint="eastAsia" w:cs="宋体"/>
          <w:kern w:val="0"/>
          <w:sz w:val="21"/>
          <w:szCs w:val="21"/>
          <w:lang w:val="en-US" w:eastAsia="zh-CN" w:bidi="ar"/>
        </w:rPr>
        <w:t xml:space="preserve">    </w:t>
      </w:r>
      <w:r>
        <w:rPr>
          <w:rFonts w:hint="eastAsia" w:ascii="宋体" w:hAnsi="宋体" w:eastAsia="宋体" w:cs="宋体"/>
          <w:sz w:val="21"/>
          <w:szCs w:val="21"/>
        </w:rPr>
        <w:t xml:space="preserve">周三， 近月东方/西方套利窗口仍然关闭，因为鹿特丹的燃料油价格较新加坡相对更为坚挺，这样运输燃料油到新加坡将无利可图。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虽然套利窗口狭窄可能造成近期从西方运抵的燃料油减少，业内消息人士称，如果新加坡燃料油供应少于预期，价差有可能被拉大。经纪商方面的消息人士称，周三，6月东方/西方价差约为每吨10美元，7月价差约为每吨13美元。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欧洲方面，380cst 6月/7月鹿特丹驳船燃料油价差每吨升水约1美元，远高于新加坡相应的合约，后者每吨贴水约1美元。虽然新加坡在岸燃料油库存下降，过去两周新加坡380cst燃料油近月跨月价差疲软主要是因为存储在海上的燃料油充足所致。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行业消息人士估计，大约200万吨燃料油存贮在新加坡附近海域的巨型油轮，因为3月以来普氏窗口交易活跃。汤森路透的石油研究数据显示，5月运抵东亚的燃料油总量为600-610万吨，低于稍早预期的大约650万吨。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不过连续五个月运抵新加坡的燃料油数量均高于均值之后，造成市场人气转向偏空，交易商将5月的运输计划推迟到6月，或运往其他地方。虽然5月运抵的燃料油低于预期，但仍高于去年590-600万吨的均值。 </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普氏窗口没有现货达成交易。380cst燃料油买卖比例为17：8，最高递价287.00美元/吨，最低报价295.00美元/吨。180cst的供需情况则相反，买卖比例为2：6，买主Vitol递价MOPS+0.00美元/吨，卖主Total最低报价MOPS+3.50美元/吨。</w:t>
      </w:r>
    </w:p>
    <w:p>
      <w:pPr>
        <w:rPr>
          <w:rFonts w:hint="eastAsia" w:ascii="宋体" w:hAnsi="宋体" w:eastAsia="宋体" w:cs="宋体"/>
          <w:sz w:val="21"/>
          <w:szCs w:val="21"/>
        </w:rPr>
      </w:pPr>
    </w:p>
    <w:p>
      <w:pPr>
        <w:rPr>
          <w:rFonts w:hint="eastAsia"/>
          <w:sz w:val="21"/>
          <w:szCs w:val="21"/>
        </w:rPr>
      </w:pPr>
    </w:p>
    <w:p>
      <w:pPr>
        <w:pStyle w:val="3"/>
        <w:numPr>
          <w:ilvl w:val="1"/>
          <w:numId w:val="1"/>
        </w:numPr>
        <w:spacing w:before="120" w:after="120" w:line="240" w:lineRule="auto"/>
        <w:rPr>
          <w:rFonts w:ascii="宋体" w:hAnsi="宋体" w:eastAsia="宋体" w:cs="Times New Roman"/>
          <w:sz w:val="24"/>
          <w:szCs w:val="24"/>
        </w:rPr>
      </w:pPr>
      <w:bookmarkStart w:id="10" w:name="_Toc164833124"/>
      <w:bookmarkStart w:id="11" w:name="_Toc283387076"/>
      <w:bookmarkStart w:id="12" w:name="_Toc436380331"/>
      <w:bookmarkStart w:id="13" w:name="_Toc152134470"/>
      <w:r>
        <w:rPr>
          <w:rFonts w:hint="eastAsia" w:ascii="宋体" w:hAnsi="宋体" w:eastAsia="宋体" w:cs="宋体"/>
          <w:sz w:val="24"/>
          <w:szCs w:val="24"/>
        </w:rPr>
        <w:t>新加坡燃料油市场价格</w:t>
      </w:r>
      <w:bookmarkEnd w:id="10"/>
      <w:bookmarkEnd w:id="11"/>
      <w:bookmarkEnd w:id="12"/>
      <w:bookmarkEnd w:id="13"/>
    </w:p>
    <w:tbl>
      <w:tblPr>
        <w:tblW w:w="7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65"/>
        <w:gridCol w:w="1725"/>
        <w:gridCol w:w="1800"/>
        <w:gridCol w:w="172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中硫180cst</w:t>
            </w: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lswr①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2.38/2.42</w:t>
            </w:r>
          </w:p>
        </w:tc>
        <w:tc>
          <w:tcPr>
            <w:tcW w:w="180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-0.68/-0.64</w:t>
            </w:r>
          </w:p>
        </w:tc>
        <w:tc>
          <w:tcPr>
            <w:tcW w:w="17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5.49/5.53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303.270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292.460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310.09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305.830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294.570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312.71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307.710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294.680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314.63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323.360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312.090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330.64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6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320.040</w:t>
            </w:r>
          </w:p>
        </w:tc>
        <w:tc>
          <w:tcPr>
            <w:tcW w:w="1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308.980</w:t>
            </w:r>
          </w:p>
        </w:tc>
        <w:tc>
          <w:tcPr>
            <w:tcW w:w="17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327.24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52.05 </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4" w:name="_Toc436380332"/>
      <w:bookmarkStart w:id="15" w:name="_Toc164833125"/>
      <w:r>
        <w:rPr>
          <w:rFonts w:hint="eastAsia" w:ascii="宋体" w:hAnsi="宋体" w:eastAsia="宋体" w:cs="宋体"/>
          <w:sz w:val="24"/>
          <w:szCs w:val="24"/>
        </w:rPr>
        <w:t>新加坡燃料油纸货价格</w:t>
      </w:r>
      <w:bookmarkEnd w:id="14"/>
    </w:p>
    <w:tbl>
      <w:tblPr>
        <w:tblW w:w="93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640"/>
        <w:gridCol w:w="1826"/>
        <w:gridCol w:w="1841"/>
        <w:gridCol w:w="2089"/>
        <w:gridCol w:w="19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640" w:type="dxa"/>
            <w:vMerge w:val="restart"/>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3667"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4066" w:type="dxa"/>
            <w:gridSpan w:val="2"/>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99CCFF"/>
            <w:vAlign w:val="center"/>
          </w:tcPr>
          <w:p>
            <w:pPr>
              <w:jc w:val="center"/>
              <w:rPr>
                <w:rFonts w:hint="eastAsia" w:ascii="宋体" w:hAnsi="宋体" w:eastAsia="宋体" w:cs="宋体"/>
                <w:b/>
                <w:i w:val="0"/>
                <w:color w:val="000000"/>
                <w:sz w:val="20"/>
                <w:szCs w:val="20"/>
                <w:u w:val="none"/>
              </w:rPr>
            </w:pPr>
          </w:p>
        </w:tc>
        <w:tc>
          <w:tcPr>
            <w:tcW w:w="182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1841"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7纸货</w:t>
            </w:r>
          </w:p>
        </w:tc>
        <w:tc>
          <w:tcPr>
            <w:tcW w:w="208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6月纸货</w:t>
            </w:r>
          </w:p>
        </w:tc>
        <w:tc>
          <w:tcPr>
            <w:tcW w:w="1977"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300.75</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301.25</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292.75</w:t>
            </w:r>
          </w:p>
        </w:tc>
        <w:tc>
          <w:tcPr>
            <w:tcW w:w="19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303.25</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295.1</w:t>
            </w:r>
          </w:p>
        </w:tc>
        <w:tc>
          <w:tcPr>
            <w:tcW w:w="19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5"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303.5</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294.75</w:t>
            </w:r>
          </w:p>
        </w:tc>
        <w:tc>
          <w:tcPr>
            <w:tcW w:w="19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05"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318.55</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318.80</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311.5</w:t>
            </w:r>
          </w:p>
        </w:tc>
        <w:tc>
          <w:tcPr>
            <w:tcW w:w="19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1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8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8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316.75</w:t>
            </w:r>
          </w:p>
        </w:tc>
        <w:tc>
          <w:tcPr>
            <w:tcW w:w="208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308.65</w:t>
            </w:r>
          </w:p>
        </w:tc>
        <w:tc>
          <w:tcPr>
            <w:tcW w:w="197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310.3</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6" w:name="_Toc436380333"/>
      <w:bookmarkStart w:id="17" w:name="_Toc283387078"/>
      <w:r>
        <w:rPr>
          <w:rFonts w:hint="eastAsia" w:ascii="宋体" w:hAnsi="宋体" w:eastAsia="宋体" w:cs="宋体"/>
          <w:sz w:val="24"/>
          <w:szCs w:val="24"/>
        </w:rPr>
        <w:t>新加坡燃料油黄埔到岸价</w:t>
      </w:r>
      <w:bookmarkEnd w:id="16"/>
      <w:bookmarkEnd w:id="17"/>
      <w:r>
        <w:rPr>
          <w:rFonts w:hint="eastAsia" w:ascii="宋体" w:hAnsi="宋体" w:eastAsia="宋体" w:cs="宋体"/>
          <w:sz w:val="24"/>
          <w:szCs w:val="24"/>
        </w:rPr>
        <w:t>格</w:t>
      </w:r>
    </w:p>
    <w:tbl>
      <w:tblPr>
        <w:tblW w:w="91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25"/>
        <w:gridCol w:w="2025"/>
        <w:gridCol w:w="2010"/>
        <w:gridCol w:w="1965"/>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2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436380334"/>
            <w:r>
              <w:rPr>
                <w:rFonts w:hint="eastAsia" w:ascii="宋体" w:hAnsi="宋体" w:eastAsia="宋体" w:cs="宋体"/>
                <w:b/>
                <w:i w:val="0"/>
                <w:color w:val="000000"/>
                <w:kern w:val="0"/>
                <w:sz w:val="20"/>
                <w:szCs w:val="20"/>
                <w:u w:val="none"/>
                <w:lang w:val="en-US" w:eastAsia="zh-CN" w:bidi="ar"/>
              </w:rPr>
              <w:t>燃料油</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w:t>
            </w:r>
          </w:p>
        </w:tc>
        <w:tc>
          <w:tcPr>
            <w:tcW w:w="20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新加坡高硫380CST</w:t>
            </w:r>
          </w:p>
        </w:tc>
        <w:tc>
          <w:tcPr>
            <w:tcW w:w="196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6月纸货</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新加坡高硫180CST 7月纸货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贴水</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10"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196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c>
          <w:tcPr>
            <w:tcW w:w="2025" w:type="dxa"/>
            <w:tcBorders>
              <w:top w:val="single" w:color="000000" w:sz="4" w:space="0"/>
              <w:left w:val="single" w:color="000000" w:sz="4" w:space="0"/>
              <w:bottom w:val="single" w:color="000000" w:sz="4" w:space="0"/>
              <w:right w:val="single" w:color="000000" w:sz="4" w:space="0"/>
            </w:tcBorders>
            <w:shd w:val="clear" w:color="FFFFFF"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307.75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309</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327.25</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319</w:t>
            </w:r>
          </w:p>
        </w:tc>
        <w:tc>
          <w:tcPr>
            <w:tcW w:w="20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9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无成交</w:t>
            </w:r>
          </w:p>
        </w:tc>
      </w:tr>
    </w:tbl>
    <w:p>
      <w:pPr>
        <w:pStyle w:val="3"/>
        <w:numPr>
          <w:ilvl w:val="0"/>
          <w:numId w:val="0"/>
        </w:numPr>
        <w:spacing w:before="120" w:after="120" w:line="240" w:lineRule="auto"/>
        <w:ind w:leftChars="0"/>
        <w:rPr>
          <w:rFonts w:ascii="宋体" w:hAnsi="宋体" w:eastAsia="宋体" w:cs="Times New Roman"/>
          <w:sz w:val="24"/>
          <w:szCs w:val="24"/>
        </w:rPr>
      </w:pPr>
    </w:p>
    <w:p>
      <w:pPr>
        <w:pStyle w:val="3"/>
        <w:numPr>
          <w:ilvl w:val="1"/>
          <w:numId w:val="1"/>
        </w:numPr>
        <w:spacing w:before="120" w:after="120" w:line="240" w:lineRule="auto"/>
        <w:rPr>
          <w:rFonts w:ascii="宋体" w:hAnsi="宋体" w:eastAsia="宋体" w:cs="Times New Roman"/>
          <w:sz w:val="24"/>
          <w:szCs w:val="24"/>
        </w:rPr>
      </w:pPr>
      <w:r>
        <w:rPr>
          <w:rFonts w:hint="eastAsia" w:ascii="宋体" w:hAnsi="宋体" w:eastAsia="宋体" w:cs="宋体"/>
          <w:sz w:val="24"/>
          <w:szCs w:val="24"/>
        </w:rPr>
        <w:t>韩国燃料油市场价格</w:t>
      </w:r>
      <w:bookmarkEnd w:id="18"/>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15.75/16.25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294.15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314.24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299.86</w:t>
            </w:r>
          </w:p>
        </w:tc>
      </w:tr>
    </w:tbl>
    <w:p>
      <w:pPr>
        <w:rPr>
          <w:rFonts w:cs="Times New Roman"/>
        </w:rPr>
      </w:pPr>
    </w:p>
    <w:p>
      <w:pPr>
        <w:pStyle w:val="3"/>
        <w:numPr>
          <w:ilvl w:val="1"/>
          <w:numId w:val="1"/>
        </w:numPr>
        <w:spacing w:before="120" w:after="120" w:line="240" w:lineRule="auto"/>
        <w:rPr>
          <w:rFonts w:ascii="宋体" w:hAnsi="宋体" w:eastAsia="宋体" w:cs="Times New Roman"/>
          <w:sz w:val="24"/>
          <w:szCs w:val="24"/>
        </w:rPr>
      </w:pPr>
      <w:bookmarkStart w:id="19" w:name="_Toc436380335"/>
      <w:r>
        <w:rPr>
          <w:rFonts w:hint="eastAsia" w:ascii="宋体" w:hAnsi="宋体" w:eastAsia="宋体" w:cs="宋体"/>
          <w:sz w:val="24"/>
          <w:szCs w:val="24"/>
        </w:rPr>
        <w:t>阿拉伯湾燃料油市场价格</w:t>
      </w:r>
      <w:bookmarkEnd w:id="19"/>
    </w:p>
    <w:tbl>
      <w:tblPr>
        <w:tblW w:w="6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95"/>
        <w:gridCol w:w="2130"/>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高硫380cst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今日贴水</w:t>
            </w:r>
          </w:p>
        </w:tc>
        <w:tc>
          <w:tcPr>
            <w:tcW w:w="213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15.75/16.25</w:t>
            </w:r>
          </w:p>
        </w:tc>
        <w:tc>
          <w:tcPr>
            <w:tcW w:w="217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15.75/16.25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294.15</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298.59</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314.24</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1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310.92</w:t>
            </w:r>
          </w:p>
        </w:tc>
        <w:tc>
          <w:tcPr>
            <w:tcW w:w="2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299.86</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0" w:name="_Toc436380336"/>
      <w:r>
        <w:rPr>
          <w:rFonts w:hint="eastAsia" w:ascii="宋体" w:hAnsi="宋体" w:eastAsia="宋体" w:cs="宋体"/>
          <w:sz w:val="24"/>
          <w:szCs w:val="24"/>
        </w:rPr>
        <w:t>日本燃料油市场价格</w:t>
      </w:r>
      <w:bookmarkEnd w:id="20"/>
    </w:p>
    <w:tbl>
      <w:tblPr>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045"/>
        <w:gridCol w:w="29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291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高硫180cst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0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29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328.66</w:t>
            </w:r>
          </w:p>
        </w:tc>
      </w:tr>
    </w:tbl>
    <w:p>
      <w:pPr>
        <w:rPr>
          <w:rFonts w:cs="Times New Roman"/>
        </w:rPr>
      </w:pPr>
    </w:p>
    <w:p>
      <w:pPr>
        <w:pStyle w:val="3"/>
        <w:numPr>
          <w:ilvl w:val="1"/>
          <w:numId w:val="2"/>
        </w:numPr>
        <w:spacing w:before="120" w:after="120" w:line="400" w:lineRule="exact"/>
        <w:rPr>
          <w:rFonts w:ascii="宋体" w:hAnsi="宋体" w:eastAsia="宋体" w:cs="Times New Roman"/>
          <w:sz w:val="24"/>
          <w:szCs w:val="24"/>
        </w:rPr>
      </w:pPr>
      <w:bookmarkStart w:id="21" w:name="_Toc436380337"/>
      <w:r>
        <w:rPr>
          <w:rFonts w:hint="eastAsia" w:ascii="宋体" w:hAnsi="宋体" w:eastAsia="宋体" w:cs="宋体"/>
          <w:sz w:val="24"/>
          <w:szCs w:val="24"/>
        </w:rPr>
        <w:t>地中海燃料油市场价格</w:t>
      </w:r>
      <w:bookmarkEnd w:id="21"/>
    </w:p>
    <w:tbl>
      <w:tblPr>
        <w:tblW w:w="4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5"/>
        <w:gridCol w:w="1770"/>
        <w:gridCol w:w="20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w:t>
            </w:r>
          </w:p>
        </w:tc>
        <w:tc>
          <w:tcPr>
            <w:tcW w:w="177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燃料油（1PCT）</w:t>
            </w:r>
          </w:p>
        </w:tc>
        <w:tc>
          <w:tcPr>
            <w:tcW w:w="202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燃料油（3.5PCT）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5月31日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295.75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301.00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302.25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311.75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316.50 </w:t>
            </w:r>
          </w:p>
        </w:tc>
        <w:tc>
          <w:tcPr>
            <w:tcW w:w="20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297.25 </w:t>
            </w:r>
          </w:p>
        </w:tc>
      </w:tr>
    </w:tbl>
    <w:p>
      <w:pPr>
        <w:rPr>
          <w:rFonts w:cs="Times New Roman"/>
        </w:rPr>
      </w:pPr>
    </w:p>
    <w:p>
      <w:pPr>
        <w:rPr>
          <w:rFonts w:cs="Times New Roman"/>
        </w:rPr>
      </w:pPr>
    </w:p>
    <w:p>
      <w:pPr>
        <w:rPr>
          <w:rFonts w:cs="Times New Roman"/>
        </w:rPr>
      </w:pPr>
    </w:p>
    <w:bookmarkEnd w:id="15"/>
    <w:p>
      <w:pPr>
        <w:pStyle w:val="2"/>
        <w:spacing w:before="120" w:after="0" w:line="240" w:lineRule="auto"/>
        <w:rPr>
          <w:rFonts w:cs="Times New Roman"/>
          <w:color w:val="FF0000"/>
          <w:sz w:val="28"/>
          <w:szCs w:val="28"/>
        </w:rPr>
      </w:pPr>
      <w:bookmarkStart w:id="22" w:name="_Toc283387079"/>
      <w:bookmarkStart w:id="23" w:name="_Toc152134473"/>
      <w:bookmarkStart w:id="24" w:name="_Toc164759956"/>
      <w:bookmarkStart w:id="25" w:name="_Toc436380338"/>
      <w:r>
        <w:rPr>
          <w:rFonts w:hint="eastAsia"/>
          <w:color w:val="FF0000"/>
          <w:sz w:val="28"/>
          <w:szCs w:val="28"/>
        </w:rPr>
        <w:t>二、</w:t>
      </w:r>
      <w:bookmarkEnd w:id="22"/>
      <w:bookmarkEnd w:id="23"/>
      <w:bookmarkEnd w:id="24"/>
      <w:r>
        <w:rPr>
          <w:rFonts w:hint="eastAsia"/>
          <w:color w:val="FF0000"/>
          <w:sz w:val="28"/>
          <w:szCs w:val="28"/>
        </w:rPr>
        <w:t>国内燃料油市场动态</w:t>
      </w:r>
      <w:bookmarkEnd w:id="25"/>
    </w:p>
    <w:p>
      <w:pPr>
        <w:pStyle w:val="3"/>
        <w:spacing w:before="240" w:after="240" w:line="240" w:lineRule="auto"/>
        <w:rPr>
          <w:rFonts w:ascii="宋体" w:hAnsi="宋体" w:eastAsia="宋体" w:cs="Times New Roman"/>
          <w:sz w:val="24"/>
          <w:szCs w:val="24"/>
        </w:rPr>
      </w:pPr>
      <w:bookmarkStart w:id="26" w:name="_Toc152134474"/>
      <w:bookmarkStart w:id="27" w:name="_Toc164759957"/>
      <w:bookmarkStart w:id="28" w:name="_Toc283387080"/>
      <w:bookmarkStart w:id="29" w:name="_Toc436380339"/>
      <w:r>
        <w:rPr>
          <w:rFonts w:ascii="宋体" w:hAnsi="宋体" w:eastAsia="宋体" w:cs="宋体"/>
          <w:sz w:val="24"/>
          <w:szCs w:val="24"/>
        </w:rPr>
        <w:t xml:space="preserve">2.1  </w:t>
      </w:r>
      <w:bookmarkEnd w:id="26"/>
      <w:bookmarkEnd w:id="27"/>
      <w:bookmarkEnd w:id="28"/>
      <w:r>
        <w:rPr>
          <w:rFonts w:hint="eastAsia" w:ascii="宋体" w:hAnsi="宋体" w:eastAsia="宋体" w:cs="宋体"/>
          <w:sz w:val="24"/>
          <w:szCs w:val="24"/>
        </w:rPr>
        <w:t>华南地区燃料油市场行情</w:t>
      </w:r>
      <w:bookmarkEnd w:id="29"/>
    </w:p>
    <w:p>
      <w:pPr>
        <w:rPr>
          <w:rFonts w:hint="eastAsia" w:ascii="宋体" w:hAnsi="宋体" w:eastAsia="宋体" w:cs="宋体"/>
          <w:sz w:val="21"/>
          <w:szCs w:val="21"/>
        </w:rPr>
      </w:pPr>
      <w:bookmarkStart w:id="30" w:name="_Toc436380341"/>
      <w:r>
        <w:rPr>
          <w:rFonts w:hint="eastAsia"/>
          <w:sz w:val="21"/>
          <w:szCs w:val="21"/>
        </w:rPr>
        <w:t>　　</w:t>
      </w:r>
      <w:r>
        <w:rPr>
          <w:rFonts w:hint="eastAsia" w:ascii="宋体" w:hAnsi="宋体" w:eastAsia="宋体" w:cs="宋体"/>
          <w:sz w:val="21"/>
          <w:szCs w:val="21"/>
        </w:rPr>
        <w:t>周三（5月31日）市场观望氛围浓厚，业者待市情绪一般。</w:t>
      </w:r>
    </w:p>
    <w:p>
      <w:pPr>
        <w:rPr>
          <w:rFonts w:hint="eastAsia" w:ascii="宋体" w:hAnsi="宋体" w:eastAsia="宋体" w:cs="宋体"/>
          <w:sz w:val="21"/>
          <w:szCs w:val="21"/>
        </w:rPr>
      </w:pPr>
      <w:r>
        <w:rPr>
          <w:rFonts w:hint="eastAsia" w:ascii="宋体" w:hAnsi="宋体" w:eastAsia="宋体" w:cs="宋体"/>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 xml:space="preserve">    因迹象显示利比亚产油量回升，且投资者担忧欧佩克与其他非欧佩克的主要产油国上周延长减产协议将不足以降低全球供应过剩的局面，原油期货周二下跌，目前原油仍供应过剩。周三国内市场华南船用油市场（以广州、深圳和福建为基准）国产混调180CST库提估价为3220-3370元/吨（详见船用油日评）。</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受终端需求持续清淡利空因素影响，区内燃料油市场整体行情居稳疲软为主，商家疲于报价，备货积极性不高，市场交投气氛平平，短期内无明显利空因素刺激，预计后市价格或持续守稳为主。截止目前，区内国产油浆市场估价2200-2300元/吨，沥青料市场估价2400-2500元/吨，均较前一工作日持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近期国际原油价格大幅震荡，区内非标油市场商家多持谨慎观望态度，报价守稳为主，业者待市情绪一般，市场整体购销气氛较为平稳，短期难寻明显利好刺激，预计华南非标油市场后市走势依旧持稳为主。</w:t>
      </w:r>
    </w:p>
    <w:p>
      <w:pPr>
        <w:pStyle w:val="3"/>
        <w:spacing w:before="240" w:after="240" w:line="240" w:lineRule="auto"/>
        <w:rPr>
          <w:rFonts w:ascii="宋体" w:hAnsi="宋体" w:eastAsia="宋体" w:cs="Times New Roman"/>
          <w:sz w:val="24"/>
          <w:szCs w:val="24"/>
        </w:rPr>
      </w:pPr>
      <w:bookmarkStart w:id="31" w:name="_Toc436380340"/>
      <w:r>
        <w:rPr>
          <w:rFonts w:ascii="宋体" w:hAnsi="宋体" w:eastAsia="宋体" w:cs="宋体"/>
          <w:sz w:val="24"/>
          <w:szCs w:val="24"/>
        </w:rPr>
        <w:t>2.2</w:t>
      </w:r>
      <w:r>
        <w:rPr>
          <w:rFonts w:hint="eastAsia" w:ascii="宋体" w:hAnsi="宋体" w:eastAsia="宋体" w:cs="宋体"/>
          <w:sz w:val="24"/>
          <w:szCs w:val="24"/>
        </w:rPr>
        <w:t>华东地区燃料油市场行情</w:t>
      </w:r>
      <w:bookmarkEnd w:id="31"/>
    </w:p>
    <w:p>
      <w:pPr>
        <w:rPr>
          <w:rFonts w:hint="eastAsia" w:ascii="宋体" w:hAnsi="宋体" w:eastAsia="宋体" w:cs="宋体"/>
          <w:sz w:val="21"/>
          <w:szCs w:val="21"/>
        </w:rPr>
      </w:pPr>
      <w:r>
        <w:rPr>
          <w:rFonts w:hint="eastAsia"/>
          <w:sz w:val="21"/>
          <w:szCs w:val="21"/>
        </w:rPr>
        <w:t>　　</w:t>
      </w:r>
      <w:r>
        <w:rPr>
          <w:rFonts w:hint="eastAsia" w:ascii="宋体" w:hAnsi="宋体" w:eastAsia="宋体" w:cs="宋体"/>
          <w:sz w:val="21"/>
          <w:szCs w:val="21"/>
        </w:rPr>
        <w:t>周三（5月31日），市场氛围有变，燃料油近日走势有压力。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端午小长假后，燃料油市场也或将由利好主导转向利空主导，这主要归根于外盘原油的震荡下行。船供油市场节前上涨乏力，近日又利好消散、利空来袭，预计业者的出货价或将出现松动。地炼汽柴油行情较为平稳，加之有原油、沥青料等优质原料可供选择，深加工积极性较高，重油资源价格较为平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华东油浆（密度1.1左右）的主流成交价在2300-2400元/吨，价格较昨日持平，炼厂出货较为顺畅。日前华东地炼有前期合同支撑出货较为顺畅，不过因外盘原油下跌，周边如山东地区的油浆已经在节前开始走跌，后市或对华东油浆的出货形成压力。</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非标油市场，随着外盘原油的震荡下行，华东非标油走势有些尴尬。自前期小幅推涨后，而调和油市场并未出现上涨，中下游的接货热情受到影响。另外，短期市场正遭受利空冲击，地炼的非标油价格或将出现回落。</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上海市场，低金属船用180CST（密度0.98左右，硫含量1.0以内）自提成交估价在3260-3360元/吨；宁波市场，低金属船用180CST（密度0.98左右，硫含量1.0以内）自提成交估价在3260-3350元/吨；南通市场，低金属船用180CST（密度0.98左右，硫含量1.0以内）自提成交估价在3250-3340元/吨，均较昨日持平。</w:t>
      </w:r>
    </w:p>
    <w:p>
      <w:pPr>
        <w:rPr>
          <w:rFonts w:hint="eastAsia"/>
          <w:sz w:val="21"/>
          <w:szCs w:val="21"/>
        </w:rPr>
      </w:pPr>
    </w:p>
    <w:p>
      <w:pPr>
        <w:pStyle w:val="23"/>
        <w:rPr>
          <w:rFonts w:cs="Times New Roman"/>
          <w:b/>
          <w:bCs/>
        </w:rPr>
      </w:pPr>
      <w:r>
        <w:rPr>
          <w:b/>
          <w:bCs/>
        </w:rPr>
        <w:t>2.3</w:t>
      </w:r>
      <w:r>
        <w:rPr>
          <w:rFonts w:hint="eastAsia"/>
          <w:b/>
          <w:bCs/>
        </w:rPr>
        <w:t>山东地区燃料油市场行情</w:t>
      </w:r>
      <w:bookmarkEnd w:id="30"/>
      <w:bookmarkStart w:id="32" w:name="_Toc164759962"/>
      <w:bookmarkStart w:id="33" w:name="_Toc152134478"/>
    </w:p>
    <w:p>
      <w:pPr>
        <w:rPr>
          <w:rFonts w:hint="eastAsia" w:ascii="宋体" w:hAnsi="宋体" w:eastAsia="宋体" w:cs="宋体"/>
          <w:sz w:val="21"/>
          <w:szCs w:val="21"/>
        </w:rPr>
      </w:pPr>
      <w:r>
        <w:rPr>
          <w:rFonts w:hint="eastAsia"/>
          <w:sz w:val="21"/>
          <w:szCs w:val="21"/>
        </w:rPr>
        <w:t>　</w:t>
      </w:r>
      <w:bookmarkStart w:id="34" w:name="_Toc436380342"/>
      <w:r>
        <w:rPr>
          <w:rFonts w:hint="eastAsia"/>
          <w:sz w:val="21"/>
          <w:szCs w:val="21"/>
        </w:rPr>
        <w:t>　</w:t>
      </w:r>
      <w:r>
        <w:rPr>
          <w:rFonts w:hint="eastAsia" w:ascii="宋体" w:hAnsi="宋体" w:eastAsia="宋体" w:cs="宋体"/>
          <w:sz w:val="21"/>
          <w:szCs w:val="21"/>
        </w:rPr>
        <w:t>周三（5月31日），油浆继续下挫  市场交投平平。</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进口燃料油市场，迹象显示利比亚产油量回升且投资者担忧欧佩克与其他主要产油国上周延长减产协议将不足以降低全球供应过剩的局面,周二原油期货下跌，纽交所美国原油期货结算价至49.66美元，伦敦洲际交易所布伦特原油期货至51.84美元。俄罗斯M100成交估价3830-3930元/吨，贴水34-36美元/吨，马瑞原油（含重质油票）成交估价2720-2780元/吨，稀释沥青（沥青票 密度0.98）主流成交价2720-2780元/吨。</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焦化料市场，周三山东地区优质焦化料（沥青票，密度1.0左右，硫含量1.0左右）市场估价在2550-2650元/吨，渣油票市场估价为2650-2750元/吨，较前一工作日持平，今区内减渣报价零星补跌，市场购销清淡，短期或难有较大改观。</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 xml:space="preserve">    油浆市场，周三山东地区高密油浆市场成交估价2180-2280元/吨，低密油浆成交估价2280-2380元/吨，较前一工作日跌20元，外盘周二国际原油窄幅下跌，山东油浆难寻突出利好刺激，市场交投气氛一般，预计周内油浆走势或难有明显好转。</w:t>
      </w:r>
    </w:p>
    <w:p>
      <w:pPr>
        <w:rPr>
          <w:rFonts w:hint="eastAsia" w:ascii="宋体" w:hAnsi="宋体" w:eastAsia="宋体" w:cs="宋体"/>
          <w:sz w:val="21"/>
          <w:szCs w:val="21"/>
        </w:rPr>
      </w:pPr>
    </w:p>
    <w:p>
      <w:pPr>
        <w:pStyle w:val="23"/>
        <w:rPr>
          <w:rFonts w:cs="Times New Roman"/>
          <w:b/>
          <w:bCs/>
        </w:rPr>
      </w:pPr>
      <w:r>
        <w:rPr>
          <w:b/>
          <w:bCs/>
        </w:rPr>
        <w:t>2.4</w:t>
      </w:r>
      <w:r>
        <w:rPr>
          <w:rFonts w:hint="eastAsia"/>
          <w:b/>
          <w:bCs/>
        </w:rPr>
        <w:t>国内各地区燃料油市场价格</w:t>
      </w:r>
      <w:bookmarkEnd w:id="34"/>
    </w:p>
    <w:p>
      <w:pPr>
        <w:rPr>
          <w:rFonts w:cs="Times New Roman"/>
        </w:rPr>
      </w:pPr>
      <w:r>
        <w:rPr>
          <w:rFonts w:hint="eastAsia"/>
        </w:rPr>
        <w:t>单位：元</w:t>
      </w:r>
      <w:r>
        <w:t>/</w:t>
      </w:r>
      <w:r>
        <w:rPr>
          <w:rFonts w:hint="eastAsia"/>
        </w:rPr>
        <w:t>吨</w:t>
      </w:r>
      <w:bookmarkStart w:id="35" w:name="_Toc436380343"/>
    </w:p>
    <w:tbl>
      <w:tblPr>
        <w:tblW w:w="9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55"/>
        <w:gridCol w:w="2780"/>
        <w:gridCol w:w="906"/>
        <w:gridCol w:w="1068"/>
        <w:gridCol w:w="1068"/>
        <w:gridCol w:w="2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1055"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地区</w:t>
            </w:r>
          </w:p>
        </w:tc>
        <w:tc>
          <w:tcPr>
            <w:tcW w:w="2780"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w:t>
            </w:r>
          </w:p>
        </w:tc>
        <w:tc>
          <w:tcPr>
            <w:tcW w:w="906"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06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5月31日</w:t>
            </w:r>
          </w:p>
        </w:tc>
        <w:tc>
          <w:tcPr>
            <w:tcW w:w="1068"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5月30日</w:t>
            </w:r>
          </w:p>
        </w:tc>
        <w:tc>
          <w:tcPr>
            <w:tcW w:w="2659" w:type="dxa"/>
            <w:tcBorders>
              <w:top w:val="single" w:color="000000" w:sz="4" w:space="0"/>
              <w:left w:val="single" w:color="000000" w:sz="4" w:space="0"/>
              <w:bottom w:val="single" w:color="000000" w:sz="4" w:space="0"/>
              <w:right w:val="single" w:color="000000" w:sz="4" w:space="0"/>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提货方式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黄埔市场</w:t>
            </w: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上期所规格180CST </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3595</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库提价（即期）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船用标准180CST</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库提价（广州-海口）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沥青料</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2685</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新加坡混调高硫180CST贴水</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新加坡高硫180CST</w:t>
            </w:r>
          </w:p>
        </w:tc>
        <w:tc>
          <w:tcPr>
            <w:tcW w:w="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-18.75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318.25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337.00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新加坡高硫380CST</w:t>
            </w:r>
          </w:p>
        </w:tc>
        <w:tc>
          <w:tcPr>
            <w:tcW w:w="9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FF"/>
                <w:sz w:val="20"/>
                <w:szCs w:val="20"/>
                <w:u w:val="none"/>
              </w:rPr>
            </w:pPr>
            <w:r>
              <w:rPr>
                <w:rFonts w:hint="eastAsia" w:ascii="宋体" w:hAnsi="宋体" w:eastAsia="宋体" w:cs="宋体"/>
                <w:i w:val="0"/>
                <w:color w:val="0000FF"/>
                <w:kern w:val="0"/>
                <w:sz w:val="20"/>
                <w:szCs w:val="20"/>
                <w:u w:val="none"/>
                <w:lang w:val="en-US" w:eastAsia="zh-CN" w:bidi="ar"/>
              </w:rPr>
              <w:t>-1.25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307.75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309.00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CFR黄埔（美元/吨）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华东市场</w:t>
            </w: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华东国产混调180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3365</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3365</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上海国产混调180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3520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宁波国产混调180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南通国产混调180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3370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3960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35-39</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35-39</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国产调和250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2850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华东油浆</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2370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山东市场</w:t>
            </w: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直馏高硫180CST</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3730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3930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库船提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俄罗斯M100贴水（美元）</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34-36</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34-36</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CFR黄埔（5月下6月上旬）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焦化原料（带沥青票）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2750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油浆（密度密度1.03-1.06沥青票）</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-70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2380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2450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油浆（密度1.1左右沥青票</w:t>
            </w:r>
            <w:r>
              <w:rPr>
                <w:rFonts w:hint="eastAsia" w:ascii="宋体" w:hAnsi="宋体" w:eastAsia="宋体" w:cs="宋体"/>
                <w:i w:val="0"/>
                <w:color w:val="000000"/>
                <w:kern w:val="0"/>
                <w:sz w:val="21"/>
                <w:szCs w:val="21"/>
                <w:u w:val="none"/>
                <w:lang w:val="en-US" w:eastAsia="zh-CN" w:bidi="ar"/>
              </w:rPr>
              <w:t>）</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-90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2280</w:t>
            </w:r>
          </w:p>
        </w:tc>
        <w:tc>
          <w:tcPr>
            <w:tcW w:w="1068" w:type="dxa"/>
            <w:tcBorders>
              <w:top w:val="single" w:color="993366" w:sz="4" w:space="0"/>
              <w:left w:val="single" w:color="993366" w:sz="4" w:space="0"/>
              <w:bottom w:val="single" w:color="993366" w:sz="4" w:space="0"/>
              <w:right w:val="single" w:color="993366" w:sz="4" w:space="0"/>
            </w:tcBorders>
            <w:shd w:val="clear"/>
            <w:vAlign w:val="center"/>
          </w:tcPr>
          <w:p>
            <w:pPr>
              <w:keepNext w:val="0"/>
              <w:keepLines w:val="0"/>
              <w:widowControl/>
              <w:suppressLineNumbers w:val="0"/>
              <w:jc w:val="right"/>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FF0000"/>
                <w:kern w:val="0"/>
                <w:sz w:val="21"/>
                <w:szCs w:val="21"/>
                <w:u w:val="none"/>
                <w:lang w:val="en-US" w:eastAsia="zh-CN" w:bidi="ar"/>
              </w:rPr>
              <w:t>2370</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0"/>
                <w:szCs w:val="20"/>
                <w:u w:val="none"/>
              </w:rPr>
            </w:pPr>
          </w:p>
        </w:tc>
        <w:tc>
          <w:tcPr>
            <w:tcW w:w="27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常渣（密度0.95左右）</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265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库车提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055" w:type="dxa"/>
            <w:vMerge w:val="restart"/>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备注：1自2015年6月10日起，新增进口稀释沥青估价，该估价含沥青票，为港口库船提价格。</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2、近期山东地区常渣外销量稀少，于2016年3月22日起暂停常渣成交估价。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8481"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rPr>
          <w:rFonts w:cs="Times New Roman"/>
        </w:rPr>
      </w:pPr>
    </w:p>
    <w:p>
      <w:pPr>
        <w:pStyle w:val="3"/>
        <w:spacing w:before="240" w:after="240" w:line="240" w:lineRule="auto"/>
        <w:rPr>
          <w:rFonts w:ascii="宋体" w:hAnsi="宋体" w:eastAsia="宋体" w:cs="Times New Roman"/>
          <w:sz w:val="24"/>
          <w:szCs w:val="24"/>
        </w:rPr>
      </w:pPr>
      <w:r>
        <w:rPr>
          <w:rFonts w:ascii="宋体" w:hAnsi="宋体" w:eastAsia="宋体" w:cs="宋体"/>
          <w:sz w:val="24"/>
          <w:szCs w:val="24"/>
        </w:rPr>
        <w:t>2.5</w:t>
      </w:r>
      <w:r>
        <w:rPr>
          <w:rFonts w:hint="eastAsia" w:ascii="宋体" w:hAnsi="宋体" w:eastAsia="宋体" w:cs="宋体"/>
          <w:sz w:val="24"/>
          <w:szCs w:val="24"/>
        </w:rPr>
        <w:t>上海期货交易所收盘数据</w:t>
      </w:r>
      <w:bookmarkEnd w:id="35"/>
      <w:bookmarkStart w:id="41" w:name="_GoBack"/>
      <w:bookmarkEnd w:id="41"/>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33"/>
        <w:gridCol w:w="733"/>
        <w:gridCol w:w="732"/>
        <w:gridCol w:w="732"/>
        <w:gridCol w:w="732"/>
        <w:gridCol w:w="732"/>
        <w:gridCol w:w="560"/>
        <w:gridCol w:w="732"/>
        <w:gridCol w:w="73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8528" w:type="dxa"/>
            <w:gridSpan w:val="11"/>
            <w:vAlign w:val="center"/>
          </w:tcPr>
          <w:p>
            <w:pPr>
              <w:rPr>
                <w:rFonts w:cs="Times New Roman"/>
                <w:sz w:val="20"/>
                <w:szCs w:val="20"/>
              </w:rPr>
            </w:pPr>
            <w:r>
              <w:rPr>
                <w:rFonts w:hint="eastAsia"/>
                <w:sz w:val="20"/>
                <w:szCs w:val="20"/>
              </w:rPr>
              <w:t>交易货币：人民币</w:t>
            </w:r>
            <w:r>
              <w:rPr>
                <w:rFonts w:cs="Times New Roman"/>
                <w:sz w:val="20"/>
                <w:szCs w:val="20"/>
              </w:rPr>
              <w:t>  </w:t>
            </w:r>
            <w:r>
              <w:rPr>
                <w:rFonts w:hint="eastAsia"/>
                <w:sz w:val="20"/>
                <w:szCs w:val="20"/>
              </w:rPr>
              <w:t>交易单位：</w:t>
            </w:r>
            <w:r>
              <w:rPr>
                <w:sz w:val="20"/>
                <w:szCs w:val="20"/>
              </w:rPr>
              <w:t>50</w:t>
            </w:r>
            <w:r>
              <w:rPr>
                <w:rFonts w:hint="eastAsia"/>
                <w:sz w:val="20"/>
                <w:szCs w:val="20"/>
              </w:rPr>
              <w:t>吨</w:t>
            </w:r>
            <w:r>
              <w:rPr>
                <w:sz w:val="20"/>
                <w:szCs w:val="20"/>
              </w:rPr>
              <w:t>/</w:t>
            </w:r>
            <w:r>
              <w:rPr>
                <w:rFonts w:hint="eastAsia"/>
                <w:sz w:val="20"/>
                <w:szCs w:val="20"/>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shd w:val="clear" w:color="auto" w:fill="99CCFF"/>
          </w:tcPr>
          <w:p>
            <w:pPr>
              <w:jc w:val="center"/>
              <w:rPr>
                <w:rFonts w:ascii="Arial" w:hAnsi="Arial" w:cs="Arial"/>
                <w:color w:val="000000"/>
                <w:sz w:val="20"/>
                <w:szCs w:val="20"/>
              </w:rPr>
            </w:pPr>
            <w:r>
              <w:rPr>
                <w:rFonts w:hint="eastAsia" w:ascii="Arial" w:hAnsi="Arial"/>
                <w:color w:val="000000"/>
                <w:sz w:val="20"/>
                <w:szCs w:val="20"/>
              </w:rPr>
              <w:t>品种名</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昨结算</w:t>
            </w:r>
          </w:p>
        </w:tc>
        <w:tc>
          <w:tcPr>
            <w:tcW w:w="733" w:type="dxa"/>
            <w:shd w:val="clear" w:color="auto" w:fill="99CCFF"/>
          </w:tcPr>
          <w:p>
            <w:pPr>
              <w:jc w:val="center"/>
              <w:rPr>
                <w:rFonts w:ascii="Arial" w:hAnsi="Arial" w:cs="Arial"/>
                <w:color w:val="000000"/>
                <w:sz w:val="20"/>
                <w:szCs w:val="20"/>
              </w:rPr>
            </w:pPr>
            <w:r>
              <w:rPr>
                <w:rFonts w:hint="eastAsia" w:ascii="Arial" w:hAnsi="Arial"/>
                <w:color w:val="000000"/>
                <w:sz w:val="20"/>
                <w:szCs w:val="20"/>
              </w:rPr>
              <w:t>今开盘</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最低价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收盘价</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结算价</w:t>
            </w:r>
          </w:p>
        </w:tc>
        <w:tc>
          <w:tcPr>
            <w:tcW w:w="560" w:type="dxa"/>
            <w:shd w:val="clear" w:color="auto" w:fill="99CCFF"/>
          </w:tcPr>
          <w:p>
            <w:pPr>
              <w:jc w:val="center"/>
              <w:rPr>
                <w:rFonts w:cs="Times New Roman"/>
                <w:color w:val="000000"/>
                <w:sz w:val="20"/>
                <w:szCs w:val="20"/>
              </w:rPr>
            </w:pPr>
            <w:r>
              <w:rPr>
                <w:rFonts w:hint="eastAsia"/>
                <w:color w:val="000000"/>
                <w:sz w:val="20"/>
                <w:szCs w:val="20"/>
              </w:rPr>
              <w:t>升跌</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成交量</w:t>
            </w:r>
          </w:p>
        </w:tc>
        <w:tc>
          <w:tcPr>
            <w:tcW w:w="732" w:type="dxa"/>
            <w:shd w:val="clear" w:color="auto" w:fill="99CCFF"/>
          </w:tcPr>
          <w:p>
            <w:pPr>
              <w:jc w:val="center"/>
              <w:rPr>
                <w:rFonts w:ascii="Arial" w:hAnsi="Arial" w:cs="Arial"/>
                <w:color w:val="000000"/>
                <w:sz w:val="20"/>
                <w:szCs w:val="20"/>
              </w:rPr>
            </w:pPr>
            <w:r>
              <w:rPr>
                <w:rFonts w:hint="eastAsia" w:ascii="Arial" w:hAnsi="Arial"/>
                <w:color w:val="000000"/>
                <w:sz w:val="20"/>
                <w:szCs w:val="20"/>
              </w:rPr>
              <w:t>持仓量</w:t>
            </w:r>
          </w:p>
        </w:tc>
        <w:tc>
          <w:tcPr>
            <w:tcW w:w="990" w:type="dxa"/>
            <w:shd w:val="clear" w:color="auto" w:fill="99CCFF"/>
          </w:tcPr>
          <w:p>
            <w:pPr>
              <w:jc w:val="center"/>
              <w:rPr>
                <w:rFonts w:ascii="Arial" w:hAnsi="Arial" w:cs="Arial"/>
                <w:color w:val="000000"/>
                <w:sz w:val="20"/>
                <w:szCs w:val="20"/>
              </w:rPr>
            </w:pPr>
            <w:r>
              <w:rPr>
                <w:rFonts w:hint="eastAsia" w:ascii="Arial" w:hAnsi="Arial"/>
                <w:color w:val="000000"/>
                <w:sz w:val="20"/>
                <w:szCs w:val="20"/>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1120" w:type="dxa"/>
            <w:vAlign w:val="center"/>
          </w:tcPr>
          <w:p>
            <w:pPr>
              <w:jc w:val="right"/>
              <w:rPr>
                <w:rFonts w:cs="Times New Roman"/>
                <w:sz w:val="20"/>
                <w:szCs w:val="20"/>
              </w:rPr>
            </w:pPr>
            <w:r>
              <w:rPr>
                <w:rFonts w:hint="eastAsia"/>
                <w:sz w:val="20"/>
                <w:szCs w:val="20"/>
              </w:rPr>
              <w:t>燃料油</w:t>
            </w:r>
            <w:r>
              <w:rPr>
                <w:sz w:val="20"/>
                <w:szCs w:val="20"/>
              </w:rPr>
              <w:t>1711</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3818</w:t>
            </w:r>
          </w:p>
        </w:tc>
        <w:tc>
          <w:tcPr>
            <w:tcW w:w="733"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3805</w:t>
            </w:r>
          </w:p>
        </w:tc>
        <w:tc>
          <w:tcPr>
            <w:tcW w:w="732" w:type="dxa"/>
          </w:tcPr>
          <w:p>
            <w:pPr>
              <w:rPr>
                <w:rFonts w:hint="eastAsia" w:eastAsia="宋体" w:cs="Times New Roman"/>
                <w:lang w:eastAsia="zh-CN"/>
              </w:rPr>
            </w:pPr>
            <w:r>
              <w:rPr>
                <w:rFonts w:hint="eastAsia"/>
                <w:sz w:val="20"/>
                <w:szCs w:val="20"/>
                <w:lang w:val="en-US" w:eastAsia="zh-CN"/>
              </w:rPr>
              <w:t>3874</w:t>
            </w:r>
          </w:p>
        </w:tc>
        <w:tc>
          <w:tcPr>
            <w:tcW w:w="732" w:type="dxa"/>
          </w:tcPr>
          <w:p>
            <w:pPr>
              <w:rPr>
                <w:rFonts w:hint="eastAsia" w:eastAsia="宋体" w:cs="Times New Roman"/>
                <w:lang w:eastAsia="zh-CN"/>
              </w:rPr>
            </w:pPr>
            <w:r>
              <w:rPr>
                <w:rFonts w:hint="eastAsia"/>
                <w:sz w:val="20"/>
                <w:szCs w:val="20"/>
                <w:lang w:val="en-US" w:eastAsia="zh-CN"/>
              </w:rPr>
              <w:t>3805</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3874</w:t>
            </w:r>
          </w:p>
        </w:tc>
        <w:tc>
          <w:tcPr>
            <w:tcW w:w="732" w:type="dxa"/>
          </w:tcPr>
          <w:p>
            <w:pPr>
              <w:rPr>
                <w:rFonts w:hint="eastAsia" w:eastAsia="宋体" w:cs="Times New Roman"/>
                <w:sz w:val="20"/>
                <w:szCs w:val="20"/>
                <w:lang w:val="en-US" w:eastAsia="zh-CN"/>
              </w:rPr>
            </w:pPr>
            <w:r>
              <w:rPr>
                <w:rFonts w:hint="eastAsia" w:cs="Times New Roman"/>
                <w:sz w:val="20"/>
                <w:szCs w:val="20"/>
                <w:lang w:val="en-US" w:eastAsia="zh-CN"/>
              </w:rPr>
              <w:t>3833</w:t>
            </w:r>
          </w:p>
        </w:tc>
        <w:tc>
          <w:tcPr>
            <w:tcW w:w="560"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15</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6</w:t>
            </w:r>
          </w:p>
        </w:tc>
        <w:tc>
          <w:tcPr>
            <w:tcW w:w="732" w:type="dxa"/>
            <w:vAlign w:val="center"/>
          </w:tcPr>
          <w:p>
            <w:pPr>
              <w:jc w:val="right"/>
              <w:rPr>
                <w:rFonts w:hint="eastAsia" w:eastAsia="宋体" w:cs="Times New Roman"/>
                <w:sz w:val="20"/>
                <w:szCs w:val="20"/>
                <w:lang w:val="en-US" w:eastAsia="zh-CN"/>
              </w:rPr>
            </w:pPr>
            <w:r>
              <w:rPr>
                <w:rFonts w:hint="eastAsia" w:cs="Times New Roman"/>
                <w:sz w:val="20"/>
                <w:szCs w:val="20"/>
                <w:lang w:val="en-US" w:eastAsia="zh-CN"/>
              </w:rPr>
              <w:t>2</w:t>
            </w:r>
          </w:p>
        </w:tc>
        <w:tc>
          <w:tcPr>
            <w:tcW w:w="990" w:type="dxa"/>
            <w:vAlign w:val="center"/>
          </w:tcPr>
          <w:p>
            <w:pPr>
              <w:jc w:val="right"/>
              <w:rPr>
                <w:rFonts w:cs="Times New Roman"/>
                <w:sz w:val="20"/>
                <w:szCs w:val="20"/>
              </w:rPr>
            </w:pPr>
            <w:r>
              <w:rPr>
                <w:rFonts w:hint="eastAsia"/>
                <w:sz w:val="20"/>
                <w:szCs w:val="20"/>
                <w:lang w:val="en-US" w:eastAsia="zh-CN"/>
              </w:rPr>
              <w:t>18</w:t>
            </w:r>
            <w:r>
              <w:rPr>
                <w:sz w:val="20"/>
                <w:szCs w:val="20"/>
              </w:rPr>
              <w:t>May17</w:t>
            </w:r>
          </w:p>
        </w:tc>
      </w:tr>
    </w:tbl>
    <w:p>
      <w:pPr>
        <w:rPr>
          <w:rFonts w:hint="eastAsia" w:ascii="Arial" w:hAnsi="Arial"/>
          <w:sz w:val="21"/>
          <w:szCs w:val="21"/>
        </w:rPr>
      </w:pPr>
    </w:p>
    <w:p>
      <w:pPr>
        <w:pStyle w:val="3"/>
        <w:spacing w:before="240" w:after="240" w:line="240" w:lineRule="auto"/>
        <w:rPr>
          <w:rFonts w:ascii="宋体" w:hAnsi="宋体" w:eastAsia="宋体" w:cs="Times New Roman"/>
          <w:sz w:val="24"/>
          <w:szCs w:val="24"/>
        </w:rPr>
      </w:pPr>
      <w:bookmarkStart w:id="36" w:name="_Toc436380344"/>
      <w:r>
        <w:rPr>
          <w:rFonts w:ascii="宋体" w:hAnsi="宋体" w:eastAsia="宋体" w:cs="宋体"/>
          <w:sz w:val="24"/>
          <w:szCs w:val="24"/>
        </w:rPr>
        <w:t>2. 6</w:t>
      </w:r>
      <w:r>
        <w:rPr>
          <w:rFonts w:hint="eastAsia" w:ascii="宋体" w:hAnsi="宋体" w:eastAsia="宋体" w:cs="宋体"/>
          <w:sz w:val="24"/>
          <w:szCs w:val="24"/>
        </w:rPr>
        <w:t>上海期货交易所收盘报告</w:t>
      </w:r>
    </w:p>
    <w:bookmarkEnd w:id="32"/>
    <w:bookmarkEnd w:id="33"/>
    <w:bookmarkEnd w:id="36"/>
    <w:p>
      <w:pPr>
        <w:keepNext w:val="0"/>
        <w:keepLines w:val="0"/>
        <w:widowControl/>
        <w:suppressLineNumbers w:val="0"/>
        <w:wordWrap w:val="0"/>
        <w:spacing w:before="0" w:beforeAutospacing="0" w:after="60" w:afterAutospacing="0" w:line="288" w:lineRule="auto"/>
        <w:ind w:left="0" w:right="0" w:firstLine="480"/>
        <w:jc w:val="left"/>
      </w:pPr>
      <w:bookmarkStart w:id="37" w:name="_Toc436380345"/>
      <w:r>
        <w:rPr>
          <w:rFonts w:hint="eastAsia" w:ascii="宋体" w:hAnsi="宋体" w:eastAsia="宋体" w:cs="宋体"/>
          <w:kern w:val="0"/>
          <w:sz w:val="21"/>
          <w:szCs w:val="21"/>
          <w:lang w:val="en-US" w:eastAsia="zh-CN" w:bidi="ar"/>
        </w:rPr>
        <w:t>周</w:t>
      </w:r>
      <w:r>
        <w:rPr>
          <w:rFonts w:hint="eastAsia" w:cs="宋体"/>
          <w:kern w:val="0"/>
          <w:sz w:val="21"/>
          <w:szCs w:val="21"/>
          <w:lang w:val="en-US" w:eastAsia="zh-CN" w:bidi="ar"/>
        </w:rPr>
        <w:t>三</w:t>
      </w:r>
      <w:r>
        <w:rPr>
          <w:rFonts w:hint="eastAsia" w:ascii="宋体" w:hAnsi="宋体" w:eastAsia="宋体" w:cs="宋体"/>
          <w:kern w:val="0"/>
          <w:sz w:val="21"/>
          <w:szCs w:val="21"/>
          <w:lang w:val="en-US" w:eastAsia="zh-CN" w:bidi="ar"/>
        </w:rPr>
        <w:t>上期所燃料油期货市场无成交。</w:t>
      </w:r>
    </w:p>
    <w:p>
      <w:pPr>
        <w:pStyle w:val="23"/>
        <w:rPr>
          <w:rFonts w:cs="Times New Roman"/>
          <w:sz w:val="20"/>
          <w:szCs w:val="20"/>
        </w:rPr>
      </w:pPr>
    </w:p>
    <w:p>
      <w:pPr>
        <w:pStyle w:val="2"/>
        <w:spacing w:before="120" w:after="0" w:line="240" w:lineRule="auto"/>
        <w:rPr>
          <w:rFonts w:cs="Times New Roman"/>
          <w:color w:val="FF0000"/>
          <w:sz w:val="28"/>
          <w:szCs w:val="28"/>
        </w:rPr>
      </w:pPr>
      <w:r>
        <w:rPr>
          <w:rFonts w:hint="eastAsia"/>
          <w:color w:val="FF0000"/>
          <w:sz w:val="28"/>
          <w:szCs w:val="28"/>
        </w:rPr>
        <w:t>三、国内燃料油船期预报</w:t>
      </w:r>
      <w:bookmarkEnd w:id="37"/>
    </w:p>
    <w:p>
      <w:pPr>
        <w:pStyle w:val="3"/>
        <w:numPr>
          <w:ilvl w:val="1"/>
          <w:numId w:val="3"/>
        </w:numPr>
        <w:spacing w:before="240" w:after="240" w:line="240" w:lineRule="auto"/>
        <w:rPr>
          <w:rFonts w:ascii="宋体" w:hAnsi="宋体" w:eastAsia="宋体" w:cs="Times New Roman"/>
          <w:sz w:val="24"/>
          <w:szCs w:val="24"/>
        </w:rPr>
      </w:pPr>
      <w:r>
        <w:rPr>
          <w:rFonts w:hint="eastAsia" w:ascii="宋体" w:hAnsi="宋体" w:eastAsia="宋体" w:cs="宋体"/>
          <w:sz w:val="24"/>
          <w:szCs w:val="24"/>
        </w:rPr>
        <w:t>华南燃料油船期预报</w:t>
      </w:r>
    </w:p>
    <w:p>
      <w:pPr>
        <w:rPr>
          <w:rFonts w:cs="Times New Roman"/>
        </w:rPr>
      </w:pPr>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76"/>
        <w:gridCol w:w="106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7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6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4月5日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泓富6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2</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4月6日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龙光688</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3</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2,978.00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N/A/广州</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大富1</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4月7日</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sz w:val="20"/>
                <w:szCs w:val="20"/>
              </w:rPr>
              <w:t>500.00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N/A/珠海</w:t>
            </w:r>
            <w:r>
              <w:rPr>
                <w:rFonts w:hint="eastAsia" w:ascii="宋体" w:hAnsi="宋体" w:eastAsia="宋体" w:cs="宋体"/>
                <w:sz w:val="20"/>
                <w:szCs w:val="20"/>
              </w:rPr>
              <w:tab/>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湛海供166</w:t>
            </w:r>
            <w:r>
              <w:rPr>
                <w:rFonts w:hint="eastAsia" w:ascii="宋体" w:hAnsi="宋体" w:eastAsia="宋体" w:cs="宋体"/>
                <w:sz w:val="20"/>
                <w:szCs w:val="20"/>
              </w:rPr>
              <w:tab/>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10，478.00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7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6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pStyle w:val="3"/>
        <w:numPr>
          <w:ilvl w:val="1"/>
          <w:numId w:val="3"/>
        </w:numPr>
        <w:spacing w:before="240" w:after="240" w:line="240" w:lineRule="auto"/>
        <w:rPr>
          <w:rFonts w:ascii="宋体" w:hAnsi="宋体" w:eastAsia="宋体" w:cs="Times New Roman"/>
          <w:sz w:val="24"/>
          <w:szCs w:val="24"/>
        </w:rPr>
      </w:pPr>
      <w:bookmarkStart w:id="38" w:name="_Toc436380347"/>
      <w:r>
        <w:rPr>
          <w:rFonts w:hint="eastAsia" w:ascii="宋体" w:hAnsi="宋体" w:eastAsia="宋体" w:cs="宋体"/>
          <w:sz w:val="24"/>
          <w:szCs w:val="24"/>
        </w:rPr>
        <w:t>华东燃料油船期预报</w:t>
      </w:r>
      <w:bookmarkEnd w:id="38"/>
    </w:p>
    <w:tbl>
      <w:tblPr>
        <w:tblStyle w:val="29"/>
        <w:tblW w:w="852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421"/>
        <w:gridCol w:w="1406"/>
        <w:gridCol w:w="1406"/>
        <w:gridCol w:w="1462"/>
        <w:gridCol w:w="1080"/>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618"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序号</w:t>
            </w:r>
          </w:p>
        </w:tc>
        <w:tc>
          <w:tcPr>
            <w:tcW w:w="1421"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预计到港日期</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数量（吨）</w:t>
            </w:r>
          </w:p>
        </w:tc>
        <w:tc>
          <w:tcPr>
            <w:tcW w:w="1406"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航线</w:t>
            </w:r>
          </w:p>
        </w:tc>
        <w:tc>
          <w:tcPr>
            <w:tcW w:w="1462"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船名</w:t>
            </w:r>
          </w:p>
        </w:tc>
        <w:tc>
          <w:tcPr>
            <w:tcW w:w="1080"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接货公司</w:t>
            </w:r>
          </w:p>
        </w:tc>
        <w:tc>
          <w:tcPr>
            <w:tcW w:w="1135" w:type="dxa"/>
            <w:tcBorders>
              <w:tl2br w:val="nil"/>
              <w:tr2bl w:val="nil"/>
            </w:tcBorders>
            <w:shd w:val="clear" w:color="auto" w:fill="99CCFF"/>
            <w:vAlign w:val="center"/>
          </w:tcPr>
          <w:p>
            <w:pPr>
              <w:jc w:val="center"/>
              <w:rPr>
                <w:rFonts w:cs="Times New Roman"/>
                <w:b/>
                <w:bCs/>
                <w:sz w:val="20"/>
                <w:szCs w:val="20"/>
              </w:rPr>
            </w:pPr>
            <w:r>
              <w:rPr>
                <w:rFonts w:hint="eastAsia"/>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w:t>
            </w:r>
          </w:p>
        </w:tc>
        <w:tc>
          <w:tcPr>
            <w:tcW w:w="1421"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12月3日</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安定号</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N/A</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混调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618"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21"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合计</w:t>
            </w:r>
          </w:p>
        </w:tc>
        <w:tc>
          <w:tcPr>
            <w:tcW w:w="1406" w:type="dxa"/>
            <w:tcBorders>
              <w:tl2br w:val="nil"/>
              <w:tr2bl w:val="nil"/>
            </w:tcBorders>
            <w:vAlign w:val="center"/>
          </w:tcPr>
          <w:p>
            <w:pPr>
              <w:jc w:val="center"/>
              <w:rPr>
                <w:rFonts w:hint="eastAsia" w:ascii="宋体" w:hAnsi="宋体" w:eastAsia="宋体" w:cs="宋体"/>
                <w:b/>
                <w:bCs/>
                <w:sz w:val="20"/>
                <w:szCs w:val="20"/>
              </w:rPr>
            </w:pPr>
            <w:r>
              <w:rPr>
                <w:rFonts w:hint="eastAsia" w:ascii="宋体" w:hAnsi="宋体" w:eastAsia="宋体" w:cs="宋体"/>
                <w:b/>
                <w:bCs/>
                <w:sz w:val="20"/>
                <w:szCs w:val="20"/>
              </w:rPr>
              <w:t>40，000.00</w:t>
            </w:r>
          </w:p>
        </w:tc>
        <w:tc>
          <w:tcPr>
            <w:tcW w:w="1406"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462"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080"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c>
          <w:tcPr>
            <w:tcW w:w="1135" w:type="dxa"/>
            <w:tcBorders>
              <w:tl2br w:val="nil"/>
              <w:tr2bl w:val="nil"/>
            </w:tcBorders>
            <w:vAlign w:val="center"/>
          </w:tcPr>
          <w:p>
            <w:pPr>
              <w:jc w:val="center"/>
              <w:rPr>
                <w:rFonts w:hint="eastAsia" w:ascii="宋体" w:hAnsi="宋体" w:eastAsia="宋体" w:cs="宋体"/>
                <w:sz w:val="20"/>
                <w:szCs w:val="20"/>
              </w:rPr>
            </w:pPr>
            <w:r>
              <w:rPr>
                <w:rFonts w:hint="eastAsia" w:ascii="宋体" w:hAnsi="宋体" w:eastAsia="宋体" w:cs="宋体"/>
                <w:sz w:val="20"/>
                <w:szCs w:val="20"/>
              </w:rPr>
              <w:t>　</w:t>
            </w:r>
          </w:p>
        </w:tc>
      </w:tr>
    </w:tbl>
    <w:p>
      <w:pPr>
        <w:rPr>
          <w:rFonts w:cs="Times New Roman"/>
        </w:rPr>
      </w:pPr>
    </w:p>
    <w:p>
      <w:pPr>
        <w:rPr>
          <w:rFonts w:cs="Times New Roman"/>
        </w:rPr>
      </w:pPr>
    </w:p>
    <w:p>
      <w:pPr>
        <w:pStyle w:val="3"/>
        <w:numPr>
          <w:ilvl w:val="1"/>
          <w:numId w:val="3"/>
        </w:numPr>
        <w:tabs>
          <w:tab w:val="left" w:pos="4860"/>
        </w:tabs>
        <w:spacing w:before="240" w:after="240" w:line="240" w:lineRule="auto"/>
        <w:rPr>
          <w:rFonts w:ascii="宋体" w:hAnsi="宋体" w:eastAsia="宋体" w:cs="Times New Roman"/>
          <w:sz w:val="24"/>
          <w:szCs w:val="24"/>
        </w:rPr>
      </w:pPr>
      <w:bookmarkStart w:id="39" w:name="_Toc436380348"/>
      <w:r>
        <w:rPr>
          <w:rFonts w:hint="eastAsia" w:ascii="宋体" w:hAnsi="宋体" w:eastAsia="宋体" w:cs="宋体"/>
          <w:sz w:val="24"/>
          <w:szCs w:val="24"/>
        </w:rPr>
        <w:t>山东燃料油船期预报</w:t>
      </w:r>
      <w:bookmarkEnd w:id="39"/>
    </w:p>
    <w:p>
      <w:pPr>
        <w:rPr>
          <w:rFonts w:cs="Times New Roman"/>
          <w:sz w:val="21"/>
          <w:szCs w:val="21"/>
        </w:rPr>
      </w:pPr>
    </w:p>
    <w:tbl>
      <w:tblPr>
        <w:tblStyle w:val="29"/>
        <w:tblW w:w="80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080"/>
        <w:gridCol w:w="1125"/>
        <w:gridCol w:w="1530"/>
        <w:gridCol w:w="1080"/>
        <w:gridCol w:w="108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bookmarkStart w:id="40" w:name="_PictureBullets"/>
            <w:r>
              <w:rPr>
                <w:rFonts w:hint="eastAsia" w:ascii="宋体" w:hAnsi="宋体" w:eastAsia="宋体" w:cs="宋体"/>
                <w:b/>
                <w:bCs/>
                <w:i w:val="0"/>
                <w:color w:val="000000"/>
                <w:kern w:val="0"/>
                <w:sz w:val="20"/>
                <w:szCs w:val="20"/>
                <w:u w:val="none"/>
                <w:lang w:val="en-US" w:eastAsia="zh-CN" w:bidi="ar"/>
              </w:rPr>
              <w:t>序号</w:t>
            </w:r>
          </w:p>
        </w:tc>
        <w:tc>
          <w:tcPr>
            <w:tcW w:w="1125"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预计到港日期</w:t>
            </w:r>
          </w:p>
        </w:tc>
        <w:tc>
          <w:tcPr>
            <w:tcW w:w="153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数量（吨）</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航线</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船名</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接货公司</w:t>
            </w:r>
          </w:p>
        </w:tc>
        <w:tc>
          <w:tcPr>
            <w:tcW w:w="1080" w:type="dxa"/>
            <w:tcBorders>
              <w:tl2br w:val="nil"/>
              <w:tr2bl w:val="nil"/>
            </w:tcBorders>
            <w:shd w:val="clear" w:color="auto" w:fill="99CCFF"/>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NAVE SYNERGY纳维</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神驰化工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SEA HYMN海上圣歌</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原油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俄罗斯/莱州港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HS MEDEA美狄亚</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昌邑石化 </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127000.00 </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DIAMOND牛钻</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齐润化工</w:t>
            </w:r>
          </w:p>
        </w:tc>
        <w:tc>
          <w:tcPr>
            <w:tcW w:w="1080" w:type="dxa"/>
            <w:tcBorders>
              <w:tl2br w:val="nil"/>
              <w:tr2bl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委内瑞拉/青岛港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NEW CONFORT凯逸</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JING GANG S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5月11日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PORT STANLEY斯坦利</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5月12日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DHT SOPHIE苏菲</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SOPHIE SCHE…</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SILIA T西伯亚</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万达天弘</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CHEROKEE彻罗基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伊朗/青岛港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DAN都恩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285000.00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委内瑞拉/青岛港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OVERSEAS MC…</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马瑞原油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安哥拉/青岛港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IOANNA安娜</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N/A/莱州港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基西拉勇士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阿曼/青岛港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ADVANTAGE SKY益空</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5月25日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榆林湾</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5月26日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SYROS WARRIOR勇士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5月27日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迪拜魔力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FSL HONG KONG</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5月28日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SUEZ HANS苏伊士</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N/A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5月29日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昌邑石化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73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5月30日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马来西亚/青岛港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CATALAN SEA卡特兰海</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轻质原油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N/A</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山东鑫岳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原油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5月3日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中国/烟台港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旺池</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金诚石化</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5" w:hRule="atLeast"/>
        </w:trPr>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2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5月14日</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63000.00 </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中国/莱州港</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北海展望</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海科化工</w:t>
            </w:r>
          </w:p>
        </w:tc>
        <w:tc>
          <w:tcPr>
            <w:tcW w:w="1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海洋油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080" w:type="dxa"/>
            <w:tcBorders>
              <w:tl2br w:val="nil"/>
              <w:tr2bl w:val="nil"/>
            </w:tcBorders>
            <w:shd w:val="clear" w:color="auto" w:fill="auto"/>
            <w:vAlign w:val="center"/>
          </w:tcPr>
          <w:p>
            <w:pPr>
              <w:jc w:val="center"/>
              <w:rPr>
                <w:rFonts w:hint="eastAsia" w:ascii="宋体" w:hAnsi="宋体" w:eastAsia="宋体" w:cs="宋体"/>
                <w:i w:val="0"/>
                <w:color w:val="000000"/>
                <w:sz w:val="20"/>
                <w:szCs w:val="20"/>
                <w:u w:val="none"/>
              </w:rPr>
            </w:pPr>
          </w:p>
        </w:tc>
        <w:tc>
          <w:tcPr>
            <w:tcW w:w="1125" w:type="dxa"/>
            <w:tcBorders>
              <w:tl2br w:val="nil"/>
              <w:tr2bl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合计</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3438000.00 </w:t>
            </w: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c>
          <w:tcPr>
            <w:tcW w:w="1080" w:type="dxa"/>
            <w:tcBorders>
              <w:tl2br w:val="nil"/>
              <w:tr2bl w:val="nil"/>
            </w:tcBorders>
            <w:shd w:val="clear" w:color="auto" w:fill="auto"/>
            <w:vAlign w:val="center"/>
          </w:tcPr>
          <w:p>
            <w:pPr>
              <w:rPr>
                <w:rFonts w:hint="eastAsia" w:ascii="宋体" w:hAnsi="宋体" w:eastAsia="宋体" w:cs="宋体"/>
                <w:i w:val="0"/>
                <w:color w:val="000000"/>
                <w:sz w:val="20"/>
                <w:szCs w:val="20"/>
                <w:u w:val="none"/>
              </w:rPr>
            </w:pPr>
          </w:p>
        </w:tc>
      </w:tr>
    </w:tbl>
    <w:p>
      <w:pPr>
        <w:rPr>
          <w:rFonts w:cs="Times New Roman"/>
        </w:rPr>
      </w:pPr>
      <w:r>
        <w:rPr>
          <w:rFonts w:ascii="Times New Roman" w:hAnsi="Times New Roman" w:cs="Times New Roman"/>
          <w:vanish/>
        </w:rPr>
        <w:t xml:space="preserve"> </w:t>
      </w:r>
      <w:r>
        <w:rPr>
          <w:rFonts w:ascii="Times New Roman" w:hAnsi="Times New Roman" w:cs="Times New Roman"/>
          <w:vanish/>
        </w:rPr>
        <w:pict>
          <v:shape id="_x0000_i1026" o:spt="75" type="#_x0000_t75" style="height:11.25pt;width:11.25pt;" filled="f" o:preferrelative="t" stroked="f" coordsize="21600,21600">
            <v:path/>
            <v:fill on="f" focussize="0,0"/>
            <v:stroke on="f" joinstyle="miter"/>
            <v:imagedata r:id="rId10" o:title=""/>
            <o:lock v:ext="edit" aspectratio="t"/>
            <w10:wrap type="none"/>
            <w10:anchorlock/>
          </v:shape>
        </w:pict>
      </w:r>
      <w:bookmarkEnd w:id="40"/>
    </w:p>
    <w:sectPr>
      <w:headerReference r:id="rId4" w:type="first"/>
      <w:headerReference r:id="rId3" w:type="default"/>
      <w:footerReference r:id="rId5" w:type="default"/>
      <w:pgSz w:w="11906" w:h="16838"/>
      <w:pgMar w:top="1440" w:right="1797" w:bottom="1418" w:left="1797" w:header="851" w:footer="992" w:gutter="0"/>
      <w:pgBorders w:display="notFirstPage" w:offsetFrom="page">
        <w:top w:val="thinThickLargeGap" w:color="00CCFF" w:sz="24" w:space="24"/>
        <w:left w:val="thinThickLargeGap" w:color="00CCFF" w:sz="24" w:space="24"/>
        <w:bottom w:val="thinThickLargeGap" w:color="00CCFF" w:sz="24" w:space="24"/>
        <w:right w:val="thinThickLargeGap" w:color="00CCFF" w:sz="24" w:space="24"/>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Arial">
    <w:panose1 w:val="020B0604020202020204"/>
    <w:charset w:val="00"/>
    <w:family w:val="swiss"/>
    <w:pitch w:val="default"/>
    <w:sig w:usb0="00007A87" w:usb1="80000000" w:usb2="00000008"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
    <w:altName w:val="Times New Roman"/>
    <w:panose1 w:val="00000000000000000000"/>
    <w:charset w:val="00"/>
    <w:family w:val="roman"/>
    <w:pitch w:val="default"/>
    <w:sig w:usb0="00000000" w:usb1="00000000" w:usb2="00000000" w:usb3="00000000" w:csb0="0000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汉仪旗黑-55S">
    <w:panose1 w:val="00020600040101010101"/>
    <w:charset w:val="86"/>
    <w:family w:val="auto"/>
    <w:pitch w:val="default"/>
    <w:sig w:usb0="A00002BF" w:usb1="18EF7CFA" w:usb2="00000016" w:usb3="00000000" w:csb0="00040000" w:csb1="00000000"/>
  </w:font>
  <w:font w:name="Lucida Sans">
    <w:altName w:val="Lucida Sans Unicode"/>
    <w:panose1 w:val="020B0602030504020204"/>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icrosoft Yahei">
    <w:altName w:val="Courier New"/>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274" w:h="266" w:hRule="exact" w:wrap="around" w:vAnchor="text" w:hAnchor="margin" w:xAlign="center" w:y="5"/>
      <w:jc w:val="center"/>
      <w:rPr>
        <w:rStyle w:val="26"/>
        <w:rFonts w:cs="Times New Roman"/>
        <w:sz w:val="21"/>
        <w:szCs w:val="21"/>
      </w:rPr>
    </w:pPr>
    <w:r>
      <w:rPr>
        <w:rStyle w:val="26"/>
        <w:sz w:val="21"/>
        <w:szCs w:val="21"/>
      </w:rPr>
      <w:fldChar w:fldCharType="begin"/>
    </w:r>
    <w:r>
      <w:rPr>
        <w:rStyle w:val="26"/>
        <w:sz w:val="21"/>
        <w:szCs w:val="21"/>
      </w:rPr>
      <w:instrText xml:space="preserve">PAGE  </w:instrText>
    </w:r>
    <w:r>
      <w:rPr>
        <w:rStyle w:val="26"/>
        <w:sz w:val="21"/>
        <w:szCs w:val="21"/>
      </w:rPr>
      <w:fldChar w:fldCharType="separate"/>
    </w:r>
    <w:r>
      <w:rPr>
        <w:rStyle w:val="26"/>
        <w:sz w:val="21"/>
        <w:szCs w:val="21"/>
      </w:rPr>
      <w:t>2</w:t>
    </w:r>
    <w:r>
      <w:rPr>
        <w:rStyle w:val="26"/>
        <w:sz w:val="21"/>
        <w:szCs w:val="21"/>
      </w:rPr>
      <w:fldChar w:fldCharType="end"/>
    </w:r>
  </w:p>
  <w:p>
    <w:pPr>
      <w:rPr>
        <w:rFonts w:cs="Times New Roman"/>
        <w:color w:val="FF66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ascii="Tahoma" w:hAnsi="Tahoma" w:cs="Tahoma"/>
        <w:b/>
        <w:bCs/>
        <w:shadow/>
        <w:color w:val="000080"/>
        <w:sz w:val="30"/>
        <w:szCs w:val="30"/>
      </w:rPr>
    </w:pPr>
  </w:p>
  <w:p>
    <w:pPr>
      <w:pStyle w:val="15"/>
      <w:jc w:val="both"/>
      <w:rPr>
        <w:rFonts w:cs="Times New Roman"/>
        <w:b/>
        <w:bCs/>
        <w:color w:val="808080"/>
        <w:sz w:val="21"/>
        <w:szCs w:val="21"/>
      </w:rPr>
    </w:pPr>
    <w:r>
      <w:pict>
        <v:shape id="PowerPlusWaterMarkObject3" o:spid="_x0000_s2049" o:spt="136" type="#_x0000_t136" style="position:absolute;left:0pt;height:117.1pt;width:468.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r>
      <w:rPr>
        <w:rFonts w:ascii="Tahoma" w:hAnsi="Tahoma" w:cs="Tahoma"/>
        <w:b/>
        <w:bCs/>
        <w:shadow/>
        <w:color w:val="000080"/>
        <w:sz w:val="30"/>
        <w:szCs w:val="30"/>
      </w:rPr>
      <w:t xml:space="preserve"> Chinaccm </w:t>
    </w:r>
    <w:r>
      <w:rPr>
        <w:rFonts w:ascii="Tahoma" w:hAnsi="Tahoma" w:cs="Tahoma"/>
        <w:b/>
        <w:bCs/>
        <w:shadow/>
        <w:color w:val="FF0000"/>
        <w:sz w:val="36"/>
        <w:szCs w:val="36"/>
      </w:rPr>
      <w:t>VIP</w:t>
    </w:r>
    <w:r>
      <w:rPr>
        <w:rFonts w:ascii="Tahoma" w:hAnsi="Tahoma" w:cs="Tahoma"/>
        <w:b/>
        <w:bCs/>
        <w:shadow/>
        <w:color w:val="000080"/>
        <w:sz w:val="30"/>
        <w:szCs w:val="30"/>
      </w:rPr>
      <w:t xml:space="preserve"> day report</w:t>
    </w:r>
    <w:r>
      <w:rPr>
        <w:b/>
        <w:bCs/>
        <w:color w:val="808080"/>
        <w:sz w:val="21"/>
        <w:szCs w:val="21"/>
      </w:rPr>
      <w:t>—</w:t>
    </w:r>
    <w:r>
      <w:rPr>
        <w:rFonts w:hint="eastAsia"/>
        <w:b/>
        <w:bCs/>
        <w:color w:val="FF0000"/>
        <w:sz w:val="21"/>
        <w:szCs w:val="21"/>
      </w:rPr>
      <w:t>燃料油</w:t>
    </w:r>
    <w:r>
      <w:rPr>
        <w:rFonts w:hint="eastAsia"/>
        <w:color w:val="0000FF"/>
        <w:sz w:val="21"/>
        <w:szCs w:val="21"/>
      </w:rPr>
      <w:t>信息咨询及订购热线：</w:t>
    </w:r>
    <w:r>
      <w:rPr>
        <w:color w:val="0000FF"/>
        <w:sz w:val="21"/>
        <w:szCs w:val="21"/>
      </w:rPr>
      <w:t>010-58303560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imes New Roman"/>
      </w:rPr>
    </w:pPr>
    <w:r>
      <w:pict>
        <v:shape id="PowerPlusWaterMarkObject1" o:spid="_x0000_s2050" o:spt="136" type="#_x0000_t136" style="position:absolute;left:0pt;height:117.1pt;width:46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t" xscale="f" string="chinaccm"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4C69"/>
    <w:multiLevelType w:val="multilevel"/>
    <w:tmpl w:val="0E864C69"/>
    <w:lvl w:ilvl="0" w:tentative="0">
      <w:start w:val="1"/>
      <w:numFmt w:val="decimal"/>
      <w:lvlText w:val="%1"/>
      <w:lvlJc w:val="left"/>
      <w:pPr>
        <w:tabs>
          <w:tab w:val="left" w:pos="600"/>
        </w:tabs>
        <w:ind w:left="600" w:hanging="600"/>
      </w:pPr>
      <w:rPr>
        <w:rFonts w:hint="default"/>
      </w:rPr>
    </w:lvl>
    <w:lvl w:ilvl="1" w:tentative="0">
      <w:start w:val="2"/>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71BC0B93"/>
    <w:multiLevelType w:val="multilevel"/>
    <w:tmpl w:val="71BC0B93"/>
    <w:lvl w:ilvl="0" w:tentative="0">
      <w:start w:val="1"/>
      <w:numFmt w:val="decimal"/>
      <w:lvlText w:val="%1"/>
      <w:lvlJc w:val="left"/>
      <w:pPr>
        <w:tabs>
          <w:tab w:val="left" w:pos="600"/>
        </w:tabs>
        <w:ind w:left="600" w:hanging="600"/>
      </w:pPr>
      <w:rPr>
        <w:rFonts w:hint="default"/>
      </w:rPr>
    </w:lvl>
    <w:lvl w:ilvl="1" w:tentative="0">
      <w:start w:val="7"/>
      <w:numFmt w:val="decimal"/>
      <w:lvlText w:val="%1.%2"/>
      <w:lvlJc w:val="left"/>
      <w:pPr>
        <w:tabs>
          <w:tab w:val="left" w:pos="600"/>
        </w:tabs>
        <w:ind w:left="600" w:hanging="60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77DE5BD7"/>
    <w:multiLevelType w:val="multilevel"/>
    <w:tmpl w:val="77DE5BD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601"/>
    <w:rsid w:val="00054870"/>
    <w:rsid w:val="0005506A"/>
    <w:rsid w:val="00055259"/>
    <w:rsid w:val="000553DD"/>
    <w:rsid w:val="00055529"/>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0D5"/>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323"/>
    <w:rsid w:val="00095656"/>
    <w:rsid w:val="0009573B"/>
    <w:rsid w:val="00095747"/>
    <w:rsid w:val="00095966"/>
    <w:rsid w:val="00095A4A"/>
    <w:rsid w:val="00095B1D"/>
    <w:rsid w:val="00096299"/>
    <w:rsid w:val="0009634D"/>
    <w:rsid w:val="0009641E"/>
    <w:rsid w:val="00096A62"/>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4E5C"/>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0E58"/>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55"/>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3EB5"/>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0E07"/>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02"/>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444"/>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9A6"/>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2BE"/>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30D"/>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54B"/>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55"/>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8C3"/>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B2B"/>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303"/>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AD8"/>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9C"/>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D5"/>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5E8"/>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36"/>
    <w:rsid w:val="0037119E"/>
    <w:rsid w:val="003711F3"/>
    <w:rsid w:val="00371661"/>
    <w:rsid w:val="00371777"/>
    <w:rsid w:val="003720EF"/>
    <w:rsid w:val="00372445"/>
    <w:rsid w:val="00372596"/>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2E2"/>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5F4"/>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0D"/>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310"/>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931"/>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602"/>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CC0"/>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832"/>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2AE"/>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BB3"/>
    <w:rsid w:val="00547EE5"/>
    <w:rsid w:val="00550212"/>
    <w:rsid w:val="005503EF"/>
    <w:rsid w:val="0055040C"/>
    <w:rsid w:val="005505AB"/>
    <w:rsid w:val="00550B6A"/>
    <w:rsid w:val="00550B93"/>
    <w:rsid w:val="00550C4C"/>
    <w:rsid w:val="00550DB1"/>
    <w:rsid w:val="00550E53"/>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9B"/>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418"/>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3EC"/>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899"/>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6F6"/>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108"/>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736"/>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0D"/>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5F4"/>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A9C"/>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331"/>
    <w:rsid w:val="006F46DE"/>
    <w:rsid w:val="006F4722"/>
    <w:rsid w:val="006F4819"/>
    <w:rsid w:val="006F4EDB"/>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D92"/>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77FE7"/>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3B8"/>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18"/>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EB"/>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10"/>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3E4"/>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B31"/>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1E96"/>
    <w:rsid w:val="008A21E5"/>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9E4"/>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CC9"/>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33B"/>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D0E"/>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C4F"/>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BB9"/>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862"/>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084"/>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4D2"/>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264"/>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D9"/>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DCA"/>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3D98"/>
    <w:rsid w:val="00AC4107"/>
    <w:rsid w:val="00AC4199"/>
    <w:rsid w:val="00AC4283"/>
    <w:rsid w:val="00AC42B9"/>
    <w:rsid w:val="00AC42D6"/>
    <w:rsid w:val="00AC435E"/>
    <w:rsid w:val="00AC464B"/>
    <w:rsid w:val="00AC4ECB"/>
    <w:rsid w:val="00AC4F05"/>
    <w:rsid w:val="00AC4F14"/>
    <w:rsid w:val="00AC500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B6A"/>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2A0F"/>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866"/>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28"/>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73"/>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CE2"/>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98C"/>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6D"/>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70"/>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346"/>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26"/>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4A0"/>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96D"/>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375"/>
    <w:rsid w:val="00C82515"/>
    <w:rsid w:val="00C827B3"/>
    <w:rsid w:val="00C82835"/>
    <w:rsid w:val="00C82C26"/>
    <w:rsid w:val="00C82E5F"/>
    <w:rsid w:val="00C831F9"/>
    <w:rsid w:val="00C8321D"/>
    <w:rsid w:val="00C832EA"/>
    <w:rsid w:val="00C833A1"/>
    <w:rsid w:val="00C83535"/>
    <w:rsid w:val="00C83701"/>
    <w:rsid w:val="00C83E2F"/>
    <w:rsid w:val="00C8453D"/>
    <w:rsid w:val="00C845E9"/>
    <w:rsid w:val="00C846BE"/>
    <w:rsid w:val="00C84800"/>
    <w:rsid w:val="00C84A5E"/>
    <w:rsid w:val="00C84B2D"/>
    <w:rsid w:val="00C84B45"/>
    <w:rsid w:val="00C84FF0"/>
    <w:rsid w:val="00C8505D"/>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CB2"/>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5F4C"/>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285"/>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A89"/>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1D1"/>
    <w:rsid w:val="00DA32BE"/>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9A8"/>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08"/>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542"/>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1AD"/>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2F5"/>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79B"/>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0B"/>
    <w:rsid w:val="00E6403F"/>
    <w:rsid w:val="00E6423B"/>
    <w:rsid w:val="00E643C1"/>
    <w:rsid w:val="00E64560"/>
    <w:rsid w:val="00E645E6"/>
    <w:rsid w:val="00E646E2"/>
    <w:rsid w:val="00E64BE9"/>
    <w:rsid w:val="00E64C86"/>
    <w:rsid w:val="00E65260"/>
    <w:rsid w:val="00E6576D"/>
    <w:rsid w:val="00E657B2"/>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061"/>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A03"/>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8EF"/>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8CB"/>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6B1"/>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1"/>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6D2"/>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011"/>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C57"/>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4B2"/>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 w:val="05936A70"/>
    <w:rsid w:val="073571F2"/>
    <w:rsid w:val="08637014"/>
    <w:rsid w:val="09A22A9A"/>
    <w:rsid w:val="11B345A2"/>
    <w:rsid w:val="11F0216C"/>
    <w:rsid w:val="11FB2585"/>
    <w:rsid w:val="19173BEC"/>
    <w:rsid w:val="1AE25643"/>
    <w:rsid w:val="1C7B558B"/>
    <w:rsid w:val="204400A1"/>
    <w:rsid w:val="216F6706"/>
    <w:rsid w:val="2C466334"/>
    <w:rsid w:val="2E124748"/>
    <w:rsid w:val="2FED0A7B"/>
    <w:rsid w:val="303F24AB"/>
    <w:rsid w:val="352A71FE"/>
    <w:rsid w:val="37421D1D"/>
    <w:rsid w:val="3D394AB7"/>
    <w:rsid w:val="433C2D37"/>
    <w:rsid w:val="4377126D"/>
    <w:rsid w:val="442365D5"/>
    <w:rsid w:val="49726E89"/>
    <w:rsid w:val="49CF663C"/>
    <w:rsid w:val="508E7A28"/>
    <w:rsid w:val="57530AD4"/>
    <w:rsid w:val="5C3A0D5D"/>
    <w:rsid w:val="5EEE743C"/>
    <w:rsid w:val="62C148D1"/>
    <w:rsid w:val="63211DE2"/>
    <w:rsid w:val="63A34163"/>
    <w:rsid w:val="64DD49F1"/>
    <w:rsid w:val="6A4867A0"/>
    <w:rsid w:val="7227212B"/>
    <w:rsid w:val="72685FA0"/>
    <w:rsid w:val="78C67E70"/>
    <w:rsid w:val="7F0F458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31"/>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9"/>
    <w:pPr>
      <w:keepNext/>
      <w:keepLines/>
      <w:spacing w:before="260" w:after="260" w:line="416" w:lineRule="auto"/>
      <w:outlineLvl w:val="1"/>
    </w:pPr>
    <w:rPr>
      <w:rFonts w:ascii="Arial" w:hAnsi="Arial" w:eastAsia="黑体" w:cs="Arial"/>
      <w:b/>
      <w:bCs/>
      <w:sz w:val="32"/>
      <w:szCs w:val="32"/>
    </w:rPr>
  </w:style>
  <w:style w:type="paragraph" w:styleId="4">
    <w:name w:val="heading 3"/>
    <w:basedOn w:val="1"/>
    <w:next w:val="1"/>
    <w:link w:val="33"/>
    <w:qFormat/>
    <w:uiPriority w:val="99"/>
    <w:pPr>
      <w:keepNext/>
      <w:keepLines/>
      <w:spacing w:before="260" w:after="260" w:line="416" w:lineRule="auto"/>
      <w:outlineLvl w:val="2"/>
    </w:pPr>
    <w:rPr>
      <w:b/>
      <w:bCs/>
      <w:sz w:val="32"/>
      <w:szCs w:val="32"/>
    </w:rPr>
  </w:style>
  <w:style w:type="character" w:default="1" w:styleId="24">
    <w:name w:val="Default Paragraph Font"/>
    <w:semiHidden/>
    <w:uiPriority w:val="99"/>
  </w:style>
  <w:style w:type="table" w:default="1" w:styleId="29">
    <w:name w:val="Normal Table"/>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99"/>
    <w:pPr>
      <w:ind w:left="1260"/>
    </w:pPr>
    <w:rPr>
      <w:sz w:val="18"/>
      <w:szCs w:val="18"/>
    </w:rPr>
  </w:style>
  <w:style w:type="paragraph" w:styleId="6">
    <w:name w:val="Document Map"/>
    <w:basedOn w:val="1"/>
    <w:link w:val="34"/>
    <w:semiHidden/>
    <w:qFormat/>
    <w:uiPriority w:val="99"/>
    <w:pPr>
      <w:shd w:val="clear" w:color="auto" w:fill="000080"/>
    </w:pPr>
  </w:style>
  <w:style w:type="paragraph" w:styleId="7">
    <w:name w:val="Body Text Indent"/>
    <w:basedOn w:val="1"/>
    <w:link w:val="35"/>
    <w:qFormat/>
    <w:uiPriority w:val="99"/>
    <w:pPr>
      <w:autoSpaceDE w:val="0"/>
      <w:autoSpaceDN w:val="0"/>
      <w:adjustRightInd w:val="0"/>
      <w:ind w:firstLine="420" w:firstLineChars="200"/>
    </w:pPr>
    <w:rPr>
      <w:lang w:val="zh-CN"/>
    </w:rPr>
  </w:style>
  <w:style w:type="paragraph" w:styleId="8">
    <w:name w:val="toc 5"/>
    <w:basedOn w:val="1"/>
    <w:next w:val="1"/>
    <w:semiHidden/>
    <w:qFormat/>
    <w:uiPriority w:val="99"/>
    <w:pPr>
      <w:ind w:left="840"/>
    </w:pPr>
    <w:rPr>
      <w:sz w:val="18"/>
      <w:szCs w:val="18"/>
    </w:rPr>
  </w:style>
  <w:style w:type="paragraph" w:styleId="9">
    <w:name w:val="toc 3"/>
    <w:basedOn w:val="1"/>
    <w:next w:val="1"/>
    <w:semiHidden/>
    <w:qFormat/>
    <w:uiPriority w:val="99"/>
    <w:pPr>
      <w:ind w:left="840" w:leftChars="400"/>
    </w:pPr>
    <w:rPr>
      <w:color w:val="800080"/>
    </w:rPr>
  </w:style>
  <w:style w:type="paragraph" w:styleId="10">
    <w:name w:val="toc 8"/>
    <w:basedOn w:val="1"/>
    <w:next w:val="1"/>
    <w:semiHidden/>
    <w:qFormat/>
    <w:uiPriority w:val="99"/>
    <w:pPr>
      <w:ind w:left="1470"/>
    </w:pPr>
    <w:rPr>
      <w:sz w:val="18"/>
      <w:szCs w:val="18"/>
    </w:rPr>
  </w:style>
  <w:style w:type="paragraph" w:styleId="11">
    <w:name w:val="Date"/>
    <w:basedOn w:val="1"/>
    <w:next w:val="1"/>
    <w:link w:val="36"/>
    <w:qFormat/>
    <w:uiPriority w:val="99"/>
    <w:pPr>
      <w:ind w:left="100" w:leftChars="2500"/>
    </w:pPr>
    <w:rPr>
      <w:sz w:val="20"/>
      <w:szCs w:val="20"/>
      <w:lang w:val="zh-CN"/>
    </w:rPr>
  </w:style>
  <w:style w:type="paragraph" w:styleId="12">
    <w:name w:val="Body Text Indent 2"/>
    <w:basedOn w:val="1"/>
    <w:link w:val="37"/>
    <w:qFormat/>
    <w:uiPriority w:val="99"/>
    <w:pPr>
      <w:tabs>
        <w:tab w:val="left" w:pos="2520"/>
      </w:tabs>
      <w:ind w:firstLine="435"/>
    </w:pPr>
  </w:style>
  <w:style w:type="paragraph" w:styleId="13">
    <w:name w:val="Balloon Text"/>
    <w:basedOn w:val="1"/>
    <w:link w:val="38"/>
    <w:semiHidden/>
    <w:qFormat/>
    <w:uiPriority w:val="99"/>
    <w:rPr>
      <w:sz w:val="18"/>
      <w:szCs w:val="18"/>
    </w:rPr>
  </w:style>
  <w:style w:type="paragraph" w:styleId="14">
    <w:name w:val="footer"/>
    <w:basedOn w:val="1"/>
    <w:link w:val="39"/>
    <w:qFormat/>
    <w:uiPriority w:val="99"/>
    <w:pPr>
      <w:tabs>
        <w:tab w:val="center" w:pos="4153"/>
        <w:tab w:val="right" w:pos="8306"/>
      </w:tabs>
      <w:snapToGrid w:val="0"/>
    </w:pPr>
    <w:rPr>
      <w:sz w:val="18"/>
      <w:szCs w:val="18"/>
    </w:rPr>
  </w:style>
  <w:style w:type="paragraph" w:styleId="15">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99"/>
    <w:pPr>
      <w:tabs>
        <w:tab w:val="left" w:pos="420"/>
        <w:tab w:val="right" w:leader="dot" w:pos="8296"/>
      </w:tabs>
      <w:ind w:left="420" w:hanging="420"/>
    </w:pPr>
    <w:rPr>
      <w:b/>
      <w:bCs/>
      <w:color w:val="FF0000"/>
      <w:sz w:val="28"/>
      <w:szCs w:val="28"/>
    </w:rPr>
  </w:style>
  <w:style w:type="paragraph" w:styleId="17">
    <w:name w:val="toc 4"/>
    <w:basedOn w:val="1"/>
    <w:next w:val="1"/>
    <w:semiHidden/>
    <w:qFormat/>
    <w:uiPriority w:val="99"/>
    <w:pPr>
      <w:ind w:left="630"/>
    </w:pPr>
    <w:rPr>
      <w:sz w:val="18"/>
      <w:szCs w:val="18"/>
    </w:rPr>
  </w:style>
  <w:style w:type="paragraph" w:styleId="18">
    <w:name w:val="toc 6"/>
    <w:basedOn w:val="1"/>
    <w:next w:val="1"/>
    <w:semiHidden/>
    <w:qFormat/>
    <w:uiPriority w:val="99"/>
    <w:pPr>
      <w:ind w:left="1050"/>
    </w:pPr>
    <w:rPr>
      <w:sz w:val="18"/>
      <w:szCs w:val="18"/>
    </w:rPr>
  </w:style>
  <w:style w:type="paragraph" w:styleId="19">
    <w:name w:val="Body Text Indent 3"/>
    <w:basedOn w:val="1"/>
    <w:link w:val="41"/>
    <w:qFormat/>
    <w:uiPriority w:val="99"/>
    <w:pPr>
      <w:autoSpaceDE w:val="0"/>
      <w:autoSpaceDN w:val="0"/>
      <w:adjustRightInd w:val="0"/>
      <w:spacing w:line="360" w:lineRule="auto"/>
      <w:ind w:firstLine="630" w:firstLineChars="300"/>
    </w:pPr>
    <w:rPr>
      <w:color w:val="000000"/>
    </w:rPr>
  </w:style>
  <w:style w:type="paragraph" w:styleId="20">
    <w:name w:val="toc 2"/>
    <w:basedOn w:val="1"/>
    <w:next w:val="1"/>
    <w:semiHidden/>
    <w:qFormat/>
    <w:uiPriority w:val="99"/>
    <w:pPr>
      <w:ind w:left="420" w:leftChars="200"/>
    </w:pPr>
  </w:style>
  <w:style w:type="paragraph" w:styleId="21">
    <w:name w:val="toc 9"/>
    <w:basedOn w:val="1"/>
    <w:next w:val="1"/>
    <w:semiHidden/>
    <w:qFormat/>
    <w:uiPriority w:val="99"/>
    <w:pPr>
      <w:ind w:left="1680"/>
    </w:pPr>
    <w:rPr>
      <w:sz w:val="18"/>
      <w:szCs w:val="18"/>
    </w:rPr>
  </w:style>
  <w:style w:type="paragraph" w:styleId="22">
    <w:name w:val="HTML Preformatted"/>
    <w:basedOn w:val="1"/>
    <w:link w:val="42"/>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Arial Unicode MS"/>
      <w:sz w:val="20"/>
      <w:szCs w:val="20"/>
    </w:rPr>
  </w:style>
  <w:style w:type="paragraph" w:styleId="23">
    <w:name w:val="Normal (Web)"/>
    <w:basedOn w:val="1"/>
    <w:qFormat/>
    <w:uiPriority w:val="99"/>
    <w:pPr>
      <w:spacing w:before="100" w:beforeAutospacing="1" w:after="100" w:afterAutospacing="1"/>
    </w:pPr>
  </w:style>
  <w:style w:type="character" w:styleId="25">
    <w:name w:val="Strong"/>
    <w:basedOn w:val="24"/>
    <w:qFormat/>
    <w:uiPriority w:val="99"/>
    <w:rPr>
      <w:b/>
      <w:bCs/>
    </w:rPr>
  </w:style>
  <w:style w:type="character" w:styleId="26">
    <w:name w:val="page number"/>
    <w:basedOn w:val="24"/>
    <w:qFormat/>
    <w:uiPriority w:val="99"/>
  </w:style>
  <w:style w:type="character" w:styleId="27">
    <w:name w:val="FollowedHyperlink"/>
    <w:basedOn w:val="24"/>
    <w:qFormat/>
    <w:uiPriority w:val="99"/>
    <w:rPr>
      <w:color w:val="333333"/>
      <w:u w:val="none"/>
    </w:rPr>
  </w:style>
  <w:style w:type="character" w:styleId="28">
    <w:name w:val="Hyperlink"/>
    <w:basedOn w:val="24"/>
    <w:qFormat/>
    <w:uiPriority w:val="99"/>
    <w:rPr>
      <w:color w:val="333333"/>
      <w:u w:val="none"/>
    </w:rPr>
  </w:style>
  <w:style w:type="table" w:styleId="30">
    <w:name w:val="Table Grid"/>
    <w:basedOn w:val="2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1">
    <w:name w:val="Heading 1 Char"/>
    <w:basedOn w:val="24"/>
    <w:link w:val="2"/>
    <w:qFormat/>
    <w:locked/>
    <w:uiPriority w:val="99"/>
    <w:rPr>
      <w:rFonts w:ascii="宋体" w:eastAsia="宋体" w:cs="宋体"/>
      <w:b/>
      <w:bCs/>
      <w:kern w:val="44"/>
      <w:sz w:val="44"/>
      <w:szCs w:val="44"/>
    </w:rPr>
  </w:style>
  <w:style w:type="character" w:customStyle="1" w:styleId="32">
    <w:name w:val="Heading 2 Char"/>
    <w:basedOn w:val="24"/>
    <w:link w:val="3"/>
    <w:qFormat/>
    <w:locked/>
    <w:uiPriority w:val="99"/>
    <w:rPr>
      <w:rFonts w:ascii="Arial" w:hAnsi="Arial" w:eastAsia="黑体" w:cs="Arial"/>
      <w:b/>
      <w:bCs/>
      <w:kern w:val="2"/>
      <w:sz w:val="32"/>
      <w:szCs w:val="32"/>
      <w:lang w:val="en-US" w:eastAsia="zh-CN"/>
    </w:rPr>
  </w:style>
  <w:style w:type="character" w:customStyle="1" w:styleId="33">
    <w:name w:val="Heading 3 Char"/>
    <w:basedOn w:val="24"/>
    <w:link w:val="4"/>
    <w:qFormat/>
    <w:locked/>
    <w:uiPriority w:val="99"/>
    <w:rPr>
      <w:rFonts w:eastAsia="宋体"/>
      <w:b/>
      <w:bCs/>
      <w:kern w:val="2"/>
      <w:sz w:val="32"/>
      <w:szCs w:val="32"/>
      <w:lang w:val="en-US" w:eastAsia="zh-CN"/>
    </w:rPr>
  </w:style>
  <w:style w:type="character" w:customStyle="1" w:styleId="34">
    <w:name w:val="Document Map Char"/>
    <w:basedOn w:val="24"/>
    <w:link w:val="6"/>
    <w:semiHidden/>
    <w:qFormat/>
    <w:locked/>
    <w:uiPriority w:val="99"/>
    <w:rPr>
      <w:kern w:val="0"/>
      <w:sz w:val="2"/>
      <w:szCs w:val="2"/>
    </w:rPr>
  </w:style>
  <w:style w:type="character" w:customStyle="1" w:styleId="35">
    <w:name w:val="Body Text Indent Char"/>
    <w:basedOn w:val="24"/>
    <w:link w:val="7"/>
    <w:semiHidden/>
    <w:qFormat/>
    <w:locked/>
    <w:uiPriority w:val="99"/>
    <w:rPr>
      <w:rFonts w:ascii="宋体" w:eastAsia="宋体" w:cs="宋体"/>
      <w:kern w:val="0"/>
      <w:sz w:val="24"/>
      <w:szCs w:val="24"/>
    </w:rPr>
  </w:style>
  <w:style w:type="character" w:customStyle="1" w:styleId="36">
    <w:name w:val="Date Char"/>
    <w:basedOn w:val="24"/>
    <w:link w:val="11"/>
    <w:semiHidden/>
    <w:qFormat/>
    <w:locked/>
    <w:uiPriority w:val="99"/>
    <w:rPr>
      <w:rFonts w:ascii="宋体" w:eastAsia="宋体" w:cs="宋体"/>
      <w:kern w:val="0"/>
      <w:sz w:val="24"/>
      <w:szCs w:val="24"/>
    </w:rPr>
  </w:style>
  <w:style w:type="character" w:customStyle="1" w:styleId="37">
    <w:name w:val="Body Text Indent 2 Char"/>
    <w:basedOn w:val="24"/>
    <w:link w:val="12"/>
    <w:semiHidden/>
    <w:qFormat/>
    <w:locked/>
    <w:uiPriority w:val="99"/>
    <w:rPr>
      <w:rFonts w:ascii="宋体" w:eastAsia="宋体" w:cs="宋体"/>
      <w:kern w:val="0"/>
      <w:sz w:val="24"/>
      <w:szCs w:val="24"/>
    </w:rPr>
  </w:style>
  <w:style w:type="character" w:customStyle="1" w:styleId="38">
    <w:name w:val="Balloon Text Char"/>
    <w:basedOn w:val="24"/>
    <w:link w:val="13"/>
    <w:semiHidden/>
    <w:qFormat/>
    <w:locked/>
    <w:uiPriority w:val="99"/>
    <w:rPr>
      <w:rFonts w:ascii="宋体" w:eastAsia="宋体" w:cs="宋体"/>
      <w:kern w:val="0"/>
      <w:sz w:val="2"/>
      <w:szCs w:val="2"/>
    </w:rPr>
  </w:style>
  <w:style w:type="character" w:customStyle="1" w:styleId="39">
    <w:name w:val="Footer Char"/>
    <w:basedOn w:val="24"/>
    <w:link w:val="14"/>
    <w:semiHidden/>
    <w:qFormat/>
    <w:locked/>
    <w:uiPriority w:val="99"/>
    <w:rPr>
      <w:rFonts w:ascii="宋体" w:eastAsia="宋体" w:cs="宋体"/>
      <w:kern w:val="0"/>
      <w:sz w:val="18"/>
      <w:szCs w:val="18"/>
    </w:rPr>
  </w:style>
  <w:style w:type="character" w:customStyle="1" w:styleId="40">
    <w:name w:val="Header Char"/>
    <w:basedOn w:val="24"/>
    <w:link w:val="15"/>
    <w:semiHidden/>
    <w:qFormat/>
    <w:locked/>
    <w:uiPriority w:val="99"/>
    <w:rPr>
      <w:rFonts w:ascii="宋体" w:eastAsia="宋体" w:cs="宋体"/>
      <w:kern w:val="0"/>
      <w:sz w:val="18"/>
      <w:szCs w:val="18"/>
    </w:rPr>
  </w:style>
  <w:style w:type="character" w:customStyle="1" w:styleId="41">
    <w:name w:val="Body Text Indent 3 Char"/>
    <w:basedOn w:val="24"/>
    <w:link w:val="19"/>
    <w:semiHidden/>
    <w:qFormat/>
    <w:locked/>
    <w:uiPriority w:val="99"/>
    <w:rPr>
      <w:rFonts w:ascii="宋体" w:eastAsia="宋体" w:cs="宋体"/>
      <w:kern w:val="0"/>
      <w:sz w:val="16"/>
      <w:szCs w:val="16"/>
    </w:rPr>
  </w:style>
  <w:style w:type="character" w:customStyle="1" w:styleId="42">
    <w:name w:val="HTML Preformatted Char"/>
    <w:basedOn w:val="24"/>
    <w:link w:val="22"/>
    <w:semiHidden/>
    <w:qFormat/>
    <w:locked/>
    <w:uiPriority w:val="99"/>
    <w:rPr>
      <w:rFonts w:ascii="Courier New" w:hAnsi="Courier New" w:cs="Courier New"/>
      <w:kern w:val="0"/>
      <w:sz w:val="20"/>
      <w:szCs w:val="20"/>
    </w:rPr>
  </w:style>
  <w:style w:type="paragraph" w:customStyle="1" w:styleId="43">
    <w:name w:val="Char Char Char"/>
    <w:basedOn w:val="1"/>
    <w:qFormat/>
    <w:uiPriority w:val="99"/>
    <w:pPr>
      <w:spacing w:after="160" w:line="240" w:lineRule="exact"/>
    </w:pPr>
    <w:rPr>
      <w:rFonts w:ascii="Verdana" w:hAnsi="Verdana" w:cs="Verdana"/>
      <w:sz w:val="20"/>
      <w:szCs w:val="20"/>
      <w:lang w:eastAsia="en-US"/>
    </w:rPr>
  </w:style>
  <w:style w:type="character" w:customStyle="1" w:styleId="44">
    <w:name w:val="标题 2 Char"/>
    <w:basedOn w:val="24"/>
    <w:qFormat/>
    <w:uiPriority w:val="99"/>
    <w:rPr>
      <w:rFonts w:ascii="Arial" w:hAnsi="Arial" w:eastAsia="黑体" w:cs="Arial"/>
      <w:b/>
      <w:bCs/>
      <w:kern w:val="2"/>
      <w:sz w:val="32"/>
      <w:szCs w:val="32"/>
      <w:lang w:val="en-US" w:eastAsia="zh-CN"/>
    </w:rPr>
  </w:style>
  <w:style w:type="character" w:customStyle="1" w:styleId="45">
    <w:name w:val="标题 3 Char"/>
    <w:basedOn w:val="24"/>
    <w:qFormat/>
    <w:uiPriority w:val="99"/>
    <w:rPr>
      <w:rFonts w:eastAsia="宋体"/>
      <w:b/>
      <w:bCs/>
      <w:kern w:val="2"/>
      <w:sz w:val="32"/>
      <w:szCs w:val="32"/>
      <w:lang w:val="en-US" w:eastAsia="zh-CN"/>
    </w:rPr>
  </w:style>
  <w:style w:type="paragraph" w:customStyle="1" w:styleId="46">
    <w:name w:val="font5"/>
    <w:basedOn w:val="1"/>
    <w:qFormat/>
    <w:uiPriority w:val="99"/>
    <w:pPr>
      <w:spacing w:before="100" w:beforeAutospacing="1" w:after="100" w:afterAutospacing="1"/>
    </w:pPr>
    <w:rPr>
      <w:sz w:val="20"/>
      <w:szCs w:val="20"/>
    </w:rPr>
  </w:style>
  <w:style w:type="paragraph" w:customStyle="1" w:styleId="47">
    <w:name w:val="font6"/>
    <w:basedOn w:val="1"/>
    <w:qFormat/>
    <w:uiPriority w:val="99"/>
    <w:pPr>
      <w:spacing w:before="100" w:beforeAutospacing="1" w:after="100" w:afterAutospacing="1"/>
    </w:pPr>
    <w:rPr>
      <w:sz w:val="18"/>
      <w:szCs w:val="18"/>
    </w:rPr>
  </w:style>
  <w:style w:type="paragraph" w:customStyle="1" w:styleId="48">
    <w:name w:val="font7"/>
    <w:basedOn w:val="1"/>
    <w:qFormat/>
    <w:uiPriority w:val="99"/>
    <w:pPr>
      <w:spacing w:before="100" w:beforeAutospacing="1" w:after="100" w:afterAutospacing="1"/>
    </w:pPr>
    <w:rPr>
      <w:rFonts w:hAnsi="Times New Roman"/>
      <w:sz w:val="20"/>
      <w:szCs w:val="20"/>
    </w:rPr>
  </w:style>
  <w:style w:type="paragraph" w:customStyle="1" w:styleId="49">
    <w:name w:val="xl2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0">
    <w:name w:val="xl2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1">
    <w:name w:val="xl2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黑体" w:hAnsi="Arial Unicode MS" w:eastAsia="黑体" w:cs="黑体"/>
      <w:sz w:val="20"/>
      <w:szCs w:val="20"/>
    </w:rPr>
  </w:style>
  <w:style w:type="paragraph" w:customStyle="1" w:styleId="52">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Arial Unicode MS" w:eastAsia="黑体" w:cs="黑体"/>
      <w:sz w:val="20"/>
      <w:szCs w:val="20"/>
    </w:rPr>
  </w:style>
  <w:style w:type="paragraph" w:customStyle="1" w:styleId="53">
    <w:name w:val="xl2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4">
    <w:name w:val="xl2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Times New Roman"/>
      <w:sz w:val="20"/>
      <w:szCs w:val="20"/>
    </w:rPr>
  </w:style>
  <w:style w:type="paragraph" w:customStyle="1" w:styleId="55">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6">
    <w:name w:val="xl3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7">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cs="Arial Unicode MS"/>
      <w:sz w:val="20"/>
      <w:szCs w:val="20"/>
    </w:rPr>
  </w:style>
  <w:style w:type="paragraph" w:customStyle="1" w:styleId="58">
    <w:name w:val="xl3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59">
    <w:name w:val="xl3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0">
    <w:name w:val="xl3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1">
    <w:name w:val="xl36"/>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62">
    <w:name w:val="xl3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s="Arial Unicode MS"/>
      <w:sz w:val="20"/>
      <w:szCs w:val="20"/>
    </w:rPr>
  </w:style>
  <w:style w:type="paragraph" w:customStyle="1" w:styleId="63">
    <w:name w:val="xl3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64">
    <w:name w:val="xl3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5">
    <w:name w:val="xl40"/>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pPr>
    <w:rPr>
      <w:rFonts w:ascii="Arial Unicode MS" w:hAnsi="Arial Unicode MS" w:cs="Arial Unicode MS"/>
      <w:color w:val="000000"/>
      <w:sz w:val="20"/>
      <w:szCs w:val="20"/>
    </w:rPr>
  </w:style>
  <w:style w:type="paragraph" w:customStyle="1" w:styleId="66">
    <w:name w:val="font8"/>
    <w:basedOn w:val="1"/>
    <w:qFormat/>
    <w:uiPriority w:val="99"/>
    <w:pPr>
      <w:spacing w:before="100" w:beforeAutospacing="1" w:after="100" w:afterAutospacing="1"/>
    </w:pPr>
    <w:rPr>
      <w:rFonts w:ascii="Tahoma" w:hAnsi="Tahoma" w:cs="Tahoma"/>
      <w:sz w:val="20"/>
      <w:szCs w:val="20"/>
    </w:rPr>
  </w:style>
  <w:style w:type="paragraph" w:customStyle="1" w:styleId="67">
    <w:name w:val="xl4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cs="Arial Unicode MS"/>
      <w:sz w:val="20"/>
      <w:szCs w:val="20"/>
    </w:rPr>
  </w:style>
  <w:style w:type="paragraph" w:customStyle="1" w:styleId="68">
    <w:name w:val="f1"/>
    <w:basedOn w:val="1"/>
    <w:qFormat/>
    <w:uiPriority w:val="99"/>
    <w:pPr>
      <w:spacing w:before="100" w:beforeAutospacing="1" w:after="100" w:afterAutospacing="1" w:line="330" w:lineRule="atLeast"/>
    </w:pPr>
    <w:rPr>
      <w:color w:val="000000"/>
      <w:sz w:val="18"/>
      <w:szCs w:val="18"/>
    </w:rPr>
  </w:style>
  <w:style w:type="paragraph" w:customStyle="1" w:styleId="69">
    <w:name w:val="f3"/>
    <w:basedOn w:val="1"/>
    <w:qFormat/>
    <w:uiPriority w:val="99"/>
    <w:pPr>
      <w:spacing w:before="100" w:beforeAutospacing="1" w:after="100" w:afterAutospacing="1" w:line="330" w:lineRule="atLeast"/>
    </w:pPr>
    <w:rPr>
      <w:color w:val="000000"/>
      <w:sz w:val="16"/>
      <w:szCs w:val="16"/>
    </w:rPr>
  </w:style>
  <w:style w:type="paragraph" w:customStyle="1" w:styleId="70">
    <w:name w:val="f2"/>
    <w:basedOn w:val="1"/>
    <w:qFormat/>
    <w:uiPriority w:val="99"/>
    <w:pPr>
      <w:spacing w:before="100" w:beforeAutospacing="1" w:after="100" w:afterAutospacing="1" w:line="330" w:lineRule="atLeast"/>
    </w:pPr>
    <w:rPr>
      <w:color w:val="000000"/>
    </w:rPr>
  </w:style>
  <w:style w:type="paragraph" w:customStyle="1" w:styleId="71">
    <w:name w:val="font9"/>
    <w:basedOn w:val="1"/>
    <w:qFormat/>
    <w:uiPriority w:val="99"/>
    <w:pPr>
      <w:spacing w:before="100" w:beforeAutospacing="1" w:after="100" w:afterAutospacing="1"/>
    </w:pPr>
    <w:rPr>
      <w:sz w:val="20"/>
      <w:szCs w:val="20"/>
    </w:rPr>
  </w:style>
  <w:style w:type="paragraph" w:customStyle="1" w:styleId="72">
    <w:name w:val="xl42"/>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cs="Arial Unicode MS"/>
      <w:sz w:val="20"/>
      <w:szCs w:val="20"/>
    </w:rPr>
  </w:style>
  <w:style w:type="paragraph" w:customStyle="1" w:styleId="73">
    <w:name w:val="xl2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cs="Arial Unicode MS"/>
      <w:color w:val="000000"/>
      <w:sz w:val="20"/>
      <w:szCs w:val="20"/>
    </w:rPr>
  </w:style>
  <w:style w:type="paragraph" w:customStyle="1" w:styleId="74">
    <w:name w:val="xl43"/>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color w:val="0000FF"/>
      <w:sz w:val="20"/>
      <w:szCs w:val="20"/>
    </w:rPr>
  </w:style>
  <w:style w:type="paragraph" w:customStyle="1" w:styleId="75">
    <w:name w:val="f0"/>
    <w:basedOn w:val="1"/>
    <w:qFormat/>
    <w:uiPriority w:val="99"/>
    <w:pPr>
      <w:spacing w:before="100" w:beforeAutospacing="1" w:after="100" w:afterAutospacing="1" w:line="270" w:lineRule="atLeast"/>
    </w:pPr>
    <w:rPr>
      <w:color w:val="000000"/>
      <w:sz w:val="18"/>
      <w:szCs w:val="18"/>
    </w:rPr>
  </w:style>
  <w:style w:type="paragraph" w:customStyle="1" w:styleId="76">
    <w:name w:val="f10"/>
    <w:basedOn w:val="1"/>
    <w:qFormat/>
    <w:uiPriority w:val="99"/>
    <w:pPr>
      <w:spacing w:before="100" w:beforeAutospacing="1" w:after="100" w:afterAutospacing="1" w:line="300" w:lineRule="atLeast"/>
    </w:pPr>
    <w:rPr>
      <w:color w:val="000000"/>
      <w:sz w:val="18"/>
      <w:szCs w:val="18"/>
    </w:rPr>
  </w:style>
  <w:style w:type="paragraph" w:customStyle="1" w:styleId="77">
    <w:name w:val="f4"/>
    <w:basedOn w:val="1"/>
    <w:qFormat/>
    <w:uiPriority w:val="99"/>
    <w:pPr>
      <w:spacing w:before="100" w:beforeAutospacing="1" w:after="100" w:afterAutospacing="1" w:line="330" w:lineRule="atLeast"/>
    </w:pPr>
    <w:rPr>
      <w:color w:val="000000"/>
      <w:sz w:val="18"/>
      <w:szCs w:val="18"/>
    </w:rPr>
  </w:style>
  <w:style w:type="paragraph" w:customStyle="1" w:styleId="78">
    <w:name w:val="f5"/>
    <w:basedOn w:val="1"/>
    <w:qFormat/>
    <w:uiPriority w:val="99"/>
    <w:pPr>
      <w:spacing w:before="100" w:beforeAutospacing="1" w:after="100" w:afterAutospacing="1" w:line="330" w:lineRule="atLeast"/>
    </w:pPr>
    <w:rPr>
      <w:color w:val="000000"/>
      <w:spacing w:val="15"/>
      <w:sz w:val="18"/>
      <w:szCs w:val="18"/>
    </w:rPr>
  </w:style>
  <w:style w:type="paragraph" w:customStyle="1" w:styleId="79">
    <w:name w:val="f6"/>
    <w:basedOn w:val="1"/>
    <w:qFormat/>
    <w:uiPriority w:val="99"/>
    <w:pPr>
      <w:spacing w:before="100" w:beforeAutospacing="1" w:after="100" w:afterAutospacing="1" w:line="330" w:lineRule="atLeast"/>
    </w:pPr>
    <w:rPr>
      <w:color w:val="000000"/>
      <w:spacing w:val="15"/>
      <w:sz w:val="18"/>
      <w:szCs w:val="18"/>
    </w:rPr>
  </w:style>
  <w:style w:type="paragraph" w:customStyle="1" w:styleId="80">
    <w:name w:val="f7"/>
    <w:basedOn w:val="1"/>
    <w:qFormat/>
    <w:uiPriority w:val="99"/>
    <w:pPr>
      <w:spacing w:before="100" w:beforeAutospacing="1" w:after="100" w:afterAutospacing="1" w:line="330" w:lineRule="atLeast"/>
    </w:pPr>
    <w:rPr>
      <w:color w:val="000000"/>
      <w:sz w:val="18"/>
      <w:szCs w:val="18"/>
    </w:rPr>
  </w:style>
  <w:style w:type="paragraph" w:customStyle="1" w:styleId="81">
    <w:name w:val="f8"/>
    <w:basedOn w:val="1"/>
    <w:qFormat/>
    <w:uiPriority w:val="99"/>
    <w:pPr>
      <w:spacing w:before="100" w:beforeAutospacing="1" w:after="100" w:afterAutospacing="1" w:line="330" w:lineRule="atLeast"/>
    </w:pPr>
    <w:rPr>
      <w:color w:val="000000"/>
      <w:spacing w:val="30"/>
    </w:rPr>
  </w:style>
  <w:style w:type="paragraph" w:customStyle="1" w:styleId="82">
    <w:name w:val="f8-hg"/>
    <w:basedOn w:val="1"/>
    <w:qFormat/>
    <w:uiPriority w:val="99"/>
    <w:pPr>
      <w:spacing w:before="100" w:beforeAutospacing="1" w:after="100" w:afterAutospacing="1" w:line="330" w:lineRule="atLeast"/>
    </w:pPr>
    <w:rPr>
      <w:color w:val="000000"/>
      <w:spacing w:val="30"/>
    </w:rPr>
  </w:style>
  <w:style w:type="paragraph" w:customStyle="1" w:styleId="83">
    <w:name w:val="fgj01"/>
    <w:basedOn w:val="1"/>
    <w:qFormat/>
    <w:uiPriority w:val="99"/>
    <w:pPr>
      <w:spacing w:before="100" w:beforeAutospacing="1" w:after="100" w:afterAutospacing="1" w:line="330" w:lineRule="atLeast"/>
    </w:pPr>
    <w:rPr>
      <w:b/>
      <w:bCs/>
      <w:color w:val="000000"/>
      <w:spacing w:val="15"/>
    </w:rPr>
  </w:style>
  <w:style w:type="paragraph" w:customStyle="1" w:styleId="84">
    <w:name w:val="fgj02"/>
    <w:basedOn w:val="1"/>
    <w:qFormat/>
    <w:uiPriority w:val="99"/>
    <w:pPr>
      <w:spacing w:before="100" w:beforeAutospacing="1" w:after="100" w:afterAutospacing="1" w:line="330" w:lineRule="atLeast"/>
    </w:pPr>
    <w:rPr>
      <w:b/>
      <w:bCs/>
      <w:color w:val="000000"/>
      <w:spacing w:val="15"/>
    </w:rPr>
  </w:style>
  <w:style w:type="paragraph" w:customStyle="1" w:styleId="85">
    <w:name w:val="custtext"/>
    <w:basedOn w:val="1"/>
    <w:qFormat/>
    <w:uiPriority w:val="99"/>
    <w:pPr>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pPr>
    <w:rPr>
      <w:color w:val="054B92"/>
      <w:sz w:val="18"/>
      <w:szCs w:val="18"/>
    </w:rPr>
  </w:style>
  <w:style w:type="paragraph" w:customStyle="1" w:styleId="86">
    <w:name w:val="buttons02"/>
    <w:basedOn w:val="1"/>
    <w:qFormat/>
    <w:uiPriority w:val="99"/>
    <w:pPr>
      <w:shd w:val="clear" w:color="auto" w:fill="D2E4FC"/>
      <w:spacing w:before="100" w:beforeAutospacing="1" w:after="100" w:afterAutospacing="1" w:line="330" w:lineRule="atLeast"/>
    </w:pPr>
    <w:rPr>
      <w:color w:val="000000"/>
    </w:rPr>
  </w:style>
  <w:style w:type="paragraph" w:customStyle="1" w:styleId="87">
    <w:name w:val="table301"/>
    <w:basedOn w:val="1"/>
    <w:qFormat/>
    <w:uiPriority w:val="99"/>
    <w:pPr>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pPr>
    <w:rPr>
      <w:color w:val="000000"/>
    </w:rPr>
  </w:style>
  <w:style w:type="paragraph" w:customStyle="1" w:styleId="88">
    <w:name w:val="table302"/>
    <w:basedOn w:val="1"/>
    <w:qFormat/>
    <w:uiPriority w:val="99"/>
    <w:pPr>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pPr>
    <w:rPr>
      <w:color w:val="000000"/>
    </w:rPr>
  </w:style>
  <w:style w:type="paragraph" w:customStyle="1" w:styleId="89">
    <w:name w:val="table303"/>
    <w:basedOn w:val="1"/>
    <w:qFormat/>
    <w:uiPriority w:val="99"/>
    <w:pPr>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pPr>
    <w:rPr>
      <w:color w:val="000000"/>
    </w:rPr>
  </w:style>
  <w:style w:type="paragraph" w:customStyle="1" w:styleId="90">
    <w:name w:val="table304"/>
    <w:basedOn w:val="1"/>
    <w:qFormat/>
    <w:uiPriority w:val="99"/>
    <w:pPr>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pPr>
    <w:rPr>
      <w:color w:val="000000"/>
    </w:rPr>
  </w:style>
  <w:style w:type="paragraph" w:customStyle="1" w:styleId="91">
    <w:name w:val="table305"/>
    <w:basedOn w:val="1"/>
    <w:qFormat/>
    <w:uiPriority w:val="99"/>
    <w:pPr>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pPr>
    <w:rPr>
      <w:color w:val="000000"/>
    </w:rPr>
  </w:style>
  <w:style w:type="paragraph" w:customStyle="1" w:styleId="92">
    <w:name w:val="stedit"/>
    <w:basedOn w:val="1"/>
    <w:qFormat/>
    <w:uiPriority w:val="99"/>
    <w:pPr>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pPr>
    <w:rPr>
      <w:color w:val="000000"/>
      <w:sz w:val="18"/>
      <w:szCs w:val="18"/>
    </w:rPr>
  </w:style>
  <w:style w:type="paragraph" w:customStyle="1" w:styleId="93">
    <w:name w:val="stedit1"/>
    <w:basedOn w:val="1"/>
    <w:qFormat/>
    <w:uiPriority w:val="99"/>
    <w:pPr>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pPr>
    <w:rPr>
      <w:color w:val="000000"/>
      <w:sz w:val="18"/>
      <w:szCs w:val="18"/>
    </w:rPr>
  </w:style>
  <w:style w:type="character" w:customStyle="1" w:styleId="94">
    <w:name w:val="f41"/>
    <w:basedOn w:val="24"/>
    <w:qFormat/>
    <w:uiPriority w:val="99"/>
    <w:rPr>
      <w:rFonts w:ascii="宋体" w:hAnsi="宋体" w:eastAsia="宋体" w:cs="宋体"/>
      <w:sz w:val="18"/>
      <w:szCs w:val="18"/>
    </w:rPr>
  </w:style>
  <w:style w:type="character" w:customStyle="1" w:styleId="95">
    <w:name w:val="f21"/>
    <w:basedOn w:val="24"/>
    <w:qFormat/>
    <w:uiPriority w:val="99"/>
    <w:rPr>
      <w:rFonts w:ascii="宋体" w:hAnsi="宋体" w:eastAsia="宋体" w:cs="宋体"/>
      <w:sz w:val="21"/>
      <w:szCs w:val="21"/>
    </w:rPr>
  </w:style>
  <w:style w:type="paragraph" w:customStyle="1" w:styleId="96">
    <w:name w:val="font10"/>
    <w:basedOn w:val="1"/>
    <w:qFormat/>
    <w:uiPriority w:val="99"/>
    <w:pPr>
      <w:spacing w:before="100" w:beforeAutospacing="1" w:after="100" w:afterAutospacing="1"/>
    </w:pPr>
    <w:rPr>
      <w:b/>
      <w:bCs/>
      <w:color w:val="FFFFFF"/>
      <w:sz w:val="18"/>
      <w:szCs w:val="18"/>
    </w:rPr>
  </w:style>
  <w:style w:type="paragraph" w:customStyle="1" w:styleId="97">
    <w:name w:val="font11"/>
    <w:basedOn w:val="1"/>
    <w:qFormat/>
    <w:uiPriority w:val="99"/>
    <w:pPr>
      <w:spacing w:before="100" w:beforeAutospacing="1" w:after="100" w:afterAutospacing="1"/>
    </w:pPr>
    <w:rPr>
      <w:b/>
      <w:bCs/>
      <w:color w:val="FFFFFF"/>
      <w:sz w:val="18"/>
      <w:szCs w:val="18"/>
    </w:rPr>
  </w:style>
  <w:style w:type="paragraph" w:customStyle="1" w:styleId="98">
    <w:name w:val="xl44"/>
    <w:basedOn w:val="1"/>
    <w:qFormat/>
    <w:uiPriority w:val="99"/>
    <w:pPr>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cs="Arial Unicode MS"/>
      <w:b/>
      <w:bCs/>
      <w:sz w:val="18"/>
      <w:szCs w:val="18"/>
    </w:rPr>
  </w:style>
  <w:style w:type="paragraph" w:customStyle="1" w:styleId="99">
    <w:name w:val="xl4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100">
    <w:name w:val="xl4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FF6600"/>
      <w:sz w:val="20"/>
      <w:szCs w:val="20"/>
    </w:rPr>
  </w:style>
  <w:style w:type="paragraph" w:customStyle="1" w:styleId="101">
    <w:name w:val="xl4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color w:val="0000FF"/>
      <w:sz w:val="20"/>
      <w:szCs w:val="20"/>
    </w:rPr>
  </w:style>
  <w:style w:type="paragraph" w:customStyle="1" w:styleId="102">
    <w:name w:val="xl4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3">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4">
    <w:name w:val="xl5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105">
    <w:name w:val="xl5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6600"/>
      <w:sz w:val="20"/>
      <w:szCs w:val="20"/>
    </w:rPr>
  </w:style>
  <w:style w:type="paragraph" w:customStyle="1" w:styleId="106">
    <w:name w:val="xl5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07">
    <w:name w:val="xl5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8">
    <w:name w:val="xl54"/>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FF00FF"/>
      <w:sz w:val="20"/>
      <w:szCs w:val="20"/>
    </w:rPr>
  </w:style>
  <w:style w:type="paragraph" w:customStyle="1" w:styleId="109">
    <w:name w:val="xl5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FF"/>
      <w:sz w:val="20"/>
      <w:szCs w:val="20"/>
    </w:rPr>
  </w:style>
  <w:style w:type="paragraph" w:customStyle="1" w:styleId="110">
    <w:name w:val="xl56"/>
    <w:basedOn w:val="1"/>
    <w:qFormat/>
    <w:uiPriority w:val="99"/>
    <w:pPr>
      <w:spacing w:before="100" w:beforeAutospacing="1" w:after="100" w:afterAutospacing="1"/>
      <w:jc w:val="center"/>
      <w:textAlignment w:val="bottom"/>
    </w:pPr>
    <w:rPr>
      <w:sz w:val="20"/>
      <w:szCs w:val="20"/>
    </w:rPr>
  </w:style>
  <w:style w:type="paragraph" w:customStyle="1" w:styleId="111">
    <w:name w:val="xl57"/>
    <w:basedOn w:val="1"/>
    <w:qFormat/>
    <w:uiPriority w:val="99"/>
    <w:pPr>
      <w:spacing w:before="100" w:beforeAutospacing="1" w:after="100" w:afterAutospacing="1"/>
      <w:textAlignment w:val="top"/>
    </w:pPr>
    <w:rPr>
      <w:sz w:val="20"/>
      <w:szCs w:val="20"/>
    </w:rPr>
  </w:style>
  <w:style w:type="paragraph" w:customStyle="1" w:styleId="112">
    <w:name w:val="xl58"/>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3">
    <w:name w:val="xl5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14">
    <w:name w:val="xl60"/>
    <w:basedOn w:val="1"/>
    <w:qFormat/>
    <w:uiPriority w:val="99"/>
    <w:pPr>
      <w:spacing w:before="100" w:beforeAutospacing="1" w:after="100" w:afterAutospacing="1"/>
      <w:jc w:val="center"/>
      <w:textAlignment w:val="bottom"/>
    </w:pPr>
    <w:rPr>
      <w:color w:val="0000FF"/>
      <w:sz w:val="20"/>
      <w:szCs w:val="20"/>
    </w:rPr>
  </w:style>
  <w:style w:type="paragraph" w:customStyle="1" w:styleId="115">
    <w:name w:val="xl61"/>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6">
    <w:name w:val="xl62"/>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17">
    <w:name w:val="xl6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8">
    <w:name w:val="xl64"/>
    <w:basedOn w:val="1"/>
    <w:qFormat/>
    <w:uiPriority w:val="99"/>
    <w:pPr>
      <w:spacing w:before="100" w:beforeAutospacing="1" w:after="100" w:afterAutospacing="1"/>
      <w:textAlignment w:val="bottom"/>
    </w:pPr>
    <w:rPr>
      <w:sz w:val="20"/>
      <w:szCs w:val="20"/>
    </w:rPr>
  </w:style>
  <w:style w:type="paragraph" w:customStyle="1" w:styleId="119">
    <w:name w:val="xl65"/>
    <w:basedOn w:val="1"/>
    <w:qFormat/>
    <w:uiPriority w:val="99"/>
    <w:pPr>
      <w:spacing w:before="100" w:beforeAutospacing="1" w:after="100" w:afterAutospacing="1"/>
      <w:textAlignment w:val="top"/>
    </w:pPr>
    <w:rPr>
      <w:sz w:val="20"/>
      <w:szCs w:val="20"/>
    </w:rPr>
  </w:style>
  <w:style w:type="paragraph" w:customStyle="1" w:styleId="120">
    <w:name w:val="xl66"/>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1">
    <w:name w:val="xl67"/>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2">
    <w:name w:val="xl68"/>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3">
    <w:name w:val="xl69"/>
    <w:basedOn w:val="1"/>
    <w:qFormat/>
    <w:uiPriority w:val="99"/>
    <w:pPr>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24">
    <w:name w:val="xl7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25">
    <w:name w:val="xl71"/>
    <w:basedOn w:val="1"/>
    <w:qFormat/>
    <w:uiPriority w:val="99"/>
    <w:pPr>
      <w:pBdr>
        <w:bottom w:val="single" w:color="auto" w:sz="4" w:space="0"/>
        <w:right w:val="single" w:color="auto" w:sz="4" w:space="0"/>
      </w:pBdr>
      <w:spacing w:before="100" w:beforeAutospacing="1" w:after="100" w:afterAutospacing="1"/>
      <w:jc w:val="center"/>
    </w:pPr>
    <w:rPr>
      <w:color w:val="0000FF"/>
      <w:sz w:val="20"/>
      <w:szCs w:val="20"/>
    </w:rPr>
  </w:style>
  <w:style w:type="paragraph" w:customStyle="1" w:styleId="126">
    <w:name w:val="xl72"/>
    <w:basedOn w:val="1"/>
    <w:qFormat/>
    <w:uiPriority w:val="99"/>
    <w:pPr>
      <w:pBdr>
        <w:bottom w:val="single" w:color="auto" w:sz="4" w:space="0"/>
        <w:right w:val="single" w:color="auto" w:sz="4" w:space="0"/>
      </w:pBdr>
      <w:spacing w:before="100" w:beforeAutospacing="1" w:after="100" w:afterAutospacing="1"/>
      <w:jc w:val="center"/>
    </w:pPr>
    <w:rPr>
      <w:sz w:val="20"/>
      <w:szCs w:val="20"/>
    </w:rPr>
  </w:style>
  <w:style w:type="paragraph" w:customStyle="1" w:styleId="127">
    <w:name w:val="xl73"/>
    <w:basedOn w:val="1"/>
    <w:qFormat/>
    <w:uiPriority w:val="99"/>
    <w:pPr>
      <w:pBdr>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28">
    <w:name w:val="xl74"/>
    <w:basedOn w:val="1"/>
    <w:qFormat/>
    <w:uiPriority w:val="99"/>
    <w:pPr>
      <w:pBdr>
        <w:bottom w:val="single" w:color="auto" w:sz="4" w:space="0"/>
        <w:right w:val="single" w:color="auto" w:sz="4" w:space="0"/>
      </w:pBdr>
      <w:spacing w:before="100" w:beforeAutospacing="1" w:after="100" w:afterAutospacing="1"/>
      <w:jc w:val="center"/>
    </w:pPr>
    <w:rPr>
      <w:color w:val="000000"/>
      <w:sz w:val="20"/>
      <w:szCs w:val="20"/>
    </w:rPr>
  </w:style>
  <w:style w:type="paragraph" w:customStyle="1" w:styleId="129">
    <w:name w:val="xl75"/>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sz w:val="20"/>
      <w:szCs w:val="20"/>
    </w:rPr>
  </w:style>
  <w:style w:type="paragraph" w:customStyle="1" w:styleId="130">
    <w:name w:val="xl76"/>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sz w:val="20"/>
      <w:szCs w:val="20"/>
    </w:rPr>
  </w:style>
  <w:style w:type="paragraph" w:customStyle="1" w:styleId="131">
    <w:name w:val="xl77"/>
    <w:basedOn w:val="1"/>
    <w:qFormat/>
    <w:uiPriority w:val="99"/>
    <w:pPr>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sz w:val="20"/>
      <w:szCs w:val="20"/>
    </w:rPr>
  </w:style>
  <w:style w:type="paragraph" w:customStyle="1" w:styleId="132">
    <w:name w:val="xl78"/>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3">
    <w:name w:val="xl79"/>
    <w:basedOn w:val="1"/>
    <w:qFormat/>
    <w:uiPriority w:val="99"/>
    <w:pPr>
      <w:pBdr>
        <w:bottom w:val="single" w:color="auto" w:sz="4" w:space="0"/>
        <w:right w:val="single" w:color="auto" w:sz="4" w:space="0"/>
      </w:pBdr>
      <w:spacing w:before="100" w:beforeAutospacing="1" w:after="100" w:afterAutospacing="1"/>
      <w:textAlignment w:val="top"/>
    </w:pPr>
    <w:rPr>
      <w:sz w:val="20"/>
      <w:szCs w:val="20"/>
    </w:rPr>
  </w:style>
  <w:style w:type="paragraph" w:customStyle="1" w:styleId="134">
    <w:name w:val="xl80"/>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FF"/>
      <w:sz w:val="20"/>
      <w:szCs w:val="20"/>
    </w:rPr>
  </w:style>
  <w:style w:type="paragraph" w:customStyle="1" w:styleId="135">
    <w:name w:val="xl81"/>
    <w:basedOn w:val="1"/>
    <w:qFormat/>
    <w:uiPriority w:val="99"/>
    <w:pPr>
      <w:pBdr>
        <w:bottom w:val="single" w:color="auto" w:sz="4" w:space="0"/>
        <w:right w:val="single" w:color="auto" w:sz="4" w:space="0"/>
      </w:pBdr>
      <w:spacing w:before="100" w:beforeAutospacing="1" w:after="100" w:afterAutospacing="1"/>
      <w:jc w:val="center"/>
      <w:textAlignment w:val="bottom"/>
    </w:pPr>
    <w:rPr>
      <w:color w:val="000000"/>
      <w:sz w:val="20"/>
      <w:szCs w:val="20"/>
    </w:rPr>
  </w:style>
  <w:style w:type="paragraph" w:customStyle="1" w:styleId="136">
    <w:name w:val="xl82"/>
    <w:basedOn w:val="1"/>
    <w:qFormat/>
    <w:uiPriority w:val="99"/>
    <w:pPr>
      <w:pBdr>
        <w:bottom w:val="single" w:color="auto" w:sz="4" w:space="0"/>
        <w:right w:val="single" w:color="auto" w:sz="4" w:space="0"/>
      </w:pBdr>
      <w:spacing w:before="100" w:beforeAutospacing="1" w:after="100" w:afterAutospacing="1"/>
    </w:pPr>
    <w:rPr>
      <w:sz w:val="20"/>
      <w:szCs w:val="20"/>
    </w:rPr>
  </w:style>
  <w:style w:type="paragraph" w:customStyle="1" w:styleId="137">
    <w:name w:val="xl83"/>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38">
    <w:name w:val="xl84"/>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39">
    <w:name w:val="xl85"/>
    <w:basedOn w:val="1"/>
    <w:qFormat/>
    <w:uiPriority w:val="99"/>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sz w:val="20"/>
      <w:szCs w:val="20"/>
    </w:rPr>
  </w:style>
  <w:style w:type="paragraph" w:customStyle="1" w:styleId="140">
    <w:name w:val="xl86"/>
    <w:basedOn w:val="1"/>
    <w:qFormat/>
    <w:uiPriority w:val="99"/>
    <w:pPr>
      <w:pBdr>
        <w:top w:val="single" w:color="auto" w:sz="4" w:space="0"/>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1">
    <w:name w:val="xl87"/>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2">
    <w:name w:val="xl88"/>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43">
    <w:name w:val="xl89"/>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4">
    <w:name w:val="xl9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5">
    <w:name w:val="xl9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6">
    <w:name w:val="xl92"/>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47">
    <w:name w:val="xl93"/>
    <w:basedOn w:val="1"/>
    <w:qFormat/>
    <w:uiPriority w:val="99"/>
    <w:pPr>
      <w:pBdr>
        <w:top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48">
    <w:name w:val="xl94"/>
    <w:basedOn w:val="1"/>
    <w:qFormat/>
    <w:uiPriority w:val="99"/>
    <w:pPr>
      <w:pBdr>
        <w:left w:val="single" w:color="auto" w:sz="4" w:space="0"/>
      </w:pBdr>
      <w:spacing w:before="100" w:beforeAutospacing="1" w:after="100" w:afterAutospacing="1"/>
      <w:jc w:val="center"/>
      <w:textAlignment w:val="bottom"/>
    </w:pPr>
    <w:rPr>
      <w:sz w:val="20"/>
      <w:szCs w:val="20"/>
    </w:rPr>
  </w:style>
  <w:style w:type="paragraph" w:customStyle="1" w:styleId="149">
    <w:name w:val="xl95"/>
    <w:basedOn w:val="1"/>
    <w:qFormat/>
    <w:uiPriority w:val="99"/>
    <w:pPr>
      <w:pBdr>
        <w:right w:val="single" w:color="auto" w:sz="4" w:space="0"/>
      </w:pBdr>
      <w:spacing w:before="100" w:beforeAutospacing="1" w:after="100" w:afterAutospacing="1"/>
      <w:jc w:val="center"/>
      <w:textAlignment w:val="bottom"/>
    </w:pPr>
    <w:rPr>
      <w:sz w:val="20"/>
      <w:szCs w:val="20"/>
    </w:rPr>
  </w:style>
  <w:style w:type="paragraph" w:customStyle="1" w:styleId="150">
    <w:name w:val="xl96"/>
    <w:basedOn w:val="1"/>
    <w:qFormat/>
    <w:uiPriority w:val="99"/>
    <w:pPr>
      <w:pBdr>
        <w:left w:val="single" w:color="auto" w:sz="4" w:space="0"/>
        <w:bottom w:val="single" w:color="auto" w:sz="4" w:space="0"/>
      </w:pBdr>
      <w:spacing w:before="100" w:beforeAutospacing="1" w:after="100" w:afterAutospacing="1"/>
      <w:jc w:val="center"/>
      <w:textAlignment w:val="bottom"/>
    </w:pPr>
    <w:rPr>
      <w:sz w:val="20"/>
      <w:szCs w:val="20"/>
    </w:rPr>
  </w:style>
  <w:style w:type="paragraph" w:customStyle="1" w:styleId="151">
    <w:name w:val="xl97"/>
    <w:basedOn w:val="1"/>
    <w:qFormat/>
    <w:uiPriority w:val="99"/>
    <w:pPr>
      <w:pBdr>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2">
    <w:name w:val="xl98"/>
    <w:basedOn w:val="1"/>
    <w:qFormat/>
    <w:uiPriority w:val="99"/>
    <w:pPr>
      <w:pBdr>
        <w:top w:val="single" w:color="auto" w:sz="4" w:space="0"/>
        <w:left w:val="single" w:color="auto" w:sz="4" w:space="0"/>
      </w:pBdr>
      <w:spacing w:before="100" w:beforeAutospacing="1" w:after="100" w:afterAutospacing="1"/>
      <w:jc w:val="center"/>
      <w:textAlignment w:val="bottom"/>
    </w:pPr>
    <w:rPr>
      <w:sz w:val="20"/>
      <w:szCs w:val="20"/>
    </w:rPr>
  </w:style>
  <w:style w:type="paragraph" w:customStyle="1" w:styleId="153">
    <w:name w:val="xl9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54">
    <w:name w:val="xl10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5">
    <w:name w:val="xl101"/>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6">
    <w:name w:val="xl10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7">
    <w:name w:val="xl103"/>
    <w:basedOn w:val="1"/>
    <w:qFormat/>
    <w:uiPriority w:val="99"/>
    <w:pPr>
      <w:pBdr>
        <w:top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8">
    <w:name w:val="xl104"/>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59">
    <w:name w:val="xl105"/>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0">
    <w:name w:val="xl106"/>
    <w:basedOn w:val="1"/>
    <w:qFormat/>
    <w:uiPriority w:val="99"/>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1">
    <w:name w:val="xl107"/>
    <w:basedOn w:val="1"/>
    <w:qFormat/>
    <w:uiPriority w:val="99"/>
    <w:pPr>
      <w:pBdr>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62">
    <w:name w:val="xl108"/>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3">
    <w:name w:val="xl109"/>
    <w:basedOn w:val="1"/>
    <w:qFormat/>
    <w:uiPriority w:val="99"/>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64">
    <w:name w:val="xl110"/>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5">
    <w:name w:val="xl111"/>
    <w:basedOn w:val="1"/>
    <w:qFormat/>
    <w:uiPriority w:val="99"/>
    <w:pPr>
      <w:pBdr>
        <w:left w:val="single" w:color="auto" w:sz="4" w:space="0"/>
        <w:right w:val="single" w:color="auto" w:sz="4" w:space="0"/>
      </w:pBdr>
      <w:spacing w:before="100" w:beforeAutospacing="1" w:after="100" w:afterAutospacing="1"/>
      <w:jc w:val="center"/>
    </w:pPr>
    <w:rPr>
      <w:sz w:val="20"/>
      <w:szCs w:val="20"/>
    </w:rPr>
  </w:style>
  <w:style w:type="paragraph" w:customStyle="1" w:styleId="166">
    <w:name w:val="xl112"/>
    <w:basedOn w:val="1"/>
    <w:qFormat/>
    <w:uiPriority w:val="99"/>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67">
    <w:name w:val="xl113"/>
    <w:basedOn w:val="1"/>
    <w:qFormat/>
    <w:uiPriority w:val="99"/>
    <w:pPr>
      <w:pBdr>
        <w:left w:val="single" w:color="auto" w:sz="4" w:space="0"/>
        <w:right w:val="single" w:color="auto" w:sz="4" w:space="0"/>
      </w:pBdr>
      <w:spacing w:before="100" w:beforeAutospacing="1" w:after="100" w:afterAutospacing="1"/>
      <w:textAlignment w:val="top"/>
    </w:pPr>
    <w:rPr>
      <w:sz w:val="20"/>
      <w:szCs w:val="20"/>
    </w:rPr>
  </w:style>
  <w:style w:type="paragraph" w:customStyle="1" w:styleId="168">
    <w:name w:val="xl114"/>
    <w:basedOn w:val="1"/>
    <w:qFormat/>
    <w:uiPriority w:val="99"/>
    <w:pPr>
      <w:pBdr>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character" w:customStyle="1" w:styleId="169">
    <w:name w:val="showtext"/>
    <w:basedOn w:val="24"/>
    <w:qFormat/>
    <w:uiPriority w:val="99"/>
  </w:style>
  <w:style w:type="character" w:customStyle="1" w:styleId="170">
    <w:name w:val="style161"/>
    <w:basedOn w:val="24"/>
    <w:qFormat/>
    <w:uiPriority w:val="99"/>
    <w:rPr>
      <w:sz w:val="24"/>
      <w:szCs w:val="24"/>
    </w:rPr>
  </w:style>
  <w:style w:type="character" w:customStyle="1" w:styleId="171">
    <w:name w:val="style171"/>
    <w:basedOn w:val="24"/>
    <w:qFormat/>
    <w:uiPriority w:val="99"/>
    <w:rPr>
      <w:sz w:val="21"/>
      <w:szCs w:val="21"/>
    </w:rPr>
  </w:style>
  <w:style w:type="paragraph" w:customStyle="1" w:styleId="172">
    <w:name w:val="z-Top of Form1"/>
    <w:basedOn w:val="1"/>
    <w:next w:val="1"/>
    <w:link w:val="173"/>
    <w:qFormat/>
    <w:uiPriority w:val="99"/>
    <w:pPr>
      <w:pBdr>
        <w:bottom w:val="single" w:color="auto" w:sz="6" w:space="1"/>
      </w:pBdr>
      <w:jc w:val="center"/>
    </w:pPr>
    <w:rPr>
      <w:rFonts w:ascii="Arial" w:hAnsi="Arial" w:cs="Arial"/>
      <w:vanish/>
      <w:sz w:val="16"/>
      <w:szCs w:val="16"/>
    </w:rPr>
  </w:style>
  <w:style w:type="character" w:customStyle="1" w:styleId="173">
    <w:name w:val="z-Top of Form Char"/>
    <w:basedOn w:val="24"/>
    <w:link w:val="172"/>
    <w:semiHidden/>
    <w:qFormat/>
    <w:locked/>
    <w:uiPriority w:val="99"/>
    <w:rPr>
      <w:rFonts w:ascii="Arial" w:hAnsi="Arial" w:cs="Arial"/>
      <w:vanish/>
      <w:kern w:val="0"/>
      <w:sz w:val="16"/>
      <w:szCs w:val="16"/>
    </w:rPr>
  </w:style>
  <w:style w:type="paragraph" w:customStyle="1" w:styleId="174">
    <w:name w:val="z-Bottom of Form1"/>
    <w:basedOn w:val="1"/>
    <w:next w:val="1"/>
    <w:link w:val="175"/>
    <w:qFormat/>
    <w:uiPriority w:val="99"/>
    <w:pPr>
      <w:pBdr>
        <w:top w:val="single" w:color="auto" w:sz="6" w:space="1"/>
      </w:pBdr>
      <w:jc w:val="center"/>
    </w:pPr>
    <w:rPr>
      <w:rFonts w:ascii="Arial" w:hAnsi="Arial" w:cs="Arial"/>
      <w:vanish/>
      <w:sz w:val="16"/>
      <w:szCs w:val="16"/>
    </w:rPr>
  </w:style>
  <w:style w:type="character" w:customStyle="1" w:styleId="175">
    <w:name w:val="z-Bottom of Form Char"/>
    <w:basedOn w:val="24"/>
    <w:link w:val="174"/>
    <w:semiHidden/>
    <w:qFormat/>
    <w:locked/>
    <w:uiPriority w:val="99"/>
    <w:rPr>
      <w:rFonts w:ascii="Arial" w:hAnsi="Arial" w:cs="Arial"/>
      <w:vanish/>
      <w:kern w:val="0"/>
      <w:sz w:val="16"/>
      <w:szCs w:val="16"/>
    </w:rPr>
  </w:style>
  <w:style w:type="paragraph" w:customStyle="1" w:styleId="176">
    <w:name w:val="Char Char Char Char"/>
    <w:basedOn w:val="1"/>
    <w:qFormat/>
    <w:uiPriority w:val="99"/>
    <w:pPr>
      <w:spacing w:after="160" w:line="240" w:lineRule="exact"/>
    </w:pPr>
    <w:rPr>
      <w:rFonts w:ascii="Verdana" w:hAnsi="Verdana" w:cs="Verdana"/>
      <w:sz w:val="20"/>
      <w:szCs w:val="20"/>
      <w:lang w:eastAsia="en-US"/>
    </w:rPr>
  </w:style>
  <w:style w:type="paragraph" w:customStyle="1" w:styleId="177">
    <w:name w:val="unnamed1"/>
    <w:basedOn w:val="1"/>
    <w:qFormat/>
    <w:uiPriority w:val="99"/>
    <w:pPr>
      <w:spacing w:line="330" w:lineRule="atLeast"/>
    </w:pPr>
  </w:style>
  <w:style w:type="character" w:customStyle="1" w:styleId="178">
    <w:name w:val="f31"/>
    <w:basedOn w:val="24"/>
    <w:qFormat/>
    <w:uiPriority w:val="99"/>
    <w:rPr>
      <w:rFonts w:ascii="??" w:hAnsi="??" w:cs="??"/>
      <w:color w:val="auto"/>
      <w:sz w:val="16"/>
      <w:szCs w:val="16"/>
    </w:rPr>
  </w:style>
  <w:style w:type="paragraph" w:customStyle="1" w:styleId="179">
    <w:name w:val="Char"/>
    <w:basedOn w:val="1"/>
    <w:qFormat/>
    <w:uiPriority w:val="99"/>
    <w:pPr>
      <w:spacing w:after="160" w:line="240" w:lineRule="exact"/>
    </w:pPr>
    <w:rPr>
      <w:rFonts w:ascii="Verdana" w:hAnsi="Verdana" w:cs="Verdana"/>
      <w:sz w:val="20"/>
      <w:szCs w:val="20"/>
      <w:lang w:eastAsia="en-US"/>
    </w:rPr>
  </w:style>
  <w:style w:type="character" w:customStyle="1" w:styleId="180">
    <w:name w:val="real-price price gray"/>
    <w:basedOn w:val="24"/>
    <w:qFormat/>
    <w:uiPriority w:val="99"/>
  </w:style>
  <w:style w:type="paragraph" w:customStyle="1" w:styleId="181">
    <w:name w:val="change-wrap"/>
    <w:basedOn w:val="1"/>
    <w:qFormat/>
    <w:uiPriority w:val="99"/>
    <w:pPr>
      <w:spacing w:before="100" w:beforeAutospacing="1" w:after="100" w:afterAutospacing="1"/>
    </w:pPr>
  </w:style>
  <w:style w:type="character" w:customStyle="1" w:styleId="182">
    <w:name w:val="amt-value"/>
    <w:basedOn w:val="24"/>
    <w:qFormat/>
    <w:uiPriority w:val="99"/>
  </w:style>
  <w:style w:type="character" w:customStyle="1" w:styleId="183">
    <w:name w:val="amt"/>
    <w:basedOn w:val="24"/>
    <w:qFormat/>
    <w:uiPriority w:val="99"/>
  </w:style>
  <w:style w:type="paragraph" w:customStyle="1" w:styleId="184">
    <w:name w:val="trade-time time"/>
    <w:basedOn w:val="1"/>
    <w:qFormat/>
    <w:uiPriority w:val="99"/>
    <w:pPr>
      <w:spacing w:before="100" w:beforeAutospacing="1" w:after="100" w:afterAutospacing="1"/>
    </w:pPr>
  </w:style>
  <w:style w:type="character" w:customStyle="1" w:styleId="185">
    <w:name w:val="real-price price green"/>
    <w:basedOn w:val="24"/>
    <w:qFormat/>
    <w:uiPriority w:val="99"/>
  </w:style>
  <w:style w:type="character" w:customStyle="1" w:styleId="186">
    <w:name w:val="font91"/>
    <w:basedOn w:val="24"/>
    <w:qFormat/>
    <w:uiPriority w:val="0"/>
    <w:rPr>
      <w:rFonts w:hint="eastAsia" w:ascii="宋体" w:hAnsi="宋体" w:eastAsia="宋体" w:cs="宋体"/>
      <w:color w:val="000000"/>
      <w:sz w:val="21"/>
      <w:szCs w:val="21"/>
      <w:u w:val="none"/>
    </w:rPr>
  </w:style>
  <w:style w:type="character" w:customStyle="1" w:styleId="187">
    <w:name w:val="font101"/>
    <w:basedOn w:val="24"/>
    <w:qFormat/>
    <w:uiPriority w:val="0"/>
    <w:rPr>
      <w:rFonts w:hint="eastAsia" w:ascii="宋体" w:hAnsi="宋体" w:eastAsia="宋体" w:cs="宋体"/>
      <w:color w:val="000000"/>
      <w:sz w:val="21"/>
      <w:szCs w:val="21"/>
      <w:u w:val="none"/>
    </w:rPr>
  </w:style>
  <w:style w:type="character" w:customStyle="1" w:styleId="188">
    <w:name w:val="font41"/>
    <w:basedOn w:val="24"/>
    <w:qFormat/>
    <w:uiPriority w:val="0"/>
    <w:rPr>
      <w:rFonts w:hint="eastAsia" w:ascii="宋体" w:hAnsi="宋体" w:eastAsia="宋体" w:cs="宋体"/>
      <w:color w:val="000000"/>
      <w:sz w:val="21"/>
      <w:szCs w:val="21"/>
      <w:u w:val="none"/>
    </w:rPr>
  </w:style>
  <w:style w:type="character" w:customStyle="1" w:styleId="189">
    <w:name w:val="font31"/>
    <w:basedOn w:val="24"/>
    <w:qFormat/>
    <w:uiPriority w:val="0"/>
    <w:rPr>
      <w:rFonts w:hint="eastAsia" w:ascii="宋体" w:hAnsi="宋体" w:eastAsia="宋体" w:cs="宋体"/>
      <w:color w:val="000000"/>
      <w:sz w:val="21"/>
      <w:szCs w:val="21"/>
      <w:u w:val="none"/>
    </w:rPr>
  </w:style>
  <w:style w:type="character" w:customStyle="1" w:styleId="190">
    <w:name w:val="font81"/>
    <w:basedOn w:val="2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8"/>
    <customShpInfo spid="_x0000_s1029"/>
    <customShpInfo spid="_x0000_s1030"/>
    <customShpInfo spid="_x0000_s1031"/>
    <customShpInfo spid="_x0000_s1032"/>
    <customShpInfo spid="_x0000_s1033"/>
    <customShpInfo spid="_x0000_s1034"/>
    <customShpInfo spid="_x0000_s1036"/>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12</Pages>
  <Words>1429</Words>
  <Characters>8149</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2017-05-03T02:17:00Z</dcterms:created>
  <dc:creator>yly</dc:creator>
  <cp:lastModifiedBy>Administrator</cp:lastModifiedBy>
  <cp:lastPrinted>2012-08-08T01:39:00Z</cp:lastPrinted>
  <dcterms:modified xsi:type="dcterms:W3CDTF">2017-06-01T08:26:32Z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