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</w:pPr>
      <w: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</w:pPr>
      <w:r>
        <w:pict>
          <v:shape id="_x0000_s1026" o:spid="_x0000_s1026" o:spt="202" type="#_x0000_t202" style="position:absolute;left:0pt;margin-left:36.9pt;margin-top:586.45pt;height:110.7pt;width:419.1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责任编辑：郭晓宇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>
                  <w:pPr>
                    <w:pStyle w:val="18"/>
                    <w:rPr>
                      <w:rFonts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hint="eastAsia" w:ascii="黑体" w:hAnsi="宋体" w:eastAsia="黑体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>
                  <w:pPr>
                    <w:jc w:val="left"/>
                  </w:pP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75.45pt;margin-top:490.7pt;height:54.1pt;width:126.6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numPr>
                      <w:ilvl w:val="0"/>
                      <w:numId w:val="1"/>
                    </w:numPr>
                    <w:rPr>
                      <w:kern w:val="2"/>
                    </w:rPr>
                  </w:pPr>
                  <w:bookmarkStart w:id="37" w:name="_Toc485828984"/>
                  <w:bookmarkStart w:id="38" w:name="_Toc485981320"/>
                  <w:r>
                    <w:rPr>
                      <w:rFonts w:hint="eastAsia"/>
                      <w:kern w:val="2"/>
                    </w:rPr>
                    <w:t>2017.08.</w:t>
                  </w:r>
                  <w:bookmarkEnd w:id="37"/>
                  <w:bookmarkEnd w:id="38"/>
                  <w:r>
                    <w:rPr>
                      <w:rFonts w:hint="eastAsia"/>
                      <w:kern w:val="2"/>
                      <w:lang w:val="en-US" w:eastAsia="zh-CN"/>
                    </w:rPr>
                    <w:t>25</w:t>
                  </w:r>
                </w:p>
                <w:p/>
              </w:txbxContent>
            </v:textbox>
          </v:shape>
        </w:pict>
      </w:r>
      <w:r>
        <w:br w:type="page"/>
      </w:r>
    </w:p>
    <w:p>
      <w:pPr>
        <w:pStyle w:val="2"/>
        <w:spacing w:line="400" w:lineRule="exact"/>
        <w:rPr>
          <w:rFonts w:ascii="宋体" w:hAnsi="宋体"/>
          <w:sz w:val="24"/>
          <w:szCs w:val="24"/>
        </w:rPr>
      </w:pPr>
      <w:bookmarkStart w:id="0" w:name="_Toc485828985"/>
      <w:r>
        <w:pict>
          <v:shape id="_x0000_s1028" o:spid="_x0000_s1028" o:spt="202" type="#_x0000_t202" style="position:absolute;left:0pt;margin-left:-0.9pt;margin-top:34.7pt;height:565.3pt;width:492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18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rPr>
                      <w:szCs w:val="20"/>
                    </w:rPr>
                    <w:fldChar w:fldCharType="begin"/>
                  </w:r>
                  <w:r>
                    <w:rPr>
                      <w:szCs w:val="20"/>
                    </w:rPr>
                    <w:instrText xml:space="preserve"> TOC \o "1-3" \h \z \u </w:instrText>
                  </w:r>
                  <w:r>
                    <w:rPr>
                      <w:szCs w:val="20"/>
                    </w:rP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"_Toc392240276"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"_Toc392240277"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_Toc392240277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"_Toc392240278"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本周国内纯碱市场价格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"_Toc392240279"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烧碱</w:t>
                  </w:r>
                  <w:r>
                    <w:tab/>
                  </w:r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"_Toc392240280"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本周国内片碱实际成交周汇总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"_Toc392240281"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ascii="黑体"/>
                    </w:rPr>
                    <w:t>32%</w:t>
                  </w:r>
                  <w:r>
                    <w:rPr>
                      <w:rStyle w:val="13"/>
                      <w:rFonts w:hint="eastAsia" w:ascii="黑体"/>
                    </w:rPr>
                    <w:t>离子膜价格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"_Toc392240282"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 w:eastAsia="黑体"/>
                    </w:rPr>
                    <w:t>液氯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9"/>
                    <w:rPr>
                      <w:smallCaps w:val="0"/>
                      <w:color w:val="auto"/>
                      <w:sz w:val="21"/>
                    </w:rPr>
                  </w:pPr>
                  <w:r>
                    <w:fldChar w:fldCharType="begin"/>
                  </w:r>
                  <w:r>
                    <w:instrText xml:space="preserve"> HYPERLINK \l "_Toc392240283"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/>
                    </w:rPr>
                    <w:t>评述：本周国内液氯市场评述及行情预测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pPr>
                    <w:pStyle w:val="7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"_Toc392240284" </w:instrText>
                  </w:r>
                  <w:r>
                    <w:fldChar w:fldCharType="separate"/>
                  </w:r>
                  <w:r>
                    <w:rPr>
                      <w:rStyle w:val="13"/>
                      <w:rFonts w:hint="eastAsia" w:ascii="黑体"/>
                    </w:rPr>
                    <w:t>国内地区市场价格</w:t>
                  </w:r>
                  <w:r>
                    <w:tab/>
                  </w:r>
                  <w:r>
                    <w:rPr>
                      <w:rFonts w:hint="eastAsia"/>
                      <w:lang w:val="en-US" w:eastAsia="zh-CN"/>
                    </w:rPr>
                    <w:t>8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szCs w:val="21"/>
        </w:rPr>
      </w:pPr>
      <w:bookmarkStart w:id="1" w:name="_Toc485981321"/>
      <w:bookmarkStart w:id="2" w:name="_Toc392240276"/>
      <w:bookmarkStart w:id="3" w:name="_Toc300238840"/>
      <w:r>
        <w:rPr>
          <w:rFonts w:hint="eastAsia"/>
          <w:szCs w:val="21"/>
        </w:rPr>
        <w:t>纯碱</w:t>
      </w:r>
      <w:bookmarkEnd w:id="1"/>
      <w:bookmarkEnd w:id="2"/>
    </w:p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="黑体" w:hAnsi="黑体" w:eastAsia="黑体"/>
          <w:szCs w:val="28"/>
        </w:rPr>
      </w:pPr>
      <w:bookmarkStart w:id="4" w:name="_Toc392240277"/>
      <w:bookmarkStart w:id="5" w:name="_Toc485981322"/>
      <w:r>
        <w:rPr>
          <w:rStyle w:val="22"/>
          <w:rFonts w:hint="eastAsia" w:ascii="黑体" w:hAnsi="黑体" w:eastAsia="黑体"/>
          <w:szCs w:val="28"/>
        </w:rPr>
        <w:t>评述：本周纯碱市场评述及行情预测</w:t>
      </w:r>
      <w:bookmarkEnd w:id="4"/>
      <w:bookmarkEnd w:id="5"/>
    </w:p>
    <w:p>
      <w:pPr>
        <w:pStyle w:val="24"/>
        <w:widowControl/>
        <w:numPr>
          <w:ilvl w:val="0"/>
          <w:numId w:val="0"/>
        </w:numPr>
        <w:spacing w:before="100" w:beforeAutospacing="1" w:after="100" w:afterAutospacing="1" w:line="400" w:lineRule="exact"/>
        <w:ind w:left="420" w:leftChars="0"/>
        <w:jc w:val="left"/>
        <w:rPr>
          <w:sz w:val="28"/>
          <w:szCs w:val="28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eastAsia="zh-CN"/>
        </w:rPr>
        <w:t>一、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纯碱市场一周</w:t>
      </w:r>
      <w:bookmarkStart w:id="6" w:name="_Toc392240278"/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>综述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国内纯碱供量劣势下，纯碱下游及贸易者买涨情绪激增，不少碱厂的停车及限量等进一步激发下游看涨心态。纯碱企业当前主要面临环保限产影响，一方面，其原料的生产供量限制，导致其成本端上移，碱企承压下，或有原料不足致使产量低位；另一方面碱企自身存在不少环保影响，相应山东海化限产3成已作出表率，本周湖南湘潭碱业停车。四川和邦开工降低3成、四川广宇停车，湖北双环停车等消息或与环保息息相关。需求方面，环保趋严震荡作用的是整个化工行业。其轻质纯碱下游不少因环保而被迫叫停，其中泡花碱、玻璃瓶及印染等产业排污较为突出。这几种产业中低端市场需求占比较大，故而对于轻质纯碱需求端影响显著，其需求在短期将存在震荡隐患，刚需驱动下，货紧价扬。重质纯碱业内众多周知其下游产业以浮法玻璃为主，近段时间玻璃售价上扬尚对纯碱行情存有小幅支撑，故而市场调涨顺理成章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轻碱主流含税出厂价格：苏北/苏南1650-1700元/吨出厂；山东本地出厂1650-1700元/吨；河北本地出厂1600-1650元/吨；河南参考主流1650-1700元/吨，部分成交重心上移至1700-1780元/吨；湖北参考主流1630-1680元/吨，湖南参考主流1650-1700元/吨；西南本地出厂1700-1750元/吨；内蒙本地出厂1600-1700元/吨；青海主流出厂1400-1550元/吨；东北轻碱主流1800-1850元/吨送到；广东本地出厂1780-1800元/吨，送至终端在1900元/吨左右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重碱主流含税送到价格：河北沙河地区主流送到价格在1830-1850元/吨；江苏省内送到1700-1800元/吨；山东送到1700-1800元/吨；东北送到1850-1900元/吨；广东送到1850-1900元/吨；两湖地区主流参考送到价1750-1800元/吨；西南地区主流送到1700-1800元/吨；青海地区主流出厂1450-1600元/吨。</w:t>
      </w:r>
    </w:p>
    <w:p>
      <w:pPr>
        <w:pStyle w:val="24"/>
        <w:ind w:left="0" w:leftChars="0" w:firstLine="280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二、影响市场因素及后市预测</w:t>
      </w: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利好面：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1.碱厂停车企业增加，市场供量缺口较大；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2.纯碱厂家库存近20万吨左右，可供货源稀缺；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3.部分区域货源紧张局势突出，供量较足区域提涨空间加大；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4.成本端，焦炭及石灰石供量紧张，造成碱企生产及成本增压；</w:t>
      </w: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利空面：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1.下游产业因环保彻查关停，需求端减弱；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>2.国外进口碱进入国内市场概率增强，市场随时受到波及；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预测：</w:t>
      </w:r>
      <w:r>
        <w:rPr>
          <w:rFonts w:ascii="宋体" w:hAnsi="宋体" w:eastAsia="宋体" w:cs="宋体"/>
          <w:sz w:val="21"/>
          <w:szCs w:val="21"/>
        </w:rPr>
        <w:t xml:space="preserve">国内纯碱部分企业在本月底前持续以低位供量为主，步入9月供量有望回升，其下周市场货源将持续紧张。 </w:t>
      </w:r>
    </w:p>
    <w:p>
      <w:pPr>
        <w:pStyle w:val="10"/>
        <w:keepNext w:val="0"/>
        <w:keepLines w:val="0"/>
        <w:widowControl/>
        <w:suppressLineNumbers w:val="0"/>
        <w:rPr>
          <w:rStyle w:val="22"/>
          <w:rFonts w:cs="宋体" w:asciiTheme="minorEastAsia" w:hAnsiTheme="minorEastAsia" w:eastAsiaTheme="minorEastAsia"/>
          <w:kern w:val="0"/>
          <w:sz w:val="28"/>
          <w:szCs w:val="28"/>
        </w:rPr>
      </w:pPr>
      <w:r>
        <w:rPr>
          <w:rStyle w:val="22"/>
          <w:rFonts w:hint="eastAsia" w:asciiTheme="minorEastAsia" w:hAnsiTheme="minorEastAsia" w:eastAsiaTheme="minorEastAsia"/>
          <w:sz w:val="28"/>
          <w:szCs w:val="28"/>
        </w:rPr>
        <w:t>本周国内纯碱市场价格</w:t>
      </w:r>
      <w:bookmarkEnd w:id="6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301"/>
        <w:gridCol w:w="1301"/>
        <w:gridCol w:w="1301"/>
        <w:gridCol w:w="1301"/>
        <w:gridCol w:w="12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1789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1940</w:t>
            </w:r>
          </w:p>
        </w:tc>
        <w:tc>
          <w:tcPr>
            <w:tcW w:w="13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2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1800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2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1300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pStyle w:val="2"/>
        <w:spacing w:line="400" w:lineRule="exact"/>
        <w:jc w:val="center"/>
        <w:rPr>
          <w:b w:val="0"/>
          <w:color w:val="666699"/>
          <w:szCs w:val="21"/>
        </w:rPr>
      </w:pPr>
      <w:bookmarkStart w:id="7" w:name="_Toc392240279"/>
      <w:bookmarkStart w:id="8" w:name="_Toc485981323"/>
      <w:r>
        <w:rPr>
          <w:rFonts w:hint="eastAsia"/>
        </w:rPr>
        <w:t>烧碱</w:t>
      </w:r>
      <w:bookmarkEnd w:id="3"/>
      <w:bookmarkEnd w:id="7"/>
      <w:bookmarkEnd w:id="8"/>
    </w:p>
    <w:p>
      <w:pPr>
        <w:spacing w:line="400" w:lineRule="exact"/>
        <w:rPr>
          <w:rFonts w:ascii="黑体" w:hAnsi="黑体" w:eastAsia="黑体"/>
          <w:b/>
          <w:sz w:val="28"/>
          <w:szCs w:val="28"/>
        </w:rPr>
      </w:pPr>
      <w:bookmarkStart w:id="9" w:name="_Toc300238848"/>
      <w:bookmarkStart w:id="10" w:name="_Toc252539754"/>
      <w:bookmarkStart w:id="11" w:name="_Toc250731925"/>
      <w:bookmarkStart w:id="12" w:name="_Toc295403449"/>
      <w:r>
        <w:rPr>
          <w:rFonts w:hint="eastAsia" w:ascii="黑体" w:hAnsi="黑体" w:eastAsia="黑体"/>
          <w:b/>
          <w:sz w:val="28"/>
          <w:szCs w:val="28"/>
        </w:rPr>
        <w:t>中国烧碱市场行情综述</w:t>
      </w:r>
      <w:r>
        <w:rPr>
          <w:rFonts w:ascii="黑体" w:hAnsi="黑体" w:eastAsia="黑体"/>
          <w:b/>
          <w:sz w:val="28"/>
          <w:szCs w:val="28"/>
        </w:rPr>
        <w:t xml:space="preserve"> </w:t>
      </w:r>
    </w:p>
    <w:bookmarkEnd w:id="9"/>
    <w:bookmarkEnd w:id="10"/>
    <w:bookmarkEnd w:id="11"/>
    <w:bookmarkEnd w:id="12"/>
    <w:p>
      <w:pPr>
        <w:pStyle w:val="10"/>
        <w:numPr>
          <w:ilvl w:val="0"/>
          <w:numId w:val="0"/>
        </w:numPr>
        <w:spacing w:line="400" w:lineRule="exact"/>
        <w:ind w:left="420" w:leftChars="0"/>
        <w:rPr>
          <w:rFonts w:asciiTheme="minorEastAsia" w:hAnsiTheme="minorEastAsia" w:eastAsiaTheme="minorEastAsia"/>
          <w:sz w:val="28"/>
          <w:szCs w:val="28"/>
        </w:rPr>
      </w:pPr>
      <w:bookmarkStart w:id="13" w:name="_Toc264643747"/>
      <w:bookmarkStart w:id="14" w:name="_Toc295403451"/>
      <w:bookmarkStart w:id="15" w:name="_Toc392240280"/>
      <w:bookmarkStart w:id="16" w:name="_Toc300238850"/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市场综述</w:t>
      </w:r>
    </w:p>
    <w:p>
      <w:pPr>
        <w:pStyle w:val="1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中国液碱市场成交重心下移，8月24日中国液体烧碱市场价格指数约992，较上周同期↓0.39%，华东江浙皖地区液碱价格处于较高水平，本周内江苏个别高价有适当回调，整体成交重心维稳为主，江苏省内液氯倒贴情况加重，刺激部分液碱企业减产，且8月末至9月份有金桥丰益氯碱、中盐常州化工、江苏梅兰、江苏南通江山农药等氯碱装置安排检修，华东地区氯碱企业对此报有希望，烧碱价格或将延续平稳走势。西南川渝地区液碱市场弱势维稳，区内下游氧化铝行业生产相对稳定，但其他下游因中央督察工作的开展，整体开工率下调明显，对液碱的需求疲软，在氯碱企业同步减量的背景下，液碱市场维持低位稳定运行，液碱供应量不多，对小户的优惠力度有限；重庆天原化工周四临时停车，重庆地区液碱坚挺维稳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</w:p>
    <w:p>
      <w:pPr>
        <w:pStyle w:val="10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价格方面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32%离子膜烧碱主流出厂价格：山东氧化铝行业主流采购价格8月19日至今执行现汇出厂800元/吨，其他地区出厂价格在810-870元/吨，局部靠近河南、江苏地区的价格多在960-1020元/吨；河北衡水地区32%离子膜液碱出厂价格在900-920元/吨，沧州地区32%离子膜液碱出厂价格在860-910元/吨，唐山地区32%离子膜液碱出厂价格多在980-1050元/吨；天津地区32%离子膜碱当地出厂报价3150-3250元/吨（折百）；山西地区32%离子膜液碱出厂价格多在3250-3300元/吨（折百）；河南地区32%离子膜液碱出厂价格3350-3450元/吨（折百）；浙江地区32%离子膜液碱送到萧绍地区价格在1080-1120元/吨；福建地区32%离子膜液碱送到省内终端的价格集中在1170-1185元/吨；广西当地32%离子膜液碱出厂价格维持在1130-1150元/吨；湖北地区32%离子膜液碱出厂价格在1000-1150元/吨；四川地区30-32%离子膜液碱出厂价格3300-3400元/吨（折百），重庆当地30-32%离子膜液碱出厂价格3700-3850元/吨（折百）。</w:t>
      </w:r>
    </w:p>
    <w:p>
      <w:pPr>
        <w:pStyle w:val="10"/>
        <w:ind w:left="420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48%-50%离子膜烧碱主流出厂价格：山东48%离子膜液碱出厂价格多在1420-1450元/吨，50%离子膜液碱出厂价格多在1420-1470元/吨；河北地区1520-1550元/吨附近；天津49%离子膜碱出厂报价3100-3200元/吨（折百）；山西50%离子膜液碱出厂价格3450-3500元/吨（折百）；四川地区50%离子膜液碱出厂价格3400-3500元/吨（折百）；陕西地区50%离子膜液碱出厂价格在3400-3500元/吨（折百）。</w:t>
      </w:r>
    </w:p>
    <w:p>
      <w:pPr>
        <w:pStyle w:val="10"/>
        <w:ind w:left="420"/>
        <w:rPr>
          <w:rFonts w:ascii="宋体" w:hAnsi="宋体" w:eastAsia="宋体" w:cs="宋体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后市分析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 xml:space="preserve">1、供应方面，中国烧碱装置总产能共计3993.5万吨，开工率在73-75%，行业开工率低于全年开工，主要由于环保制约了液氯出货、也直接影响了企业自身的生产； 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 xml:space="preserve">2、需求方面，供给侧改革持续影响氧化铝行业生产，中央环保督察影响下，山东、四川、新疆、广东、浙江、安徽等地区下游用碱行业整体生产积极性不高； 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sz w:val="21"/>
          <w:szCs w:val="21"/>
        </w:rPr>
      </w:pPr>
      <w:r>
        <w:rPr>
          <w:sz w:val="21"/>
          <w:szCs w:val="21"/>
        </w:rPr>
        <w:t>3、氯碱平衡，本周山东地区液氯略有好转，其他区域液氯出货压力持续加大，商品氯出厂价格在（-1400）-100元/吨不等，华北、华东、西北地区倒贴力度较大；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后市预测：临近月末，以氧化铝为主要下游的地区陆续进入订价协商阶段，在中国液碱装置开工率不足、液氯低迷不振、下游需求面减量生产的背景下，液碱供应量的减少，但部分地区的供应量减量仍难抵下游需求疲软，部分地区价格可能会有小幅度回调。</w:t>
      </w:r>
    </w:p>
    <w:p>
      <w:pPr>
        <w:pStyle w:val="10"/>
        <w:spacing w:line="400" w:lineRule="exact"/>
        <w:rPr>
          <w:rStyle w:val="22"/>
          <w:rFonts w:hint="eastAsia" w:cs="宋体" w:asciiTheme="minorEastAsia" w:hAnsiTheme="minorEastAsia" w:eastAsiaTheme="minorEastAsia"/>
          <w:color w:val="666699"/>
          <w:sz w:val="28"/>
          <w:szCs w:val="28"/>
        </w:rPr>
      </w:pPr>
    </w:p>
    <w:p>
      <w:pPr>
        <w:pStyle w:val="10"/>
        <w:spacing w:line="400" w:lineRule="exact"/>
        <w:rPr>
          <w:rStyle w:val="22"/>
          <w:rFonts w:cs="宋体" w:asciiTheme="minorEastAsia" w:hAnsiTheme="minorEastAsia" w:eastAsiaTheme="minorEastAsia"/>
          <w:b/>
          <w:color w:val="666699"/>
          <w:sz w:val="28"/>
          <w:szCs w:val="28"/>
        </w:rPr>
      </w:pPr>
      <w:r>
        <w:rPr>
          <w:rStyle w:val="22"/>
          <w:rFonts w:hint="eastAsia" w:cs="宋体" w:asciiTheme="minorEastAsia" w:hAnsiTheme="minorEastAsia" w:eastAsiaTheme="minorEastAsia"/>
          <w:color w:val="666699"/>
          <w:sz w:val="28"/>
          <w:szCs w:val="28"/>
        </w:rPr>
        <w:t>本周国内片碱实际成交周汇总</w:t>
      </w:r>
      <w:bookmarkEnd w:id="13"/>
      <w:bookmarkEnd w:id="14"/>
      <w:bookmarkEnd w:id="15"/>
      <w:bookmarkEnd w:id="16"/>
    </w:p>
    <w:p>
      <w:pPr>
        <w:snapToGrid w:val="0"/>
        <w:spacing w:line="400" w:lineRule="exact"/>
        <w:ind w:right="-149" w:rightChars="-7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单位：元</w:t>
      </w:r>
      <w:r>
        <w:rPr>
          <w:rFonts w:ascii="仿宋" w:hAnsi="仿宋" w:eastAsia="仿宋"/>
          <w:sz w:val="28"/>
          <w:szCs w:val="28"/>
        </w:rPr>
        <w:t>/</w:t>
      </w:r>
      <w:r>
        <w:rPr>
          <w:rFonts w:hint="eastAsia" w:ascii="仿宋" w:hAnsi="仿宋" w:eastAsia="仿宋"/>
          <w:sz w:val="28"/>
          <w:szCs w:val="28"/>
        </w:rPr>
        <w:t>吨</w:t>
      </w:r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035"/>
        <w:gridCol w:w="1058"/>
        <w:gridCol w:w="1013"/>
        <w:gridCol w:w="1034"/>
        <w:gridCol w:w="1057"/>
        <w:gridCol w:w="1013"/>
        <w:gridCol w:w="10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31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96%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  <w:tc>
          <w:tcPr>
            <w:tcW w:w="31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  <w:t>99%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低价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3950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4150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出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3350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3750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市场价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3400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3900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华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南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4250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出厂价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4100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4300</w:t>
            </w:r>
          </w:p>
        </w:tc>
      </w:tr>
    </w:tbl>
    <w:p>
      <w:pPr>
        <w:spacing w:line="400" w:lineRule="exact"/>
      </w:pPr>
    </w:p>
    <w:p>
      <w:pPr>
        <w:pStyle w:val="3"/>
        <w:snapToGrid w:val="0"/>
        <w:spacing w:line="400" w:lineRule="exact"/>
        <w:ind w:right="-149" w:rightChars="-71"/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</w:pPr>
      <w:bookmarkStart w:id="17" w:name="_Toc485981324"/>
      <w:bookmarkStart w:id="18" w:name="_Toc392240281"/>
      <w:r>
        <w:rPr>
          <w:rStyle w:val="22"/>
          <w:rFonts w:asciiTheme="minorEastAsia" w:hAnsiTheme="minorEastAsia" w:eastAsiaTheme="minorEastAsia"/>
          <w:b w:val="0"/>
          <w:color w:val="666699"/>
          <w:szCs w:val="28"/>
        </w:rPr>
        <w:t>32%</w:t>
      </w:r>
      <w:r>
        <w:rPr>
          <w:rStyle w:val="22"/>
          <w:rFonts w:hint="eastAsia" w:asciiTheme="minorEastAsia" w:hAnsiTheme="minorEastAsia" w:eastAsiaTheme="minorEastAsia"/>
          <w:b w:val="0"/>
          <w:color w:val="666699"/>
          <w:szCs w:val="28"/>
        </w:rPr>
        <w:t>离子膜价格</w:t>
      </w:r>
      <w:bookmarkEnd w:id="17"/>
      <w:bookmarkEnd w:id="18"/>
    </w:p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2180"/>
        <w:gridCol w:w="2180"/>
        <w:gridCol w:w="21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日期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地区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低端价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1030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1050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1280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940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970</w:t>
            </w:r>
          </w:p>
        </w:tc>
      </w:tr>
    </w:tbl>
    <w:p>
      <w:pPr>
        <w:spacing w:line="400" w:lineRule="exact"/>
      </w:pPr>
    </w:p>
    <w:p>
      <w:pPr>
        <w:pStyle w:val="2"/>
        <w:snapToGrid w:val="0"/>
        <w:spacing w:line="400" w:lineRule="exact"/>
        <w:ind w:right="-149" w:rightChars="-71"/>
        <w:jc w:val="center"/>
        <w:rPr>
          <w:rFonts w:ascii="黑体" w:hAnsi="黑体"/>
          <w:szCs w:val="32"/>
        </w:rPr>
      </w:pPr>
      <w:bookmarkStart w:id="19" w:name="_Toc233795930"/>
      <w:bookmarkStart w:id="20" w:name="_Toc252539758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hint="eastAsia" w:ascii="黑体" w:hAnsi="黑体"/>
          <w:bCs w:val="0"/>
          <w:szCs w:val="32"/>
        </w:rPr>
        <w:t>液氯</w:t>
      </w:r>
      <w:bookmarkEnd w:id="19"/>
      <w:bookmarkEnd w:id="20"/>
      <w:bookmarkEnd w:id="21"/>
      <w:bookmarkEnd w:id="22"/>
      <w:bookmarkEnd w:id="23"/>
      <w:bookmarkEnd w:id="24"/>
      <w:bookmarkEnd w:id="25"/>
    </w:p>
    <w:p>
      <w:pPr>
        <w:pStyle w:val="3"/>
        <w:snapToGrid w:val="0"/>
        <w:spacing w:line="400" w:lineRule="exact"/>
        <w:ind w:right="-149" w:rightChars="-71"/>
        <w:rPr>
          <w:rFonts w:ascii="黑体" w:hAnsi="黑体" w:eastAsia="黑体"/>
        </w:rPr>
      </w:pPr>
      <w:bookmarkStart w:id="26" w:name="_Toc233795931"/>
      <w:bookmarkEnd w:id="26"/>
      <w:bookmarkStart w:id="27" w:name="_Toc300238852"/>
      <w:bookmarkStart w:id="28" w:name="_Toc392240283"/>
      <w:bookmarkStart w:id="29" w:name="_Toc252539759"/>
      <w:bookmarkStart w:id="30" w:name="_Toc185611021"/>
      <w:bookmarkStart w:id="31" w:name="_Toc485981326"/>
      <w:bookmarkStart w:id="32" w:name="_Toc295403453"/>
      <w:bookmarkStart w:id="33" w:name="_Toc250731930"/>
      <w:r>
        <w:rPr>
          <w:rFonts w:hint="eastAsia" w:ascii="黑体" w:hAnsi="黑体" w:eastAsia="黑体"/>
        </w:rPr>
        <w:t>评述：本周国内液氯市场评述及行情预测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Start w:id="34" w:name="_Toc250731931"/>
      <w:bookmarkStart w:id="35" w:name="_Toc252539760"/>
    </w:p>
    <w:p>
      <w:pPr>
        <w:pStyle w:val="10"/>
        <w:numPr>
          <w:ilvl w:val="0"/>
          <w:numId w:val="0"/>
        </w:numPr>
        <w:spacing w:line="400" w:lineRule="exact"/>
        <w:ind w:left="412" w:left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/>
          <w:sz w:val="28"/>
          <w:szCs w:val="28"/>
        </w:rPr>
        <w:t>中国液氯市场行情综述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本周山东地区液氯市场本周震荡整理，但下游支撑有限，难有大量采购的能力，山东地区液碱价格持续回落，利润不断削减的背景下，液氯市场的利好因素暂有显露，而山西地区因自身消耗有限，当地氯碱企业开工高位，一些企业加大氯气的补贴出货。苏南地区下滑意味明显，出货困难的情况下，调整补贴价格促进出货，现在处于传统淡季，液氯销售困难，企业库存水平上涨，目前虽有检修利好，但南通事故过后，化工园区危化品整治严格，后期江苏地区液氯市场恐将下滑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河南、河北地区本周持稳运行，并未随山东市场震荡变化，河北地区依旧以积极出货为主，目前衡水地区商品氯出厂价格在（-500-（-300）元/吨，唐山地区商品氯出厂价格在（-700）-（-600）元/吨，张家口地区商品氯出厂价格在（-900）-（-600）元/吨。河南地区液氯市场恶劣，目前省内（-500）-（-300）元/吨，省外（-800）-（-900）元/吨，河南地区荥阳一带下游需求目前萎缩严重，河南当地氯碱企业开工在7-8成左右，液氯主要生产企业控制负荷，加大企业本身耗氯设备开工，或采取将压力转移到盐酸市场。河南地区受到外围山东、河北低价冲击，或将长期低迷。 四川地区延续上周的低迷，因液氯的自身属性缘故，受环保限制耗氯下游开工不足五成，企业出货困难，围地区液氯市场依旧低迷不振，货源外输困难，内部消化有限。长久看来下游需求内难有提升，四川地区液氯市场多以弱势整理为主。两湖地区本周延续上周的利好，湖南地区表现突出，因当地的下游企业开工较好，当地氯碱企业产销平衡，销售状况良好。湖北地区因当地开工低位，当地有氯碱企业采购液氯的迹象，压力暂有释放，但价格上暂无提升。福建地区暂无起色，当地9月份将举办金砖峰会以及国内环保及运输政策的严苛已然常态化，因此，福建地区液氯市场短期内持稳为主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截止目前，各地区液氯槽车主流出厂价格：山东地区商品氯出厂价（-800）-（-1000）元/吨；河北地区（-900）-（-500）元/吨；东北地区（-700）-（-500）元/吨；山西地区（-1400）-1元/吨；河南省内（-500）-（-300）元/吨，省外（-900）-（-800）元/吨；江苏地区（-700）-（-450）元/吨；安徽地区（-500）-（-400）元/吨；浙江地区到货价格多在（-400）-（-200）元/吨；江西地区（-150）-1元/吨；内蒙古地区（-600）-1元/吨；陕西地区（-1000）-1元/吨；川渝云贵地区液氯用户用量较小，价格维持在较高水平，但远距离出货亦开始倒贴；广西地区300-500元/吨；湖北地区50-100元/吨；湖南地区50-100元/吨。</w:t>
      </w:r>
    </w:p>
    <w:p>
      <w:pPr>
        <w:pStyle w:val="10"/>
        <w:keepNext w:val="0"/>
        <w:keepLines w:val="0"/>
        <w:widowControl/>
        <w:numPr>
          <w:ilvl w:val="0"/>
          <w:numId w:val="2"/>
        </w:numPr>
        <w:suppressLineNumbers w:val="0"/>
        <w:ind w:left="420" w:leftChars="20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山东市场分析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ind w:leftChars="20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山东地区因当地供应量充足，下游企业受环保检查影响开工低位，山东氯气成为全国补贴最大地区，本周山东地区液氯市场弱势整理为主，在上周末市场大幅下滑，补贴高达1600元/吨，氯碱市场处于氯碱平衡考虑降低企业负荷，控制商品氯出货，价格小幅回升，经过两天的调涨，补贴停留在800-1000元/吨。山东当地氧化铝企业采购价格下滑40元/吨，液碱的调整有利于企业控制商品氯的产量，但山东当地下游企业开工虽有提升，但实质性支撑不足，山东液氯市场持稳不易，后期或将下滑。</w:t>
      </w:r>
    </w:p>
    <w:p>
      <w:pPr>
        <w:pStyle w:val="10"/>
        <w:ind w:left="412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三、后市分析</w:t>
      </w:r>
    </w:p>
    <w:p>
      <w:pPr>
        <w:pStyle w:val="10"/>
        <w:ind w:left="412"/>
        <w:rPr>
          <w:sz w:val="21"/>
          <w:szCs w:val="21"/>
        </w:rPr>
      </w:pPr>
      <w:r>
        <w:rPr>
          <w:sz w:val="21"/>
          <w:szCs w:val="21"/>
        </w:rPr>
        <w:t>利好方面：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1、西北地区英力特计划9月4日至9月14日停车检修，新疆宜化停车，新疆天业、新疆天泰减负荷运行，中盐吉兰泰在8月19日停车检修7天；华北地区：唐山三友推迟到9月4日-9月15日停车检修；山东金岭开工75%，山东华泰开工70%，山东鲁泰化学开工30%，山东新龙开工40%，山东信发集团三期33万吨氯碱装置检修中，东明万海7月15日停车检修，计划8月底开车；华东地区：江苏新浦在8月将对45万吨氯碱装置轮流检修；江苏梅兰化工计划在9月1日到9月15日检修，江苏金桥益海检修推迟到9月1日至9月15日执行，江苏南通江山农药计划9月15日开始全线停车检修，9月25日开车，江苏中盐常化9月中旬有检修计划，具体时间待定；结合以上检修状况地区液氯供销将趋于平稳，减产操作对液氯价格回升有助力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 xml:space="preserve">2、第四批中央环境保护督察将全面启动，吉林、浙江、山东、海南、四川、西藏、青海、新疆（含兵团）全面覆盖，氯碱企业主要产区山东、新疆、浙江及四川地区赫然在列。对当地氯碱企业液氯的出货将有影响，或将制约企业开工。减少供应量后，液氯价格有回升的空间。总体上看，短期的检查利好氯碱企业，从供应上控制液氯产量，利好液氯价格。 </w:t>
      </w:r>
    </w:p>
    <w:p>
      <w:pPr>
        <w:pStyle w:val="10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利空方面：</w:t>
      </w:r>
    </w:p>
    <w:p>
      <w:pPr>
        <w:pStyle w:val="10"/>
        <w:keepNext w:val="0"/>
        <w:keepLines w:val="0"/>
        <w:widowControl/>
        <w:suppressLineNumbers w:val="0"/>
        <w:ind w:firstLine="420" w:firstLineChars="200"/>
      </w:pPr>
      <w:r>
        <w:rPr>
          <w:sz w:val="21"/>
          <w:szCs w:val="21"/>
        </w:rPr>
        <w:t xml:space="preserve">1、氯气下游企业在环保检查中不合规范之处较多，大多停车整顿，不利于氯碱企业出货。 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>
      <w:pPr>
        <w:pStyle w:val="10"/>
        <w:keepNext w:val="0"/>
        <w:keepLines w:val="0"/>
        <w:widowControl/>
        <w:suppressLineNumbers w:val="0"/>
        <w:ind w:left="420" w:leftChars="200" w:firstLine="0" w:firstLineChars="0"/>
      </w:pPr>
      <w:r>
        <w:rPr>
          <w:sz w:val="21"/>
          <w:szCs w:val="21"/>
        </w:rPr>
        <w:t>3、全国液碱市场虽有下滑的迹象，但价格依旧高位，盐酸低迷，下游同样需求不振，对液氯市场利空明显。</w:t>
      </w:r>
    </w:p>
    <w:p>
      <w:pPr>
        <w:pStyle w:val="10"/>
        <w:ind w:left="420" w:leftChars="200" w:firstLine="0" w:firstLineChars="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sz w:val="21"/>
          <w:szCs w:val="21"/>
        </w:rPr>
        <w:t>后市预测：</w:t>
      </w:r>
      <w:r>
        <w:rPr>
          <w:rFonts w:ascii="宋体" w:hAnsi="宋体" w:eastAsia="宋体" w:cs="宋体"/>
          <w:sz w:val="21"/>
          <w:szCs w:val="21"/>
        </w:rPr>
        <w:t>全国液氯市场因自身属性影响，受政策影响较大，目前全国环保、安监对危化品限制较多，液氯市场因此维持低价补贴促成交，长期看来氯碱企业开工高位，供应量充足，但下游需求萎缩严重，供需的矛盾重重，氯碱企业虽以减产控制出货量，但对价格推动上涨不足。说明液氯的困境受下游牵制较多，后市或将维持低迷态势。综合来看，液氯出货难的情况短期内难有质的改善，预计下周液氯因自身特性有频繁变价的可能，调整幅度在200-300元/吨。</w:t>
      </w:r>
    </w:p>
    <w:p>
      <w:pPr>
        <w:pStyle w:val="10"/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国内地区市场价格</w:t>
      </w:r>
    </w:p>
    <w:bookmarkEnd w:id="34"/>
    <w:bookmarkEnd w:id="35"/>
    <w:tbl>
      <w:tblPr>
        <w:tblStyle w:val="14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477"/>
        <w:gridCol w:w="1643"/>
        <w:gridCol w:w="1809"/>
        <w:gridCol w:w="1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bookmarkStart w:id="36" w:name="_Toc233795926"/>
            <w:bookmarkEnd w:id="36"/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4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16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属性</w:t>
            </w:r>
          </w:p>
        </w:tc>
        <w:tc>
          <w:tcPr>
            <w:tcW w:w="18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低端价</w:t>
            </w:r>
          </w:p>
        </w:tc>
        <w:tc>
          <w:tcPr>
            <w:tcW w:w="18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华东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东北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西南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ajorEastAsia" w:hAnsiTheme="majorEastAsia" w:eastAsiaTheme="majorEastAsia"/>
                <w:color w:val="000000"/>
                <w:sz w:val="20"/>
                <w:szCs w:val="20"/>
              </w:rPr>
              <w:t>华中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9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Tahom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201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7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8</w:t>
            </w:r>
            <w:r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Arial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color w:val="000000"/>
                <w:sz w:val="20"/>
                <w:szCs w:val="20"/>
              </w:rPr>
              <w:t>西北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cs="宋体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主流价格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pStyle w:val="23"/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p>
      <w:pPr>
        <w:spacing w:line="400" w:lineRule="exact"/>
        <w:ind w:firstLine="1600" w:firstLineChars="400"/>
        <w:jc w:val="both"/>
        <w:rPr>
          <w:rFonts w:ascii="方正粗宋简体"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t>中华商务网</w:t>
      </w:r>
      <w:r>
        <w:rPr>
          <w:rStyle w:val="13"/>
          <w:rFonts w:hint="eastAsia" w:ascii="方正粗宋简体" w:eastAsia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hint="eastAsia" w:ascii="方正粗宋简体" w:eastAsia="方正粗宋简体"/>
          <w:spacing w:val="20"/>
          <w:sz w:val="36"/>
          <w:szCs w:val="36"/>
        </w:rPr>
        <w:t>返回本期目录</w:t>
      </w:r>
    </w:p>
    <w:p>
      <w:pPr>
        <w:spacing w:line="400" w:lineRule="exact"/>
        <w:rPr>
          <w:rFonts w:ascii="Arial" w:hAnsi="Arial" w:cs="Arial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</w:p>
  <w:p>
    <w:pPr>
      <w:pStyle w:val="5"/>
    </w:pPr>
    <w:r>
      <w:rPr>
        <w:rFonts w:hint="eastAsia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pBdr>
        <w:bottom w:val="none" w:color="auto" w:sz="0" w:space="0"/>
      </w:pBdr>
    </w:pPr>
  </w:p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4493"/>
    <w:multiLevelType w:val="multilevel"/>
    <w:tmpl w:val="2CD3449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9F77BC"/>
    <w:multiLevelType w:val="singleLevel"/>
    <w:tmpl w:val="599F77B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7741E"/>
    <w:rsid w:val="00085917"/>
    <w:rsid w:val="0009407D"/>
    <w:rsid w:val="00095266"/>
    <w:rsid w:val="00096A95"/>
    <w:rsid w:val="000D3DBE"/>
    <w:rsid w:val="001078AB"/>
    <w:rsid w:val="00123320"/>
    <w:rsid w:val="00180C42"/>
    <w:rsid w:val="00192B10"/>
    <w:rsid w:val="001C20CD"/>
    <w:rsid w:val="001D3943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75F92"/>
    <w:rsid w:val="00491A4E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B1517"/>
    <w:rsid w:val="007C32F6"/>
    <w:rsid w:val="00851423"/>
    <w:rsid w:val="0087619A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F5698"/>
    <w:rsid w:val="05CB7009"/>
    <w:rsid w:val="097B6FF1"/>
    <w:rsid w:val="0A152E7E"/>
    <w:rsid w:val="0FF22D75"/>
    <w:rsid w:val="16001B5A"/>
    <w:rsid w:val="248C0836"/>
    <w:rsid w:val="38B7769F"/>
    <w:rsid w:val="41BD2E20"/>
    <w:rsid w:val="458512A6"/>
    <w:rsid w:val="47772291"/>
    <w:rsid w:val="51F77181"/>
    <w:rsid w:val="55233E35"/>
    <w:rsid w:val="5E1E0ACC"/>
    <w:rsid w:val="62A5476F"/>
    <w:rsid w:val="65233802"/>
    <w:rsid w:val="6A511A1B"/>
    <w:rsid w:val="6E4861B3"/>
    <w:rsid w:val="73EC233E"/>
    <w:rsid w:val="7D6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8">
    <w:name w:val="Subtitle"/>
    <w:basedOn w:val="1"/>
    <w:next w:val="1"/>
    <w:link w:val="2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99"/>
    <w:rPr>
      <w:rFonts w:cs="Times New Roman"/>
      <w:b/>
      <w:bCs/>
    </w:rPr>
  </w:style>
  <w:style w:type="character" w:styleId="13">
    <w:name w:val="Hyperlink"/>
    <w:qFormat/>
    <w:uiPriority w:val="99"/>
    <w:rPr>
      <w:color w:val="0000FF"/>
      <w:u w:val="single"/>
    </w:rPr>
  </w:style>
  <w:style w:type="character" w:customStyle="1" w:styleId="15">
    <w:name w:val="页眉 Char"/>
    <w:link w:val="6"/>
    <w:qFormat/>
    <w:uiPriority w:val="99"/>
    <w:rPr>
      <w:sz w:val="18"/>
      <w:szCs w:val="18"/>
    </w:rPr>
  </w:style>
  <w:style w:type="character" w:customStyle="1" w:styleId="16">
    <w:name w:val="页脚 Char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link w:val="4"/>
    <w:semiHidden/>
    <w:qFormat/>
    <w:uiPriority w:val="99"/>
    <w:rPr>
      <w:sz w:val="18"/>
      <w:szCs w:val="18"/>
    </w:rPr>
  </w:style>
  <w:style w:type="paragraph" w:customStyle="1" w:styleId="18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9">
    <w:name w:val="标题 1 Char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20">
    <w:name w:val="标题 2 Char"/>
    <w:link w:val="3"/>
    <w:qFormat/>
    <w:uiPriority w:val="9"/>
    <w:rPr>
      <w:rFonts w:ascii="Cambria" w:hAnsi="Cambria"/>
      <w:b/>
      <w:bCs/>
      <w:kern w:val="2"/>
      <w:sz w:val="28"/>
      <w:szCs w:val="32"/>
    </w:rPr>
  </w:style>
  <w:style w:type="character" w:customStyle="1" w:styleId="21">
    <w:name w:val="副标题 Char"/>
    <w:link w:val="8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2">
    <w:name w:val="txt4"/>
    <w:basedOn w:val="11"/>
    <w:qFormat/>
    <w:uiPriority w:val="99"/>
    <w:rPr>
      <w:rFonts w:cs="Times New Roman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paragraph" w:customStyle="1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821</Words>
  <Characters>4681</Characters>
  <Lines>39</Lines>
  <Paragraphs>10</Paragraphs>
  <ScaleCrop>false</ScaleCrop>
  <LinksUpToDate>false</LinksUpToDate>
  <CharactersWithSpaces>5492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2017-08-03T06:47:00Z</dcterms:created>
  <dc:creator>AutoBVT</dc:creator>
  <cp:lastModifiedBy>Administrator</cp:lastModifiedBy>
  <dcterms:modified xsi:type="dcterms:W3CDTF">2017-08-25T07:15:19Z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