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r>
        <w:drawing>
          <wp:anchor distT="0" distB="0" distL="114300" distR="114300" simplePos="0" relativeHeight="251656192" behindDoc="1" locked="0" layoutInCell="1" allowOverlap="1">
            <wp:simplePos x="0" y="0"/>
            <wp:positionH relativeFrom="column">
              <wp:posOffset>-739775</wp:posOffset>
            </wp:positionH>
            <wp:positionV relativeFrom="paragraph">
              <wp:posOffset>-882650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spacing w:line="400" w:lineRule="exact"/>
      </w:pPr>
      <w:r>
        <w:pict>
          <v:shape id="_x0000_s1026" o:spid="_x0000_s1026" o:spt="202" type="#_x0000_t202" style="position:absolute;left:0pt;margin-left:36.9pt;margin-top:586.45pt;height:110.7pt;width:419.1pt;z-index:251657216;mso-width-relative:page;mso-height-relative:page;" filled="f" stroked="f" coordsize="21600,21600">
            <v:path/>
            <v:fill on="f" focussize="0,0"/>
            <v:stroke on="f" joinstyle="miter"/>
            <v:imagedata o:title=""/>
            <o:lock v:ext="edit"/>
            <v:textbox>
              <w:txbxContent>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责任编辑：郭晓宇</w:t>
                  </w:r>
                </w:p>
                <w:p>
                  <w:pPr>
                    <w:pStyle w:val="18"/>
                    <w:rPr>
                      <w:rFonts w:ascii="黑体" w:hAnsi="宋体" w:eastAsia="黑体"/>
                      <w:kern w:val="2"/>
                      <w:sz w:val="24"/>
                      <w:szCs w:val="24"/>
                      <w:lang w:eastAsia="zh-CN"/>
                    </w:rPr>
                  </w:pPr>
                  <w:r>
                    <w:rPr>
                      <w:rFonts w:hint="eastAsia" w:ascii="黑体" w:hAnsi="宋体" w:eastAsia="黑体"/>
                      <w:bCs/>
                      <w:kern w:val="2"/>
                      <w:sz w:val="24"/>
                      <w:szCs w:val="24"/>
                      <w:lang w:eastAsia="zh-CN"/>
                    </w:rPr>
                    <w:t>电  话：</w:t>
                  </w:r>
                  <w:r>
                    <w:rPr>
                      <w:rFonts w:ascii="黑体" w:hAnsi="宋体" w:eastAsia="黑体"/>
                      <w:bCs/>
                      <w:kern w:val="2"/>
                      <w:sz w:val="24"/>
                      <w:szCs w:val="24"/>
                      <w:lang w:eastAsia="zh-CN"/>
                    </w:rPr>
                    <w:t>18513790720</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传  真：86-010-</w:t>
                  </w:r>
                  <w:r>
                    <w:rPr>
                      <w:rFonts w:ascii="黑体" w:hAnsi="宋体" w:eastAsia="黑体"/>
                      <w:bCs/>
                      <w:kern w:val="2"/>
                      <w:sz w:val="24"/>
                      <w:szCs w:val="24"/>
                      <w:lang w:eastAsia="zh-CN"/>
                    </w:rPr>
                    <w:t>85725399</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编辑邮箱：</w:t>
                  </w:r>
                  <w:r>
                    <w:rPr>
                      <w:rFonts w:ascii="黑体" w:hAnsi="宋体" w:eastAsia="黑体"/>
                      <w:bCs/>
                      <w:kern w:val="2"/>
                      <w:sz w:val="24"/>
                      <w:szCs w:val="24"/>
                      <w:lang w:eastAsia="zh-CN"/>
                    </w:rPr>
                    <w:t>gxy@chinaccm.com</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北京市朝阳区高碑店东区B区8-1 邮编：100022</w:t>
                  </w:r>
                </w:p>
                <w:p>
                  <w:pPr>
                    <w:jc w:val="left"/>
                  </w:pPr>
                </w:p>
                <w:p>
                  <w:pPr>
                    <w:jc w:val="left"/>
                  </w:pPr>
                </w:p>
              </w:txbxContent>
            </v:textbox>
          </v:shape>
        </w:pict>
      </w:r>
      <w:r>
        <w:pict>
          <v:shape id="_x0000_s1027" o:spid="_x0000_s1027" o:spt="202" type="#_x0000_t202" style="position:absolute;left:0pt;margin-left:175.45pt;margin-top:490.7pt;height:54.1pt;width:126.6pt;z-index:251658240;mso-width-relative:page;mso-height-relative:page;" filled="f" stroked="f" coordsize="21600,21600">
            <v:path/>
            <v:fill on="f" focussize="0,0"/>
            <v:stroke on="f" joinstyle="miter"/>
            <v:imagedata o:title=""/>
            <o:lock v:ext="edit"/>
            <v:textbox>
              <w:txbxContent>
                <w:p>
                  <w:pPr>
                    <w:pStyle w:val="2"/>
                    <w:numPr>
                      <w:ilvl w:val="0"/>
                      <w:numId w:val="1"/>
                    </w:numPr>
                  </w:pPr>
                  <w:bookmarkStart w:id="37" w:name="_Toc485828984"/>
                  <w:bookmarkStart w:id="38" w:name="_Toc485981320"/>
                  <w:r>
                    <w:rPr>
                      <w:rFonts w:hint="eastAsia"/>
                      <w:kern w:val="2"/>
                    </w:rPr>
                    <w:t>2017.08.</w:t>
                  </w:r>
                  <w:bookmarkEnd w:id="37"/>
                  <w:bookmarkEnd w:id="38"/>
                  <w:r>
                    <w:rPr>
                      <w:rFonts w:hint="eastAsia"/>
                      <w:kern w:val="2"/>
                      <w:lang w:val="en-US" w:eastAsia="zh-CN"/>
                    </w:rPr>
                    <w:t>31</w:t>
                  </w:r>
                </w:p>
              </w:txbxContent>
            </v:textbox>
          </v:shape>
        </w:pict>
      </w:r>
      <w:r>
        <w:br w:type="page"/>
      </w:r>
    </w:p>
    <w:p>
      <w:pPr>
        <w:pStyle w:val="2"/>
        <w:spacing w:line="400" w:lineRule="exact"/>
        <w:rPr>
          <w:rFonts w:ascii="宋体" w:hAnsi="宋体"/>
          <w:sz w:val="24"/>
          <w:szCs w:val="24"/>
        </w:rPr>
      </w:pPr>
      <w:bookmarkStart w:id="0" w:name="_Toc485828985"/>
      <w:r>
        <w:pict>
          <v:shape id="_x0000_s1028" o:spid="_x0000_s1028" o:spt="202" type="#_x0000_t202" style="position:absolute;left:0pt;margin-left:-0.9pt;margin-top:34.7pt;height:565.3pt;width:492pt;z-index:251659264;mso-width-relative:page;mso-height-relative:page;" filled="f" stroked="f" coordsize="21600,21600">
            <v:path/>
            <v:fill on="f" focussize="0,0"/>
            <v:stroke on="f" joinstyle="miter"/>
            <v:imagedata o:title=""/>
            <o:lock v:ext="edit"/>
            <v:textbox>
              <w:txbxContent>
                <w:p>
                  <w:pPr>
                    <w:pStyle w:val="18"/>
                    <w:spacing w:line="240" w:lineRule="auto"/>
                    <w:jc w:val="center"/>
                    <w:rPr>
                      <w:rFonts w:ascii="宋体"/>
                      <w:b/>
                      <w:color w:val="000080"/>
                      <w:sz w:val="28"/>
                      <w:szCs w:val="28"/>
                      <w:lang w:eastAsia="zh-CN"/>
                    </w:rPr>
                  </w:pPr>
                  <w:r>
                    <w:rPr>
                      <w:rFonts w:hint="eastAsia" w:ascii="宋体" w:hAnsi="宋体"/>
                      <w:b/>
                      <w:color w:val="000080"/>
                      <w:sz w:val="28"/>
                      <w:szCs w:val="28"/>
                      <w:lang w:eastAsia="zh-CN"/>
                    </w:rPr>
                    <w:t>氯碱市场周报目录</w:t>
                  </w:r>
                  <w:r>
                    <w:rPr>
                      <w:rFonts w:ascii="宋体" w:hAnsi="宋体"/>
                      <w:b/>
                      <w:color w:val="000000"/>
                      <w:sz w:val="28"/>
                      <w:szCs w:val="28"/>
                      <w:lang w:eastAsia="zh-CN"/>
                    </w:rPr>
                    <w:tab/>
                  </w:r>
                  <w:r>
                    <w:rPr>
                      <w:rFonts w:ascii="宋体" w:hAnsi="宋体"/>
                      <w:b/>
                      <w:color w:val="000000"/>
                      <w:sz w:val="28"/>
                      <w:szCs w:val="28"/>
                      <w:lang w:eastAsia="zh-CN"/>
                    </w:rPr>
                    <w:tab/>
                  </w:r>
                </w:p>
                <w:p>
                  <w:pPr>
                    <w:pStyle w:val="7"/>
                    <w:rPr>
                      <w:rFonts w:ascii="Times New Roman" w:hAnsi="Times New Roman"/>
                      <w:b w:val="0"/>
                      <w:bCs w:val="0"/>
                      <w:caps w:val="0"/>
                      <w:color w:val="auto"/>
                      <w:sz w:val="21"/>
                    </w:rPr>
                  </w:pPr>
                  <w:r>
                    <w:rPr>
                      <w:szCs w:val="20"/>
                    </w:rPr>
                    <w:fldChar w:fldCharType="begin"/>
                  </w:r>
                  <w:r>
                    <w:rPr>
                      <w:szCs w:val="20"/>
                    </w:rPr>
                    <w:instrText xml:space="preserve"> TOC \o "1-3" \h \z \u </w:instrText>
                  </w:r>
                  <w:r>
                    <w:rPr>
                      <w:szCs w:val="20"/>
                    </w:rPr>
                    <w:fldChar w:fldCharType="separate"/>
                  </w:r>
                  <w:r>
                    <w:fldChar w:fldCharType="begin"/>
                  </w:r>
                  <w:r>
                    <w:instrText xml:space="preserve"> HYPERLINK \l "_Toc392240276" </w:instrText>
                  </w:r>
                  <w:r>
                    <w:fldChar w:fldCharType="separate"/>
                  </w:r>
                  <w:r>
                    <w:rPr>
                      <w:rStyle w:val="13"/>
                      <w:rFonts w:hint="eastAsia"/>
                    </w:rPr>
                    <w:t>纯碱</w:t>
                  </w:r>
                  <w:r>
                    <w:tab/>
                  </w:r>
                  <w:r>
                    <w:fldChar w:fldCharType="begin"/>
                  </w:r>
                  <w:r>
                    <w:instrText xml:space="preserve"> PAGEREF _Toc392240276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"_Toc392240277" </w:instrText>
                  </w:r>
                  <w:r>
                    <w:fldChar w:fldCharType="separate"/>
                  </w:r>
                  <w:r>
                    <w:rPr>
                      <w:rStyle w:val="13"/>
                      <w:rFonts w:hint="eastAsia" w:ascii="黑体"/>
                    </w:rPr>
                    <w:t>评述：本周纯碱市场评述及行情预测</w:t>
                  </w:r>
                  <w:r>
                    <w:tab/>
                  </w:r>
                  <w:r>
                    <w:fldChar w:fldCharType="begin"/>
                  </w:r>
                  <w:r>
                    <w:instrText xml:space="preserve"> PAGEREF _Toc392240277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"_Toc392240278" </w:instrText>
                  </w:r>
                  <w:r>
                    <w:fldChar w:fldCharType="separate"/>
                  </w:r>
                  <w:r>
                    <w:rPr>
                      <w:rStyle w:val="13"/>
                      <w:rFonts w:hint="eastAsia" w:ascii="黑体"/>
                    </w:rPr>
                    <w:t>本周国内纯碱市场价格</w:t>
                  </w:r>
                  <w:r>
                    <w:tab/>
                  </w:r>
                  <w:r>
                    <w:rPr>
                      <w:rFonts w:hint="eastAsia"/>
                    </w:rPr>
                    <w:t>4</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"_Toc392240279" </w:instrText>
                  </w:r>
                  <w:r>
                    <w:fldChar w:fldCharType="separate"/>
                  </w:r>
                  <w:r>
                    <w:rPr>
                      <w:rStyle w:val="13"/>
                      <w:rFonts w:hint="eastAsia"/>
                    </w:rPr>
                    <w:t>烧碱</w:t>
                  </w:r>
                  <w:r>
                    <w:tab/>
                  </w:r>
                  <w:r>
                    <w:rPr>
                      <w:rFonts w:hint="eastAsia"/>
                    </w:rPr>
                    <w:t>4</w:t>
                  </w:r>
                  <w:r>
                    <w:rPr>
                      <w:rFonts w:hint="eastAsia"/>
                    </w:rPr>
                    <w:fldChar w:fldCharType="end"/>
                  </w:r>
                </w:p>
                <w:p>
                  <w:pPr>
                    <w:pStyle w:val="9"/>
                    <w:rPr>
                      <w:smallCaps w:val="0"/>
                      <w:color w:val="auto"/>
                      <w:sz w:val="21"/>
                    </w:rPr>
                  </w:pPr>
                  <w:r>
                    <w:fldChar w:fldCharType="begin"/>
                  </w:r>
                  <w:r>
                    <w:instrText xml:space="preserve"> HYPERLINK \l "_Toc392240280" </w:instrText>
                  </w:r>
                  <w:r>
                    <w:fldChar w:fldCharType="separate"/>
                  </w:r>
                  <w:r>
                    <w:rPr>
                      <w:rStyle w:val="13"/>
                      <w:rFonts w:hint="eastAsia" w:ascii="黑体"/>
                    </w:rPr>
                    <w:t>本周国内片碱实际成交周汇总</w:t>
                  </w:r>
                  <w:r>
                    <w:tab/>
                  </w:r>
                  <w:r>
                    <w:rPr>
                      <w:rFonts w:hint="eastAsia"/>
                      <w:lang w:val="en-US" w:eastAsia="zh-CN"/>
                    </w:rPr>
                    <w:t>6</w:t>
                  </w:r>
                  <w:r>
                    <w:rPr>
                      <w:rFonts w:hint="eastAsia"/>
                    </w:rPr>
                    <w:fldChar w:fldCharType="end"/>
                  </w:r>
                </w:p>
                <w:p>
                  <w:pPr>
                    <w:pStyle w:val="9"/>
                    <w:rPr>
                      <w:smallCaps w:val="0"/>
                      <w:color w:val="auto"/>
                      <w:sz w:val="21"/>
                    </w:rPr>
                  </w:pPr>
                  <w:r>
                    <w:fldChar w:fldCharType="begin"/>
                  </w:r>
                  <w:r>
                    <w:instrText xml:space="preserve"> HYPERLINK \l "_Toc392240281" </w:instrText>
                  </w:r>
                  <w:r>
                    <w:fldChar w:fldCharType="separate"/>
                  </w:r>
                  <w:r>
                    <w:rPr>
                      <w:rStyle w:val="13"/>
                      <w:rFonts w:ascii="黑体"/>
                    </w:rPr>
                    <w:t>32%</w:t>
                  </w:r>
                  <w:r>
                    <w:rPr>
                      <w:rStyle w:val="13"/>
                      <w:rFonts w:hint="eastAsia" w:ascii="黑体"/>
                    </w:rPr>
                    <w:t>离子膜价格</w:t>
                  </w:r>
                  <w:r>
                    <w:tab/>
                  </w:r>
                  <w:r>
                    <w:rPr>
                      <w:rFonts w:hint="eastAsia"/>
                      <w:lang w:val="en-US" w:eastAsia="zh-CN"/>
                    </w:rPr>
                    <w:t>6</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"_Toc392240282" </w:instrText>
                  </w:r>
                  <w:r>
                    <w:fldChar w:fldCharType="separate"/>
                  </w:r>
                  <w:r>
                    <w:rPr>
                      <w:rStyle w:val="13"/>
                      <w:rFonts w:hint="eastAsia" w:ascii="黑体" w:eastAsia="黑体"/>
                    </w:rPr>
                    <w:t>液氯</w:t>
                  </w:r>
                  <w:r>
                    <w:tab/>
                  </w:r>
                  <w:r>
                    <w:rPr>
                      <w:rFonts w:hint="eastAsia"/>
                      <w:lang w:val="en-US" w:eastAsia="zh-CN"/>
                    </w:rPr>
                    <w:t>6</w:t>
                  </w:r>
                  <w:r>
                    <w:rPr>
                      <w:rFonts w:hint="eastAsia"/>
                    </w:rPr>
                    <w:fldChar w:fldCharType="end"/>
                  </w:r>
                </w:p>
                <w:p>
                  <w:pPr>
                    <w:pStyle w:val="9"/>
                    <w:rPr>
                      <w:smallCaps w:val="0"/>
                      <w:color w:val="auto"/>
                      <w:sz w:val="21"/>
                    </w:rPr>
                  </w:pPr>
                  <w:r>
                    <w:fldChar w:fldCharType="begin"/>
                  </w:r>
                  <w:r>
                    <w:instrText xml:space="preserve"> HYPERLINK \l "_Toc392240283" </w:instrText>
                  </w:r>
                  <w:r>
                    <w:fldChar w:fldCharType="separate"/>
                  </w:r>
                  <w:r>
                    <w:rPr>
                      <w:rStyle w:val="13"/>
                      <w:rFonts w:hint="eastAsia"/>
                    </w:rPr>
                    <w:t>评述：本周国内液氯市场评述及行情预测</w:t>
                  </w:r>
                  <w:r>
                    <w:tab/>
                  </w:r>
                  <w:r>
                    <w:rPr>
                      <w:rFonts w:hint="eastAsia"/>
                      <w:lang w:val="en-US" w:eastAsia="zh-CN"/>
                    </w:rPr>
                    <w:t>6</w:t>
                  </w:r>
                  <w:r>
                    <w:rPr>
                      <w:rFonts w:hint="eastAsia"/>
                    </w:rPr>
                    <w:fldChar w:fldCharType="end"/>
                  </w:r>
                </w:p>
                <w:p>
                  <w:pPr>
                    <w:pStyle w:val="7"/>
                    <w:rPr>
                      <w:rFonts w:ascii="Calibri" w:hAnsi="Calibri"/>
                      <w:b w:val="0"/>
                      <w:bCs w:val="0"/>
                      <w:caps w:val="0"/>
                      <w:color w:val="auto"/>
                      <w:sz w:val="21"/>
                      <w:szCs w:val="22"/>
                    </w:rPr>
                  </w:pPr>
                  <w:r>
                    <w:fldChar w:fldCharType="begin"/>
                  </w:r>
                  <w:r>
                    <w:instrText xml:space="preserve"> HYPERLINK \l "_Toc392240284" </w:instrText>
                  </w:r>
                  <w:r>
                    <w:fldChar w:fldCharType="separate"/>
                  </w:r>
                  <w:r>
                    <w:rPr>
                      <w:rStyle w:val="13"/>
                      <w:rFonts w:hint="eastAsia" w:ascii="黑体"/>
                    </w:rPr>
                    <w:t>国内地区市场价格</w:t>
                  </w:r>
                  <w:r>
                    <w:tab/>
                  </w:r>
                  <w:r>
                    <w:rPr>
                      <w:rFonts w:hint="eastAsia"/>
                      <w:lang w:val="en-US" w:eastAsia="zh-CN"/>
                    </w:rPr>
                    <w:t>8</w:t>
                  </w:r>
                  <w:r>
                    <w:rPr>
                      <w:rFonts w:hint="eastAsia"/>
                    </w:rPr>
                    <w:fldChar w:fldCharType="end"/>
                  </w:r>
                </w:p>
                <w:p>
                  <w:r>
                    <w:fldChar w:fldCharType="end"/>
                  </w:r>
                </w:p>
              </w:txbxContent>
            </v:textbox>
          </v:shape>
        </w:pict>
      </w:r>
      <w:r>
        <w:br w:type="page"/>
      </w:r>
      <w:bookmarkEnd w:id="0"/>
      <w:bookmarkStart w:id="39" w:name="_GoBack"/>
      <w:bookmarkEnd w:id="39"/>
    </w:p>
    <w:p>
      <w:pPr>
        <w:pStyle w:val="2"/>
        <w:spacing w:line="400" w:lineRule="exact"/>
        <w:jc w:val="center"/>
        <w:rPr>
          <w:szCs w:val="21"/>
        </w:rPr>
      </w:pPr>
      <w:bookmarkStart w:id="1" w:name="_Toc485981321"/>
      <w:bookmarkStart w:id="2" w:name="_Toc392240276"/>
      <w:bookmarkStart w:id="3" w:name="_Toc300238840"/>
      <w:r>
        <w:rPr>
          <w:rFonts w:hint="eastAsia"/>
          <w:szCs w:val="21"/>
        </w:rPr>
        <w:t>纯碱</w:t>
      </w:r>
      <w:bookmarkEnd w:id="1"/>
      <w:bookmarkEnd w:id="2"/>
    </w:p>
    <w:p>
      <w:pPr>
        <w:spacing w:line="400" w:lineRule="exact"/>
      </w:pPr>
    </w:p>
    <w:p>
      <w:pPr>
        <w:pStyle w:val="3"/>
        <w:snapToGrid w:val="0"/>
        <w:spacing w:line="400" w:lineRule="exact"/>
        <w:ind w:right="-149" w:rightChars="-71"/>
        <w:rPr>
          <w:rStyle w:val="22"/>
          <w:rFonts w:ascii="黑体" w:hAnsi="黑体" w:eastAsia="黑体"/>
          <w:szCs w:val="28"/>
        </w:rPr>
      </w:pPr>
      <w:bookmarkStart w:id="4" w:name="_Toc485981322"/>
      <w:bookmarkStart w:id="5" w:name="_Toc392240277"/>
      <w:r>
        <w:rPr>
          <w:rStyle w:val="22"/>
          <w:rFonts w:hint="eastAsia" w:ascii="黑体" w:hAnsi="黑体" w:eastAsia="黑体"/>
          <w:szCs w:val="28"/>
        </w:rPr>
        <w:t>评述：本周纯碱市场评述及行情预测</w:t>
      </w:r>
      <w:bookmarkEnd w:id="4"/>
      <w:bookmarkEnd w:id="5"/>
    </w:p>
    <w:p>
      <w:pPr>
        <w:pStyle w:val="24"/>
        <w:widowControl/>
        <w:numPr>
          <w:ilvl w:val="0"/>
          <w:numId w:val="0"/>
        </w:numPr>
        <w:spacing w:before="100" w:beforeAutospacing="1" w:after="100" w:afterAutospacing="1" w:line="400" w:lineRule="exact"/>
        <w:ind w:left="420" w:leftChars="0"/>
        <w:jc w:val="left"/>
        <w:rPr>
          <w:sz w:val="28"/>
          <w:szCs w:val="28"/>
        </w:rPr>
      </w:pPr>
      <w:r>
        <w:rPr>
          <w:rFonts w:hint="eastAsia" w:cs="宋体" w:asciiTheme="minorEastAsia" w:hAnsiTheme="minorEastAsia" w:eastAsiaTheme="minorEastAsia"/>
          <w:kern w:val="0"/>
          <w:sz w:val="28"/>
          <w:szCs w:val="28"/>
          <w:lang w:eastAsia="zh-CN"/>
        </w:rPr>
        <w:t>一、</w:t>
      </w:r>
      <w:r>
        <w:rPr>
          <w:rFonts w:hint="eastAsia" w:cs="宋体" w:asciiTheme="minorEastAsia" w:hAnsiTheme="minorEastAsia" w:eastAsiaTheme="minorEastAsia"/>
          <w:kern w:val="0"/>
          <w:sz w:val="28"/>
          <w:szCs w:val="28"/>
        </w:rPr>
        <w:t>纯碱市场一周</w:t>
      </w:r>
      <w:bookmarkStart w:id="6" w:name="_Toc392240278"/>
      <w:r>
        <w:rPr>
          <w:rFonts w:hint="eastAsia" w:cs="宋体" w:asciiTheme="minorEastAsia" w:hAnsiTheme="minorEastAsia" w:eastAsiaTheme="minorEastAsia"/>
          <w:kern w:val="0"/>
          <w:sz w:val="28"/>
          <w:szCs w:val="28"/>
        </w:rPr>
        <w:t>综述</w:t>
      </w:r>
    </w:p>
    <w:p>
      <w:pPr>
        <w:pStyle w:val="10"/>
        <w:ind w:left="420"/>
        <w:rPr>
          <w:rFonts w:ascii="宋体" w:hAnsi="宋体" w:eastAsia="宋体" w:cs="宋体"/>
          <w:sz w:val="21"/>
          <w:szCs w:val="21"/>
        </w:rPr>
      </w:pPr>
      <w:r>
        <w:rPr>
          <w:rFonts w:ascii="宋体" w:hAnsi="宋体" w:eastAsia="宋体" w:cs="宋体"/>
          <w:sz w:val="21"/>
          <w:szCs w:val="21"/>
        </w:rPr>
        <w:t>本周国内碱企疯狂调涨，市场氛围活跃，其实际交投因过度涨势呈僵持之态。现有市场表现而言，其中南部区域涨情表现较为突出。受南碱停车检修影响，下游采购积极性大幅调动，虽当前南方制碱开工恢复至5成，其供量仍偏弱势，加上湖北双环装置的突然停车影响，其下游外围多方备货积极性大涨。而沿海区域山东海天、山东海化、连云港碱厂以及唐山三友等较大氨碱企业的限量低位供应增强市场货源紧张氛围，华中及华东等中部区域逐步带动性拉涨。当前正处月底交投结算季，其厂家为控制下游恐慌备货而对价格作出大幅拉升，且限制成交量，短期造成市场大单僵持。中盐吉兰泰及中盐安徽红四方装置的停车检修进一步加大产业内供应面压力，市场货源紧张局势持续下，买涨氛围相较上周略有提涨。由于临界月底，下游采购积极性虽有调动，但碱企一周内调涨300元/吨左右的夸张举动，让下游承压，成交量表现欠佳。</w:t>
      </w:r>
    </w:p>
    <w:p>
      <w:pPr>
        <w:pStyle w:val="10"/>
        <w:ind w:left="420"/>
        <w:rPr>
          <w:rFonts w:ascii="宋体" w:hAnsi="宋体" w:eastAsia="宋体" w:cs="宋体"/>
          <w:sz w:val="21"/>
          <w:szCs w:val="21"/>
        </w:rPr>
      </w:pPr>
      <w:r>
        <w:rPr>
          <w:rFonts w:ascii="宋体" w:hAnsi="宋体" w:eastAsia="宋体" w:cs="宋体"/>
          <w:sz w:val="21"/>
          <w:szCs w:val="21"/>
        </w:rPr>
        <w:t>轻碱主流含税出厂价格：苏北/苏南1850-1900元/吨出厂；山东本地出厂1800-1900元/吨；河南参考主流1850-1950元/吨；湖北参考主流1800-1900元/吨，湖南参考主流1900-1950元/吨；青海主流出厂1500-1600元/吨；东北轻碱主流1900-2000元/吨送到；广东本地出厂1900-1950元/吨，送至终端在2000元/吨左右。</w:t>
      </w:r>
    </w:p>
    <w:p>
      <w:pPr>
        <w:pStyle w:val="10"/>
        <w:ind w:left="420"/>
        <w:rPr>
          <w:rFonts w:ascii="宋体" w:hAnsi="宋体" w:eastAsia="宋体" w:cs="宋体"/>
          <w:sz w:val="21"/>
          <w:szCs w:val="21"/>
        </w:rPr>
      </w:pPr>
      <w:r>
        <w:rPr>
          <w:rFonts w:ascii="宋体" w:hAnsi="宋体" w:eastAsia="宋体" w:cs="宋体"/>
          <w:sz w:val="21"/>
          <w:szCs w:val="21"/>
        </w:rPr>
        <w:t>重碱主流含税送到价格：河北沙河地区月底前维持前期主流送到价格1830-1850元/吨；江苏省内送到2000-2100元/吨；山东送到2000-2050元/吨；广东送到2050-2150元/吨；青海地区主流出厂1550-1650元/吨。</w:t>
      </w:r>
    </w:p>
    <w:p>
      <w:pPr>
        <w:pStyle w:val="24"/>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二、影响市场因素及后市预测</w:t>
      </w:r>
    </w:p>
    <w:p>
      <w:pPr>
        <w:pStyle w:val="10"/>
        <w:ind w:firstLine="420" w:firstLineChars="200"/>
        <w:rPr>
          <w:sz w:val="21"/>
          <w:szCs w:val="21"/>
        </w:rPr>
      </w:pPr>
      <w:r>
        <w:rPr>
          <w:sz w:val="21"/>
          <w:szCs w:val="21"/>
        </w:rPr>
        <w:t>利好面：</w:t>
      </w:r>
    </w:p>
    <w:p>
      <w:pPr>
        <w:pStyle w:val="10"/>
        <w:keepNext w:val="0"/>
        <w:keepLines w:val="0"/>
        <w:widowControl/>
        <w:suppressLineNumbers w:val="0"/>
        <w:ind w:firstLine="420" w:firstLineChars="200"/>
      </w:pPr>
      <w:r>
        <w:rPr>
          <w:sz w:val="21"/>
          <w:szCs w:val="21"/>
        </w:rPr>
        <w:t xml:space="preserve">1.碱厂停车企业增加，市场供量缺口较大； </w:t>
      </w:r>
    </w:p>
    <w:p>
      <w:pPr>
        <w:pStyle w:val="10"/>
        <w:keepNext w:val="0"/>
        <w:keepLines w:val="0"/>
        <w:widowControl/>
        <w:suppressLineNumbers w:val="0"/>
        <w:ind w:firstLine="420" w:firstLineChars="200"/>
      </w:pPr>
      <w:r>
        <w:rPr>
          <w:sz w:val="21"/>
          <w:szCs w:val="21"/>
        </w:rPr>
        <w:t xml:space="preserve">2.纯碱厂家库存近15-18万吨左右，可供货源稀缺； </w:t>
      </w:r>
    </w:p>
    <w:p>
      <w:pPr>
        <w:pStyle w:val="10"/>
        <w:keepNext w:val="0"/>
        <w:keepLines w:val="0"/>
        <w:widowControl/>
        <w:suppressLineNumbers w:val="0"/>
        <w:ind w:firstLine="420" w:firstLineChars="200"/>
      </w:pPr>
      <w:r>
        <w:rPr>
          <w:sz w:val="21"/>
          <w:szCs w:val="21"/>
        </w:rPr>
        <w:t xml:space="preserve">3.部分区域货源紧张局势突出，供量较足区域提涨空间加大； </w:t>
      </w:r>
    </w:p>
    <w:p>
      <w:pPr>
        <w:pStyle w:val="10"/>
        <w:keepNext w:val="0"/>
        <w:keepLines w:val="0"/>
        <w:widowControl/>
        <w:suppressLineNumbers w:val="0"/>
        <w:ind w:firstLine="420" w:firstLineChars="200"/>
      </w:pPr>
      <w:r>
        <w:rPr>
          <w:sz w:val="21"/>
          <w:szCs w:val="21"/>
        </w:rPr>
        <w:t>4.成本端，焦炭及石灰石供量紧张，造成碱企生产及成本增压；</w:t>
      </w:r>
    </w:p>
    <w:p>
      <w:pPr>
        <w:pStyle w:val="10"/>
        <w:keepNext w:val="0"/>
        <w:keepLines w:val="0"/>
        <w:widowControl/>
        <w:suppressLineNumbers w:val="0"/>
        <w:ind w:firstLine="420" w:firstLineChars="200"/>
        <w:rPr>
          <w:sz w:val="21"/>
          <w:szCs w:val="21"/>
        </w:rPr>
      </w:pPr>
    </w:p>
    <w:p>
      <w:pPr>
        <w:pStyle w:val="10"/>
        <w:ind w:firstLine="420" w:firstLineChars="200"/>
        <w:rPr>
          <w:sz w:val="21"/>
          <w:szCs w:val="21"/>
        </w:rPr>
      </w:pPr>
    </w:p>
    <w:p>
      <w:pPr>
        <w:pStyle w:val="10"/>
        <w:ind w:firstLine="420" w:firstLineChars="200"/>
        <w:rPr>
          <w:sz w:val="21"/>
          <w:szCs w:val="21"/>
        </w:rPr>
      </w:pPr>
      <w:r>
        <w:rPr>
          <w:sz w:val="21"/>
          <w:szCs w:val="21"/>
        </w:rPr>
        <w:t>利空面：</w:t>
      </w:r>
    </w:p>
    <w:p>
      <w:pPr>
        <w:pStyle w:val="10"/>
        <w:keepNext w:val="0"/>
        <w:keepLines w:val="0"/>
        <w:widowControl/>
        <w:suppressLineNumbers w:val="0"/>
        <w:ind w:firstLine="420" w:firstLineChars="200"/>
      </w:pPr>
      <w:r>
        <w:rPr>
          <w:sz w:val="21"/>
          <w:szCs w:val="21"/>
        </w:rPr>
        <w:t xml:space="preserve">1.下游产业因环保彻查关停，需求端减弱； </w:t>
      </w:r>
    </w:p>
    <w:p>
      <w:pPr>
        <w:pStyle w:val="10"/>
        <w:keepNext w:val="0"/>
        <w:keepLines w:val="0"/>
        <w:widowControl/>
        <w:suppressLineNumbers w:val="0"/>
        <w:ind w:firstLine="420" w:firstLineChars="200"/>
      </w:pPr>
      <w:r>
        <w:rPr>
          <w:sz w:val="21"/>
          <w:szCs w:val="21"/>
        </w:rPr>
        <w:t>2.国外进口碱进入国内市场概率增强，市场随时受到波及；</w:t>
      </w:r>
    </w:p>
    <w:p>
      <w:pPr>
        <w:pStyle w:val="10"/>
        <w:keepNext w:val="0"/>
        <w:keepLines w:val="0"/>
        <w:widowControl/>
        <w:suppressLineNumbers w:val="0"/>
        <w:ind w:left="420" w:leftChars="200" w:firstLine="0" w:firstLineChars="0"/>
        <w:rPr>
          <w:rFonts w:ascii="宋体" w:hAnsi="宋体" w:eastAsia="宋体" w:cs="宋体"/>
          <w:sz w:val="21"/>
          <w:szCs w:val="21"/>
        </w:rPr>
      </w:pPr>
      <w:r>
        <w:rPr>
          <w:rFonts w:hint="eastAsia"/>
          <w:sz w:val="21"/>
          <w:szCs w:val="21"/>
          <w:lang w:eastAsia="zh-CN"/>
        </w:rPr>
        <w:t>预测：</w:t>
      </w:r>
      <w:r>
        <w:rPr>
          <w:rFonts w:ascii="宋体" w:hAnsi="宋体" w:eastAsia="宋体" w:cs="宋体"/>
          <w:sz w:val="21"/>
          <w:szCs w:val="21"/>
        </w:rPr>
        <w:t>预计9月轻质纯碱市场在货源局势鼓动下有提涨态势，且贸易者积极推动强烈；重质纯碱暴涨空间较足，而进口碱也会是最终制约涨价的一剂良药，但短期进购可能偏弱，下周必然大幅上调。</w:t>
      </w:r>
    </w:p>
    <w:p>
      <w:pPr>
        <w:pStyle w:val="10"/>
        <w:keepNext w:val="0"/>
        <w:keepLines w:val="0"/>
        <w:widowControl/>
        <w:suppressLineNumbers w:val="0"/>
        <w:rPr>
          <w:rStyle w:val="22"/>
          <w:rFonts w:cs="宋体" w:asciiTheme="minorEastAsia" w:hAnsiTheme="minorEastAsia" w:eastAsiaTheme="minorEastAsia"/>
          <w:kern w:val="0"/>
          <w:sz w:val="28"/>
          <w:szCs w:val="28"/>
        </w:rPr>
      </w:pPr>
      <w:r>
        <w:rPr>
          <w:rStyle w:val="22"/>
          <w:rFonts w:hint="eastAsia" w:asciiTheme="minorEastAsia" w:hAnsiTheme="minorEastAsia" w:eastAsiaTheme="minorEastAsia"/>
          <w:sz w:val="28"/>
          <w:szCs w:val="28"/>
        </w:rPr>
        <w:t>本周国内纯碱市场价格</w:t>
      </w:r>
      <w:bookmarkEnd w:id="6"/>
    </w:p>
    <w:tbl>
      <w:tblPr>
        <w:tblStyle w:val="14"/>
        <w:tblW w:w="8720" w:type="dxa"/>
        <w:tblInd w:w="0" w:type="dxa"/>
        <w:tblLayout w:type="fixed"/>
        <w:tblCellMar>
          <w:top w:w="0" w:type="dxa"/>
          <w:left w:w="108" w:type="dxa"/>
          <w:bottom w:w="0" w:type="dxa"/>
          <w:right w:w="108" w:type="dxa"/>
        </w:tblCellMar>
      </w:tblPr>
      <w:tblGrid>
        <w:gridCol w:w="2220"/>
        <w:gridCol w:w="1301"/>
        <w:gridCol w:w="1301"/>
        <w:gridCol w:w="1301"/>
        <w:gridCol w:w="1301"/>
        <w:gridCol w:w="1296"/>
      </w:tblGrid>
      <w:tr>
        <w:tblPrEx>
          <w:tblLayout w:type="fixed"/>
          <w:tblCellMar>
            <w:top w:w="0" w:type="dxa"/>
            <w:left w:w="108" w:type="dxa"/>
            <w:bottom w:w="0" w:type="dxa"/>
            <w:right w:w="108" w:type="dxa"/>
          </w:tblCellMar>
        </w:tblPrEx>
        <w:trPr>
          <w:trHeight w:val="300" w:hRule="atLeast"/>
        </w:trPr>
        <w:tc>
          <w:tcPr>
            <w:tcW w:w="2220"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日期</w:t>
            </w:r>
          </w:p>
        </w:tc>
        <w:tc>
          <w:tcPr>
            <w:tcW w:w="1301"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地区</w:t>
            </w:r>
          </w:p>
        </w:tc>
        <w:tc>
          <w:tcPr>
            <w:tcW w:w="2602"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轻质碱</w:t>
            </w:r>
          </w:p>
        </w:tc>
        <w:tc>
          <w:tcPr>
            <w:tcW w:w="2597"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重质碱</w:t>
            </w:r>
          </w:p>
        </w:tc>
      </w:tr>
      <w:tr>
        <w:tblPrEx>
          <w:tblLayout w:type="fixed"/>
          <w:tblCellMar>
            <w:top w:w="0" w:type="dxa"/>
            <w:left w:w="108" w:type="dxa"/>
            <w:bottom w:w="0" w:type="dxa"/>
            <w:right w:w="108" w:type="dxa"/>
          </w:tblCellMar>
        </w:tblPrEx>
        <w:trPr>
          <w:trHeight w:val="300" w:hRule="atLeast"/>
        </w:trPr>
        <w:tc>
          <w:tcPr>
            <w:tcW w:w="222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cs="宋体" w:asciiTheme="minorEastAsia" w:hAnsiTheme="minorEastAsia" w:eastAsiaTheme="minorEastAsia"/>
                <w:color w:val="000000"/>
                <w:kern w:val="0"/>
                <w:sz w:val="22"/>
              </w:rPr>
            </w:pPr>
          </w:p>
        </w:tc>
        <w:tc>
          <w:tcPr>
            <w:tcW w:w="130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cs="宋体" w:asciiTheme="minorEastAsia" w:hAnsiTheme="minorEastAsia" w:eastAsiaTheme="minorEastAsia"/>
                <w:color w:val="000000"/>
                <w:kern w:val="0"/>
                <w:sz w:val="22"/>
              </w:rPr>
            </w:pP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低端价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高端价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低端价</w:t>
            </w:r>
          </w:p>
        </w:tc>
        <w:tc>
          <w:tcPr>
            <w:tcW w:w="1296" w:type="dxa"/>
            <w:tcBorders>
              <w:top w:val="nil"/>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高端价</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华东</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1900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2200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2000</w:t>
            </w:r>
          </w:p>
        </w:tc>
        <w:tc>
          <w:tcPr>
            <w:tcW w:w="1296"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2300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华南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2000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2200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2050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2250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华北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1900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2050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1950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2100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东北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2050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2250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2100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2300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西南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1750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1850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1900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2050</w:t>
            </w:r>
          </w:p>
        </w:tc>
      </w:tr>
      <w:tr>
        <w:tblPrEx>
          <w:tblLayout w:type="fixed"/>
          <w:tblCellMar>
            <w:top w:w="0" w:type="dxa"/>
            <w:left w:w="108" w:type="dxa"/>
            <w:bottom w:w="0" w:type="dxa"/>
            <w:right w:w="108" w:type="dxa"/>
          </w:tblCellMar>
        </w:tblPrEx>
        <w:trPr>
          <w:trHeight w:val="323"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华中</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1700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1900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1800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2000</w:t>
            </w:r>
          </w:p>
        </w:tc>
      </w:tr>
      <w:tr>
        <w:tblPrEx>
          <w:tblLayout w:type="fixed"/>
          <w:tblCellMar>
            <w:top w:w="0" w:type="dxa"/>
            <w:left w:w="108" w:type="dxa"/>
            <w:bottom w:w="0" w:type="dxa"/>
            <w:right w:w="108" w:type="dxa"/>
          </w:tblCellMar>
        </w:tblPrEx>
        <w:trPr>
          <w:trHeight w:val="329"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西北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1600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1500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1700</w:t>
            </w:r>
          </w:p>
        </w:tc>
      </w:tr>
    </w:tbl>
    <w:p>
      <w:pPr>
        <w:spacing w:line="400" w:lineRule="exact"/>
        <w:rPr>
          <w:rFonts w:hint="eastAsia" w:ascii="仿宋" w:hAnsi="仿宋" w:eastAsia="仿宋"/>
          <w:sz w:val="28"/>
          <w:szCs w:val="28"/>
          <w:lang w:val="en-US" w:eastAsia="zh-CN"/>
        </w:rPr>
      </w:pPr>
    </w:p>
    <w:p>
      <w:pPr>
        <w:pStyle w:val="2"/>
        <w:spacing w:line="400" w:lineRule="exact"/>
        <w:jc w:val="center"/>
        <w:rPr>
          <w:b w:val="0"/>
          <w:color w:val="666699"/>
          <w:szCs w:val="21"/>
        </w:rPr>
      </w:pPr>
      <w:bookmarkStart w:id="7" w:name="_Toc392240279"/>
      <w:bookmarkStart w:id="8" w:name="_Toc485981323"/>
      <w:r>
        <w:rPr>
          <w:rFonts w:hint="eastAsia"/>
        </w:rPr>
        <w:t>烧碱</w:t>
      </w:r>
      <w:bookmarkEnd w:id="3"/>
      <w:bookmarkEnd w:id="7"/>
      <w:bookmarkEnd w:id="8"/>
    </w:p>
    <w:p>
      <w:pPr>
        <w:spacing w:line="400" w:lineRule="exact"/>
        <w:rPr>
          <w:rFonts w:ascii="黑体" w:hAnsi="黑体" w:eastAsia="黑体"/>
          <w:b/>
          <w:sz w:val="28"/>
          <w:szCs w:val="28"/>
        </w:rPr>
      </w:pPr>
      <w:bookmarkStart w:id="9" w:name="_Toc300238848"/>
      <w:bookmarkStart w:id="10" w:name="_Toc252539754"/>
      <w:bookmarkStart w:id="11" w:name="_Toc250731925"/>
      <w:bookmarkStart w:id="12" w:name="_Toc295403449"/>
      <w:r>
        <w:rPr>
          <w:rFonts w:hint="eastAsia" w:ascii="黑体" w:hAnsi="黑体" w:eastAsia="黑体"/>
          <w:b/>
          <w:sz w:val="28"/>
          <w:szCs w:val="28"/>
        </w:rPr>
        <w:t>中国烧碱市场行情综述</w:t>
      </w:r>
      <w:r>
        <w:rPr>
          <w:rFonts w:ascii="黑体" w:hAnsi="黑体" w:eastAsia="黑体"/>
          <w:b/>
          <w:sz w:val="28"/>
          <w:szCs w:val="28"/>
        </w:rPr>
        <w:t xml:space="preserve"> </w:t>
      </w:r>
    </w:p>
    <w:bookmarkEnd w:id="9"/>
    <w:bookmarkEnd w:id="10"/>
    <w:bookmarkEnd w:id="11"/>
    <w:bookmarkEnd w:id="12"/>
    <w:p>
      <w:pPr>
        <w:pStyle w:val="10"/>
        <w:numPr>
          <w:ilvl w:val="0"/>
          <w:numId w:val="0"/>
        </w:numPr>
        <w:spacing w:line="400" w:lineRule="exact"/>
        <w:ind w:left="420" w:leftChars="0"/>
        <w:rPr>
          <w:rFonts w:asciiTheme="minorEastAsia" w:hAnsiTheme="minorEastAsia" w:eastAsiaTheme="minorEastAsia"/>
          <w:sz w:val="28"/>
          <w:szCs w:val="28"/>
        </w:rPr>
      </w:pPr>
      <w:bookmarkStart w:id="13" w:name="_Toc264643747"/>
      <w:bookmarkStart w:id="14" w:name="_Toc295403451"/>
      <w:bookmarkStart w:id="15" w:name="_Toc392240280"/>
      <w:bookmarkStart w:id="16" w:name="_Toc300238850"/>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rPr>
        <w:t>市场综述</w:t>
      </w:r>
    </w:p>
    <w:p>
      <w:pPr>
        <w:pStyle w:val="10"/>
        <w:ind w:left="420" w:leftChars="200" w:firstLine="0" w:firstLineChars="0"/>
        <w:rPr>
          <w:rFonts w:ascii="宋体" w:hAnsi="宋体" w:eastAsia="宋体" w:cs="宋体"/>
          <w:sz w:val="21"/>
          <w:szCs w:val="21"/>
        </w:rPr>
      </w:pPr>
      <w:r>
        <w:rPr>
          <w:rFonts w:ascii="宋体" w:hAnsi="宋体" w:eastAsia="宋体" w:cs="宋体"/>
          <w:sz w:val="21"/>
          <w:szCs w:val="21"/>
        </w:rPr>
        <w:t>本周中国液碱市场成交重心稳定，华北山东地区液碱市场价格继续上周大幅回落后，开始在供应减量支撑下，价格持续向好，周内山东省32%离子膜液碱价格上调幅度在40-50元/吨，50%离子膜液碱价格上调幅度在20-30元/吨，周五价格将持续提升，山东地区液碱价格调整频繁，其他地区液碱价格以稳定运行为主，临近月末，各地区液碱又处于历史高位水平，在液氯出货不顺畅、氯碱装置开工率受限的支撑下，液碱价格多延续了前期的高位稳定运行态势。以氧化铝为主要下游的地区集中订价，烧碱价格走势大稳小动，整体成交较乐观。西南川渝地区液碱企业整体开工负荷不足，部分低端出货价格已经上调，幅度在50-100元/吨（折百），目前四川地区121万吨/年氯碱装置开工率约65-69%，液碱供应量仍有缺口，液碱价格提升的机率较大。</w:t>
      </w:r>
    </w:p>
    <w:p>
      <w:pPr>
        <w:pStyle w:val="10"/>
        <w:ind w:left="420"/>
        <w:rPr>
          <w:rFonts w:ascii="宋体" w:hAnsi="宋体" w:eastAsia="宋体" w:cs="宋体"/>
          <w:sz w:val="21"/>
          <w:szCs w:val="21"/>
        </w:rPr>
      </w:pPr>
    </w:p>
    <w:p>
      <w:pPr>
        <w:pStyle w:val="10"/>
        <w:numPr>
          <w:ilvl w:val="0"/>
          <w:numId w:val="0"/>
        </w:numPr>
        <w:ind w:left="42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价格方面</w:t>
      </w:r>
    </w:p>
    <w:p>
      <w:pPr>
        <w:pStyle w:val="10"/>
        <w:keepNext w:val="0"/>
        <w:keepLines w:val="0"/>
        <w:widowControl/>
        <w:suppressLineNumbers w:val="0"/>
        <w:ind w:left="420" w:leftChars="200" w:firstLine="0" w:firstLineChars="0"/>
      </w:pPr>
      <w:r>
        <w:rPr>
          <w:sz w:val="21"/>
          <w:szCs w:val="21"/>
        </w:rPr>
        <w:t>32%离子膜烧碱主流出厂价格：山东氧化铝行业主流采购价格9月1日起计划提价，执行现汇出厂价格840元/吨，其他地区出厂价格在880-910元/吨，局部靠近河南、江苏地区的价格多在980-1100元/吨；河北衡水地区32%离子膜液碱出厂价格在910-920元/吨，沧州地区32%离子膜液碱出厂价格在860-900元/吨，唐山地区32%离子膜液碱出厂价格多在980-1050元/吨；天津地区32%离子膜碱当地出厂报价3150-3250元/吨（折百）；山西地区32%离子膜液碱出厂价格多在3250-3300元/吨（折百）；河南地区32%离子膜液碱出厂价格3350-3450元/吨（折百）；浙江地区32%离子膜液碱送到萧绍地区价格在1080-1120元/吨；福建地区32%离子膜液碱送到省内终端的价格集中在1170-1185元/吨；广西当地32%离子膜液碱出厂价格维持在1130-1150元/吨；湖北地区32%离子膜液碱出厂价格在1000-1150元/吨；四川地区30-32%离子膜液碱出厂价格在3300-3600元/吨（折百）；重庆地区液碱企业生产受供电影响，供应不足，价格上调至3900-4100元/吨（折百），个别企业封盘。</w:t>
      </w:r>
    </w:p>
    <w:p>
      <w:pPr>
        <w:pStyle w:val="10"/>
        <w:keepNext w:val="0"/>
        <w:keepLines w:val="0"/>
        <w:widowControl/>
        <w:suppressLineNumbers w:val="0"/>
        <w:ind w:left="420" w:leftChars="200" w:firstLine="0" w:firstLineChars="0"/>
      </w:pPr>
      <w:r>
        <w:rPr>
          <w:sz w:val="21"/>
          <w:szCs w:val="21"/>
        </w:rPr>
        <w:t>48%-50%离子膜烧碱主流出厂价格：进入9月，山东50%离子膜液碱出厂价格上调至1460-1500元/吨；河北地区1520-1550元/吨附近；天津49%离子膜碱出厂报价3100-3200元/吨（折百）；山西50%离子膜液碱出厂价格3450-3500元/吨（折百）；四川地区50%离子膜液碱出厂价格在3400-3700元/吨（折百），货源供应紧张；重庆地区50%离子膜液碱出厂价格在3900-4100元/吨（折百），由于重庆天原装置检修，社会库存低位；陕西地区50%离子膜液碱出厂价格在3400-3500元/吨（折百）。</w:t>
      </w:r>
    </w:p>
    <w:p>
      <w:pPr>
        <w:pStyle w:val="10"/>
        <w:ind w:left="420"/>
        <w:rPr>
          <w:rFonts w:ascii="宋体" w:hAnsi="宋体" w:eastAsia="宋体" w:cs="宋体"/>
          <w:sz w:val="21"/>
          <w:szCs w:val="21"/>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后市分析</w:t>
      </w:r>
    </w:p>
    <w:p>
      <w:pPr>
        <w:pStyle w:val="10"/>
        <w:keepNext w:val="0"/>
        <w:keepLines w:val="0"/>
        <w:widowControl/>
        <w:suppressLineNumbers w:val="0"/>
        <w:ind w:left="420" w:leftChars="200" w:firstLine="0" w:firstLineChars="0"/>
      </w:pPr>
      <w:r>
        <w:rPr>
          <w:sz w:val="21"/>
          <w:szCs w:val="21"/>
        </w:rPr>
        <w:t xml:space="preserve">1、政策影响，检查环保工作在全国各地区开展，就上游而言，商品氯出货压力最为明显，液氯大额度倒贴出货，使得氯碱企业逐步进入亏损经营的状态，氯碱行业的整体开工负荷持续下调，截止发稿日，百川资讯统计中国氯碱装置产能约4000万吨，开工率维持在80-82%附近，局部地区如新疆、四川、山东、湖北、河南地区氯碱装置开工率低在60%-70%附近，液碱供应量的减产分布不均。就下游而言，铝行业的减产风声最响，对氧化铝行业开工率的影响消息亦是较多盛传，根据我们了解，氧化铝行业的减产力度，远不如其他如陶瓷行业、医药化工、石油化工等用碱工厂，小规范行业大范围停车对液碱的影响不亚于氧化铝减产。政策面带给烧碱下游的影响将持续覆盖全国。 </w:t>
      </w:r>
    </w:p>
    <w:p>
      <w:pPr>
        <w:pStyle w:val="10"/>
        <w:keepNext w:val="0"/>
        <w:keepLines w:val="0"/>
        <w:widowControl/>
        <w:suppressLineNumbers w:val="0"/>
        <w:ind w:left="420" w:leftChars="200" w:firstLine="0" w:firstLineChars="0"/>
      </w:pPr>
      <w:r>
        <w:rPr>
          <w:rFonts w:hint="eastAsia"/>
          <w:sz w:val="21"/>
          <w:szCs w:val="21"/>
          <w:lang w:val="en-US" w:eastAsia="zh-CN"/>
        </w:rPr>
        <w:t>2、</w:t>
      </w:r>
      <w:r>
        <w:rPr>
          <w:sz w:val="21"/>
          <w:szCs w:val="21"/>
        </w:rPr>
        <w:t>氯气问题，涉氯产品的生产、储存、运输、证件办理等各环节均受到各类文件限制，年内液氯市场翻身的可能性较小，且在越来越恶劣的市场环境中，同行业价格战打的激烈，只会使商品氯逐渐吞噬所有销售烧碱带来的利润。我们分析，氯碱企业的生产负荷将会长期受液氯出货制约，而虽然部分北方地区烧碱回落，但可持续回调的空间有限。</w:t>
      </w:r>
    </w:p>
    <w:p>
      <w:pPr>
        <w:pStyle w:val="10"/>
        <w:keepNext w:val="0"/>
        <w:keepLines w:val="0"/>
        <w:widowControl/>
        <w:suppressLineNumbers w:val="0"/>
        <w:ind w:left="420" w:leftChars="200" w:firstLine="0" w:firstLineChars="0"/>
        <w:rPr>
          <w:rStyle w:val="22"/>
          <w:rFonts w:hint="eastAsia" w:cs="宋体" w:asciiTheme="minorEastAsia" w:hAnsiTheme="minorEastAsia" w:eastAsiaTheme="minorEastAsia"/>
          <w:color w:val="666699"/>
          <w:sz w:val="28"/>
          <w:szCs w:val="28"/>
        </w:rPr>
      </w:pPr>
      <w:r>
        <w:rPr>
          <w:sz w:val="21"/>
          <w:szCs w:val="21"/>
        </w:rPr>
        <w:t>后市预测：</w:t>
      </w:r>
      <w:r>
        <w:rPr>
          <w:rFonts w:ascii="宋体" w:hAnsi="宋体" w:eastAsia="宋体" w:cs="宋体"/>
          <w:sz w:val="21"/>
          <w:szCs w:val="21"/>
        </w:rPr>
        <w:t>全国液碱市场所面临的供求关系不同，月中液碱价格窄幅调整的可能性存在，但从氯碱企业自身开工负荷的角度考虑，液碱市场的整体成交重心仍将在高位。同样由于烧碱需求有但不旺，液碱价格长期处于高位水平的背景下，持续提升的空间有限，价格维持稳定的可能性较大。</w:t>
      </w:r>
    </w:p>
    <w:p>
      <w:pPr>
        <w:pStyle w:val="10"/>
        <w:spacing w:line="400" w:lineRule="exact"/>
        <w:rPr>
          <w:rStyle w:val="22"/>
          <w:rFonts w:cs="宋体" w:asciiTheme="minorEastAsia" w:hAnsiTheme="minorEastAsia" w:eastAsiaTheme="minorEastAsia"/>
          <w:b/>
          <w:color w:val="666699"/>
          <w:sz w:val="28"/>
          <w:szCs w:val="28"/>
        </w:rPr>
      </w:pPr>
      <w:r>
        <w:rPr>
          <w:rStyle w:val="22"/>
          <w:rFonts w:hint="eastAsia" w:cs="宋体" w:asciiTheme="minorEastAsia" w:hAnsiTheme="minorEastAsia" w:eastAsiaTheme="minorEastAsia"/>
          <w:color w:val="666699"/>
          <w:sz w:val="28"/>
          <w:szCs w:val="28"/>
        </w:rPr>
        <w:t>本周国内片碱实际成交周汇总</w:t>
      </w:r>
      <w:bookmarkEnd w:id="13"/>
      <w:bookmarkEnd w:id="14"/>
      <w:bookmarkEnd w:id="15"/>
      <w:bookmarkEnd w:id="16"/>
    </w:p>
    <w:p>
      <w:pPr>
        <w:snapToGrid w:val="0"/>
        <w:spacing w:line="400" w:lineRule="exact"/>
        <w:ind w:right="-149" w:rightChars="-71"/>
        <w:rPr>
          <w:rFonts w:ascii="仿宋" w:hAnsi="仿宋" w:eastAsia="仿宋"/>
          <w:sz w:val="28"/>
          <w:szCs w:val="28"/>
        </w:rPr>
      </w:pPr>
      <w:r>
        <w:rPr>
          <w:rFonts w:hint="eastAsia" w:ascii="仿宋" w:hAnsi="仿宋" w:eastAsia="仿宋"/>
          <w:sz w:val="28"/>
          <w:szCs w:val="28"/>
        </w:rPr>
        <w:t>单位：元</w:t>
      </w:r>
      <w:r>
        <w:rPr>
          <w:rFonts w:ascii="仿宋" w:hAnsi="仿宋" w:eastAsia="仿宋"/>
          <w:sz w:val="28"/>
          <w:szCs w:val="28"/>
        </w:rPr>
        <w:t>/</w:t>
      </w:r>
      <w:r>
        <w:rPr>
          <w:rFonts w:hint="eastAsia" w:ascii="仿宋" w:hAnsi="仿宋" w:eastAsia="仿宋"/>
          <w:sz w:val="28"/>
          <w:szCs w:val="28"/>
        </w:rPr>
        <w:t>吨</w:t>
      </w:r>
    </w:p>
    <w:tbl>
      <w:tblPr>
        <w:tblStyle w:val="14"/>
        <w:tblW w:w="8720" w:type="dxa"/>
        <w:tblInd w:w="0" w:type="dxa"/>
        <w:tblLayout w:type="fixed"/>
        <w:tblCellMar>
          <w:top w:w="0" w:type="dxa"/>
          <w:left w:w="108" w:type="dxa"/>
          <w:bottom w:w="0" w:type="dxa"/>
          <w:right w:w="108" w:type="dxa"/>
        </w:tblCellMar>
      </w:tblPr>
      <w:tblGrid>
        <w:gridCol w:w="1476"/>
        <w:gridCol w:w="1035"/>
        <w:gridCol w:w="1058"/>
        <w:gridCol w:w="1013"/>
        <w:gridCol w:w="1034"/>
        <w:gridCol w:w="1057"/>
        <w:gridCol w:w="1013"/>
        <w:gridCol w:w="1034"/>
      </w:tblGrid>
      <w:tr>
        <w:tblPrEx>
          <w:tblLayout w:type="fixed"/>
          <w:tblCellMar>
            <w:top w:w="0" w:type="dxa"/>
            <w:left w:w="108" w:type="dxa"/>
            <w:bottom w:w="0" w:type="dxa"/>
            <w:right w:w="108" w:type="dxa"/>
          </w:tblCellMar>
        </w:tblPrEx>
        <w:trPr>
          <w:trHeight w:val="304" w:hRule="atLeast"/>
        </w:trPr>
        <w:tc>
          <w:tcPr>
            <w:tcW w:w="1476"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日期</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地区</w:t>
            </w:r>
          </w:p>
        </w:tc>
        <w:tc>
          <w:tcPr>
            <w:tcW w:w="3105" w:type="dxa"/>
            <w:gridSpan w:val="3"/>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96%</w:t>
            </w:r>
            <w:r>
              <w:rPr>
                <w:rFonts w:hint="eastAsia" w:cs="宋体" w:asciiTheme="minorEastAsia" w:hAnsiTheme="minorEastAsia" w:eastAsiaTheme="minorEastAsia"/>
                <w:color w:val="000000"/>
                <w:kern w:val="0"/>
                <w:sz w:val="22"/>
              </w:rPr>
              <w:t>片碱</w:t>
            </w:r>
          </w:p>
        </w:tc>
        <w:tc>
          <w:tcPr>
            <w:tcW w:w="3104" w:type="dxa"/>
            <w:gridSpan w:val="3"/>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99%</w:t>
            </w:r>
            <w:r>
              <w:rPr>
                <w:rFonts w:hint="eastAsia" w:cs="宋体" w:asciiTheme="minorEastAsia" w:hAnsiTheme="minorEastAsia" w:eastAsiaTheme="minorEastAsia"/>
                <w:color w:val="000000"/>
                <w:kern w:val="0"/>
                <w:sz w:val="22"/>
              </w:rPr>
              <w:t>片碱</w:t>
            </w:r>
          </w:p>
        </w:tc>
      </w:tr>
      <w:tr>
        <w:tblPrEx>
          <w:tblLayout w:type="fixed"/>
          <w:tblCellMar>
            <w:top w:w="0" w:type="dxa"/>
            <w:left w:w="108" w:type="dxa"/>
            <w:bottom w:w="0" w:type="dxa"/>
            <w:right w:w="108" w:type="dxa"/>
          </w:tblCellMar>
        </w:tblPrEx>
        <w:trPr>
          <w:trHeight w:val="304" w:hRule="atLeast"/>
        </w:trPr>
        <w:tc>
          <w:tcPr>
            <w:tcW w:w="14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cs="宋体" w:asciiTheme="minorEastAsia" w:hAnsiTheme="minorEastAsia" w:eastAsiaTheme="minorEastAsia"/>
                <w:color w:val="000000"/>
                <w:kern w:val="0"/>
                <w:sz w:val="22"/>
              </w:rPr>
            </w:pPr>
          </w:p>
        </w:tc>
        <w:tc>
          <w:tcPr>
            <w:tcW w:w="10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cs="宋体" w:asciiTheme="minorEastAsia" w:hAnsiTheme="minorEastAsia" w:eastAsiaTheme="minorEastAsia"/>
                <w:color w:val="000000"/>
                <w:kern w:val="0"/>
                <w:sz w:val="22"/>
              </w:rPr>
            </w:pPr>
          </w:p>
        </w:tc>
        <w:tc>
          <w:tcPr>
            <w:tcW w:w="1058"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属性</w:t>
            </w:r>
          </w:p>
        </w:tc>
        <w:tc>
          <w:tcPr>
            <w:tcW w:w="1013"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低价</w:t>
            </w:r>
          </w:p>
        </w:tc>
        <w:tc>
          <w:tcPr>
            <w:tcW w:w="1034"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高价</w:t>
            </w:r>
          </w:p>
        </w:tc>
        <w:tc>
          <w:tcPr>
            <w:tcW w:w="1057"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属性</w:t>
            </w:r>
          </w:p>
        </w:tc>
        <w:tc>
          <w:tcPr>
            <w:tcW w:w="1013"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低价</w:t>
            </w:r>
          </w:p>
        </w:tc>
        <w:tc>
          <w:tcPr>
            <w:tcW w:w="1034" w:type="dxa"/>
            <w:tcBorders>
              <w:top w:val="nil"/>
              <w:left w:val="nil"/>
              <w:bottom w:val="single" w:color="000000" w:sz="8" w:space="0"/>
              <w:right w:val="single" w:color="000000" w:sz="8" w:space="0"/>
            </w:tcBorders>
            <w:shd w:val="clear" w:color="auto" w:fill="99CCFF"/>
            <w:vAlign w:val="center"/>
          </w:tcPr>
          <w:p>
            <w:pPr>
              <w:widowControl/>
              <w:spacing w:line="400" w:lineRule="exact"/>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高价</w:t>
            </w:r>
          </w:p>
        </w:tc>
      </w:tr>
      <w:tr>
        <w:tblPrEx>
          <w:tblLayout w:type="fixed"/>
          <w:tblCellMar>
            <w:top w:w="0" w:type="dxa"/>
            <w:left w:w="108" w:type="dxa"/>
            <w:bottom w:w="0" w:type="dxa"/>
            <w:right w:w="108" w:type="dxa"/>
          </w:tblCellMar>
        </w:tblPrEx>
        <w:trPr>
          <w:trHeight w:val="415"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华东</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4050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4250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4100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4300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西南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4150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4250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4100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4300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华北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3950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3950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4000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4100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西北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eastAsia="zh-CN"/>
              </w:rPr>
              <w:t>出</w:t>
            </w:r>
            <w:r>
              <w:rPr>
                <w:rFonts w:hint="eastAsia" w:asciiTheme="minorEastAsia" w:hAnsiTheme="minorEastAsia" w:eastAsiaTheme="minorEastAsia"/>
                <w:color w:val="000000"/>
                <w:sz w:val="20"/>
                <w:szCs w:val="20"/>
              </w:rPr>
              <w:t>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3350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3750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3400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3900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eastAsia="zh-CN"/>
              </w:rPr>
              <w:t>华</w:t>
            </w:r>
            <w:r>
              <w:rPr>
                <w:rFonts w:hint="eastAsia" w:asciiTheme="minorEastAsia" w:hAnsiTheme="minorEastAsia" w:eastAsiaTheme="minorEastAsia"/>
                <w:color w:val="000000"/>
                <w:sz w:val="20"/>
                <w:szCs w:val="20"/>
              </w:rPr>
              <w:t>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eastAsia="zh-CN"/>
              </w:rPr>
              <w:t>市</w:t>
            </w:r>
            <w:r>
              <w:rPr>
                <w:rFonts w:hint="eastAsia" w:asciiTheme="minorEastAsia" w:hAnsiTheme="minorEastAsia" w:eastAsiaTheme="minorEastAsia"/>
                <w:color w:val="000000"/>
                <w:sz w:val="20"/>
                <w:szCs w:val="20"/>
              </w:rPr>
              <w:t>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4050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4250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val="0"/>
                <w:i w:val="0"/>
                <w:caps w:val="0"/>
                <w:color w:val="323232"/>
                <w:spacing w:val="0"/>
                <w:sz w:val="20"/>
                <w:szCs w:val="20"/>
                <w:shd w:val="clear" w:fill="FFFFFF"/>
              </w:rPr>
              <w:t>4100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4300</w:t>
            </w:r>
          </w:p>
        </w:tc>
      </w:tr>
    </w:tbl>
    <w:p>
      <w:pPr>
        <w:spacing w:line="400" w:lineRule="exact"/>
      </w:pPr>
    </w:p>
    <w:p>
      <w:pPr>
        <w:pStyle w:val="3"/>
        <w:snapToGrid w:val="0"/>
        <w:spacing w:line="400" w:lineRule="exact"/>
        <w:ind w:right="-149" w:rightChars="-71"/>
        <w:rPr>
          <w:rStyle w:val="22"/>
          <w:rFonts w:asciiTheme="minorEastAsia" w:hAnsiTheme="minorEastAsia" w:eastAsiaTheme="minorEastAsia"/>
          <w:b w:val="0"/>
          <w:color w:val="666699"/>
          <w:szCs w:val="28"/>
        </w:rPr>
      </w:pPr>
      <w:bookmarkStart w:id="17" w:name="_Toc485981324"/>
      <w:bookmarkStart w:id="18" w:name="_Toc392240281"/>
      <w:r>
        <w:rPr>
          <w:rStyle w:val="22"/>
          <w:rFonts w:asciiTheme="minorEastAsia" w:hAnsiTheme="minorEastAsia" w:eastAsiaTheme="minorEastAsia"/>
          <w:b w:val="0"/>
          <w:color w:val="666699"/>
          <w:szCs w:val="28"/>
        </w:rPr>
        <w:t>32%</w:t>
      </w:r>
      <w:r>
        <w:rPr>
          <w:rStyle w:val="22"/>
          <w:rFonts w:hint="eastAsia" w:asciiTheme="minorEastAsia" w:hAnsiTheme="minorEastAsia" w:eastAsiaTheme="minorEastAsia"/>
          <w:b w:val="0"/>
          <w:color w:val="666699"/>
          <w:szCs w:val="28"/>
        </w:rPr>
        <w:t>离子膜价格</w:t>
      </w:r>
      <w:bookmarkEnd w:id="17"/>
      <w:bookmarkEnd w:id="18"/>
    </w:p>
    <w:tbl>
      <w:tblPr>
        <w:tblStyle w:val="14"/>
        <w:tblW w:w="8720" w:type="dxa"/>
        <w:tblInd w:w="0" w:type="dxa"/>
        <w:tblLayout w:type="fixed"/>
        <w:tblCellMar>
          <w:top w:w="0" w:type="dxa"/>
          <w:left w:w="108" w:type="dxa"/>
          <w:bottom w:w="0" w:type="dxa"/>
          <w:right w:w="108" w:type="dxa"/>
        </w:tblCellMar>
      </w:tblPr>
      <w:tblGrid>
        <w:gridCol w:w="2180"/>
        <w:gridCol w:w="2180"/>
        <w:gridCol w:w="2180"/>
        <w:gridCol w:w="2180"/>
      </w:tblGrid>
      <w:tr>
        <w:tblPrEx>
          <w:tblLayout w:type="fixed"/>
          <w:tblCellMar>
            <w:top w:w="0" w:type="dxa"/>
            <w:left w:w="108" w:type="dxa"/>
            <w:bottom w:w="0" w:type="dxa"/>
            <w:right w:w="108" w:type="dxa"/>
          </w:tblCellMar>
        </w:tblPrEx>
        <w:trPr>
          <w:trHeight w:val="300" w:hRule="atLeast"/>
        </w:trPr>
        <w:tc>
          <w:tcPr>
            <w:tcW w:w="2180" w:type="dxa"/>
            <w:tcBorders>
              <w:top w:val="single" w:color="000000" w:sz="8" w:space="0"/>
              <w:left w:val="single" w:color="000000" w:sz="8" w:space="0"/>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bCs/>
                <w:kern w:val="0"/>
                <w:sz w:val="22"/>
              </w:rPr>
            </w:pPr>
            <w:r>
              <w:rPr>
                <w:rFonts w:hint="eastAsia" w:cs="宋体" w:asciiTheme="minorEastAsia" w:hAnsiTheme="minorEastAsia" w:eastAsiaTheme="minorEastAsia"/>
                <w:bCs/>
                <w:kern w:val="0"/>
                <w:sz w:val="22"/>
              </w:rPr>
              <w:t>日期</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bCs/>
                <w:kern w:val="0"/>
                <w:sz w:val="22"/>
              </w:rPr>
            </w:pPr>
            <w:r>
              <w:rPr>
                <w:rFonts w:hint="eastAsia" w:cs="宋体" w:asciiTheme="minorEastAsia" w:hAnsiTheme="minorEastAsia" w:eastAsiaTheme="minorEastAsia"/>
                <w:bCs/>
                <w:kern w:val="0"/>
                <w:sz w:val="22"/>
              </w:rPr>
              <w:t>地区</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bCs/>
                <w:kern w:val="0"/>
                <w:sz w:val="22"/>
              </w:rPr>
            </w:pPr>
            <w:r>
              <w:rPr>
                <w:rFonts w:hint="eastAsia" w:cs="宋体" w:asciiTheme="minorEastAsia" w:hAnsiTheme="minorEastAsia" w:eastAsiaTheme="minorEastAsia"/>
                <w:bCs/>
                <w:kern w:val="0"/>
                <w:sz w:val="22"/>
              </w:rPr>
              <w:t>低端价</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bCs/>
                <w:kern w:val="0"/>
                <w:sz w:val="22"/>
              </w:rPr>
            </w:pPr>
            <w:r>
              <w:rPr>
                <w:rFonts w:hint="eastAsia" w:cs="宋体" w:asciiTheme="minorEastAsia" w:hAnsiTheme="minorEastAsia" w:eastAsiaTheme="minorEastAsia"/>
                <w:bCs/>
                <w:kern w:val="0"/>
                <w:sz w:val="22"/>
              </w:rPr>
              <w:t>高端价</w:t>
            </w:r>
          </w:p>
        </w:tc>
      </w:tr>
      <w:tr>
        <w:tblPrEx>
          <w:tblLayout w:type="fixed"/>
          <w:tblCellMar>
            <w:top w:w="0" w:type="dxa"/>
            <w:left w:w="108" w:type="dxa"/>
            <w:bottom w:w="0" w:type="dxa"/>
            <w:right w:w="108" w:type="dxa"/>
          </w:tblCellMar>
        </w:tblPrEx>
        <w:trPr>
          <w:trHeight w:val="415"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华东</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1050</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1110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华南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1030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1170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华北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800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970</w:t>
            </w:r>
          </w:p>
        </w:tc>
      </w:tr>
      <w:tr>
        <w:tblPrEx>
          <w:tblLayout w:type="fixed"/>
          <w:tblCellMar>
            <w:top w:w="0" w:type="dxa"/>
            <w:left w:w="108" w:type="dxa"/>
            <w:bottom w:w="0" w:type="dxa"/>
            <w:right w:w="108" w:type="dxa"/>
          </w:tblCellMar>
        </w:tblPrEx>
        <w:trPr>
          <w:trHeight w:val="43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东北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1040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1050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西南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1150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1300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华中</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1000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1</w:t>
            </w:r>
            <w:r>
              <w:rPr>
                <w:rFonts w:hint="eastAsia" w:asciiTheme="majorEastAsia" w:hAnsiTheme="majorEastAsia" w:eastAsiaTheme="majorEastAsia" w:cstheme="majorEastAsia"/>
                <w:b w:val="0"/>
                <w:i w:val="0"/>
                <w:caps w:val="0"/>
                <w:color w:val="323232"/>
                <w:spacing w:val="0"/>
                <w:sz w:val="20"/>
                <w:szCs w:val="20"/>
                <w:shd w:val="clear" w:fill="FFFFFF"/>
                <w:lang w:val="en-US" w:eastAsia="zh-CN"/>
              </w:rPr>
              <w:t>1</w:t>
            </w:r>
            <w:r>
              <w:rPr>
                <w:rFonts w:hint="eastAsia" w:asciiTheme="majorEastAsia" w:hAnsiTheme="majorEastAsia" w:eastAsiaTheme="majorEastAsia" w:cstheme="majorEastAsia"/>
                <w:b w:val="0"/>
                <w:i w:val="0"/>
                <w:caps w:val="0"/>
                <w:color w:val="323232"/>
                <w:spacing w:val="0"/>
                <w:sz w:val="20"/>
                <w:szCs w:val="20"/>
                <w:shd w:val="clear" w:fill="FFFFFF"/>
              </w:rPr>
              <w:t>00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2017-8-</w:t>
            </w:r>
            <w:r>
              <w:rPr>
                <w:rFonts w:hint="eastAsia" w:asciiTheme="majorEastAsia" w:hAnsiTheme="majorEastAsia" w:eastAsiaTheme="majorEastAsia" w:cstheme="majorEastAsia"/>
                <w:color w:val="000000"/>
                <w:sz w:val="20"/>
                <w:szCs w:val="20"/>
                <w:lang w:val="en-US" w:eastAsia="zh-CN"/>
              </w:rPr>
              <w:t>31</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西北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940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b w:val="0"/>
                <w:i w:val="0"/>
                <w:caps w:val="0"/>
                <w:color w:val="323232"/>
                <w:spacing w:val="0"/>
                <w:sz w:val="20"/>
                <w:szCs w:val="20"/>
                <w:shd w:val="clear" w:fill="FFFFFF"/>
              </w:rPr>
              <w:t>970</w:t>
            </w:r>
          </w:p>
        </w:tc>
      </w:tr>
    </w:tbl>
    <w:p>
      <w:pPr>
        <w:spacing w:line="400" w:lineRule="exact"/>
        <w:rPr>
          <w:rFonts w:hint="eastAsia" w:asciiTheme="majorEastAsia" w:hAnsiTheme="majorEastAsia" w:eastAsiaTheme="majorEastAsia" w:cstheme="majorEastAsia"/>
          <w:sz w:val="20"/>
          <w:szCs w:val="20"/>
        </w:rPr>
      </w:pPr>
    </w:p>
    <w:p>
      <w:pPr>
        <w:pStyle w:val="2"/>
        <w:snapToGrid w:val="0"/>
        <w:spacing w:line="400" w:lineRule="exact"/>
        <w:ind w:right="-149" w:rightChars="-71"/>
        <w:jc w:val="center"/>
        <w:rPr>
          <w:rFonts w:ascii="黑体" w:hAnsi="黑体"/>
          <w:szCs w:val="32"/>
        </w:rPr>
      </w:pPr>
      <w:bookmarkStart w:id="19" w:name="_Toc233795930"/>
      <w:bookmarkStart w:id="20" w:name="_Toc252539758"/>
      <w:bookmarkStart w:id="21" w:name="_Toc295403452"/>
      <w:bookmarkStart w:id="22" w:name="_Toc300238851"/>
      <w:bookmarkStart w:id="23" w:name="_Toc392240282"/>
      <w:bookmarkStart w:id="24" w:name="_Toc250731929"/>
      <w:bookmarkStart w:id="25" w:name="_Toc485981325"/>
      <w:r>
        <w:rPr>
          <w:rFonts w:hint="eastAsia" w:ascii="黑体" w:hAnsi="黑体"/>
          <w:bCs w:val="0"/>
          <w:szCs w:val="32"/>
        </w:rPr>
        <w:t>液氯</w:t>
      </w:r>
      <w:bookmarkEnd w:id="19"/>
      <w:bookmarkEnd w:id="20"/>
      <w:bookmarkEnd w:id="21"/>
      <w:bookmarkEnd w:id="22"/>
      <w:bookmarkEnd w:id="23"/>
      <w:bookmarkEnd w:id="24"/>
      <w:bookmarkEnd w:id="25"/>
    </w:p>
    <w:p>
      <w:pPr>
        <w:pStyle w:val="3"/>
        <w:snapToGrid w:val="0"/>
        <w:spacing w:line="400" w:lineRule="exact"/>
        <w:ind w:right="-149" w:rightChars="-71"/>
        <w:rPr>
          <w:rFonts w:ascii="黑体" w:hAnsi="黑体" w:eastAsia="黑体"/>
        </w:rPr>
      </w:pPr>
      <w:bookmarkStart w:id="26" w:name="_Toc233795931"/>
      <w:bookmarkEnd w:id="26"/>
      <w:bookmarkStart w:id="27" w:name="_Toc252539759"/>
      <w:bookmarkStart w:id="28" w:name="_Toc185611021"/>
      <w:bookmarkStart w:id="29" w:name="_Toc485981326"/>
      <w:bookmarkStart w:id="30" w:name="_Toc250731930"/>
      <w:bookmarkStart w:id="31" w:name="_Toc295403453"/>
      <w:bookmarkStart w:id="32" w:name="_Toc392240283"/>
      <w:bookmarkStart w:id="33" w:name="_Toc300238852"/>
      <w:r>
        <w:rPr>
          <w:rFonts w:hint="eastAsia" w:ascii="黑体" w:hAnsi="黑体" w:eastAsia="黑体"/>
        </w:rPr>
        <w:t>评述：本周国内液氯市场评述及行情预测</w:t>
      </w:r>
      <w:bookmarkEnd w:id="27"/>
      <w:bookmarkEnd w:id="28"/>
      <w:bookmarkEnd w:id="29"/>
      <w:bookmarkEnd w:id="30"/>
      <w:bookmarkEnd w:id="31"/>
      <w:bookmarkEnd w:id="32"/>
      <w:bookmarkEnd w:id="33"/>
      <w:bookmarkStart w:id="34" w:name="_Toc252539760"/>
      <w:bookmarkStart w:id="35" w:name="_Toc250731931"/>
    </w:p>
    <w:p>
      <w:pPr>
        <w:pStyle w:val="10"/>
        <w:numPr>
          <w:ilvl w:val="0"/>
          <w:numId w:val="0"/>
        </w:numPr>
        <w:spacing w:line="400" w:lineRule="exact"/>
        <w:ind w:left="412" w:leftChars="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rPr>
        <w:t>中国液氯市场行情综述</w:t>
      </w:r>
    </w:p>
    <w:p>
      <w:pPr>
        <w:pStyle w:val="10"/>
        <w:keepNext w:val="0"/>
        <w:keepLines w:val="0"/>
        <w:widowControl/>
        <w:suppressLineNumbers w:val="0"/>
        <w:ind w:left="420" w:leftChars="200" w:firstLine="0" w:firstLineChars="0"/>
        <w:rPr>
          <w:rFonts w:ascii="宋体" w:hAnsi="宋体" w:eastAsia="宋体" w:cs="宋体"/>
          <w:sz w:val="21"/>
          <w:szCs w:val="21"/>
        </w:rPr>
      </w:pPr>
      <w:r>
        <w:rPr>
          <w:rFonts w:ascii="宋体" w:hAnsi="宋体" w:eastAsia="宋体" w:cs="宋体"/>
          <w:sz w:val="21"/>
          <w:szCs w:val="21"/>
        </w:rPr>
        <w:t>本周山东液氯在上周末期间大幅下滑后，补贴价格高达1700元/吨，氯碱企业出现了价格战的恶劣局面，但在液碱价格在不断被压缩的背景下，氯碱企业选择减负荷避免扩大亏损。在周三时扭转了大额补贴的情况，稳步提升到周四的主流商品氯出厂（-700）元/吨。但在周四时液碱价格因供应量的缩减以及有氧化铝采购价的上调40元/吨的消息一经放出，对液氯市场带来了利空影响，后期恐有企业提升负荷，增加出货量。</w:t>
      </w:r>
    </w:p>
    <w:p>
      <w:pPr>
        <w:pStyle w:val="10"/>
        <w:keepNext w:val="0"/>
        <w:keepLines w:val="0"/>
        <w:widowControl/>
        <w:suppressLineNumbers w:val="0"/>
        <w:ind w:left="420" w:leftChars="200" w:firstLine="0" w:firstLineChars="0"/>
        <w:rPr>
          <w:rFonts w:ascii="宋体" w:hAnsi="宋体" w:eastAsia="宋体" w:cs="宋体"/>
          <w:sz w:val="21"/>
          <w:szCs w:val="21"/>
        </w:rPr>
      </w:pPr>
      <w:r>
        <w:rPr>
          <w:rFonts w:ascii="宋体" w:hAnsi="宋体" w:eastAsia="宋体" w:cs="宋体"/>
          <w:sz w:val="21"/>
          <w:szCs w:val="21"/>
        </w:rPr>
        <w:t>山东地区的涨跌起伏对外围地区的液氯出货补贴影响明显，外围河北、山西、内蒙地区的液氯受冲击程度不同。山西地区因自身消化能力有限，企业发往河北内蒙消化，本周开出历史最大补贴1500元/吨，在周四与河北地区跟涨200元/吨，河北地区出货节奏前期受影响较为缓慢，后期在山东的利好带动下出货加快，跟涨200元/吨；内蒙因受河北的货源影响提高200元/吨补贴。河南地区本周始终恶劣，但下周液氯下游主力生产区域荥阳即将开车，后市或有提升。本周河南地区省内（-500）-（-300）元/吨，省外（-800）-（-1000），平顶山地区压力出货压力较大。四川地区延续上周的低迷，因液氯的自身属性缘故，受环保限制耗氯下游开工不足五成，企业出货困难，围地区液氯市场依旧低迷不振，货源外输困难，内部消化有限。长久看来下游需求内难有提升，四川地区液氯市场多以弱势整理为主。湖南地区液氯出货较好，厂家不乏有提价意愿，而湖北地区开工稳定在70%左右，液氯出货依旧以50-100元/吨，出货节奏平稳。华东地区的液氯市场本周持稳运行，江苏、安徽、浙江地区价格不动，但有的地区出现价格博弈的意味。广西地区目前液氯出厂价格优于全国其他地区，各企业配套完善，大多园区消化为主。福建地区暂无起色，即将举办金砖峰会以及国内环保及运输政策的严苛已然常态化，因此，福建地区液氯市场短期内持稳为主。</w:t>
      </w:r>
    </w:p>
    <w:p>
      <w:pPr>
        <w:pStyle w:val="10"/>
        <w:keepNext w:val="0"/>
        <w:keepLines w:val="0"/>
        <w:widowControl/>
        <w:suppressLineNumbers w:val="0"/>
        <w:ind w:left="420" w:leftChars="200" w:firstLine="0" w:firstLineChars="0"/>
        <w:rPr>
          <w:rFonts w:ascii="宋体" w:hAnsi="宋体" w:eastAsia="宋体" w:cs="宋体"/>
          <w:sz w:val="21"/>
          <w:szCs w:val="21"/>
        </w:rPr>
      </w:pPr>
      <w:r>
        <w:rPr>
          <w:rFonts w:ascii="宋体" w:hAnsi="宋体" w:eastAsia="宋体" w:cs="宋体"/>
          <w:sz w:val="21"/>
          <w:szCs w:val="21"/>
        </w:rPr>
        <w:t>截止到目前，各地区液氯槽车主流出厂价格：山东地区商品氯东部地区出厂价格在（-700）元/吨；河北地区（-700）-（-500）元/吨；东北地区（-700）-（-500）元/吨；山西地区（-1300）-1元/吨；河南省内（-500）-（-300）元/吨，省外（-1000）-（-800）元/吨；江苏地区（-700）-（-450）元/吨；安徽地区（-500）-（-400）元/吨；浙江地区到货价格多在（-400）-（-200）元/吨；江西地区（-150）-1元/吨；内蒙古地区（-400）-1元/吨；陕西地区（-1000）-1元/吨；川渝云贵地区液氯用户用量较小，价格维持在较高水平，但远距离出货亦开始倒贴；广西地区300-500元/吨；湖北地区50-100元/吨；湖南地区50-100元/吨。</w:t>
      </w:r>
    </w:p>
    <w:p>
      <w:pPr>
        <w:pStyle w:val="10"/>
        <w:keepNext w:val="0"/>
        <w:keepLines w:val="0"/>
        <w:widowControl/>
        <w:numPr>
          <w:ilvl w:val="0"/>
          <w:numId w:val="2"/>
        </w:numPr>
        <w:suppressLineNumbers w:val="0"/>
        <w:ind w:left="420" w:leftChars="20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山东市场分析</w:t>
      </w:r>
    </w:p>
    <w:p>
      <w:pPr>
        <w:pStyle w:val="10"/>
        <w:ind w:left="412"/>
        <w:rPr>
          <w:rFonts w:ascii="宋体" w:hAnsi="宋体" w:eastAsia="宋体" w:cs="宋体"/>
          <w:sz w:val="21"/>
          <w:szCs w:val="21"/>
        </w:rPr>
      </w:pPr>
      <w:r>
        <w:rPr>
          <w:rFonts w:ascii="宋体" w:hAnsi="宋体" w:eastAsia="宋体" w:cs="宋体"/>
          <w:sz w:val="21"/>
          <w:szCs w:val="21"/>
        </w:rPr>
        <w:t xml:space="preserve">山东液氯在8月底迎来了曙光，因液氯下游企业在环保中大多停车，接货能力十分有限，液碱在8月主流采购价格两次下滑，氯碱企业利润不断被压缩，为扭转大幅度补贴的局面，山东中东部地区开动负荷减至40%左右，明日山东东营地区仍有企业检修，给液氯留下了上涨空间。目前降负荷运行的企业有：山东华泰开工6-7成、山东金茂开工7成、东营金岭开工8成、山东铝业开工7成，山东海化开工5成、华翔开工8成、新龙电化开工5成并且山东鲁泰、泰山盐化、东明万海停车检修，东营地区赫邦化工将在9月1日至9月15日停车检修。综合来看，中东部地区氯碱企业开工在4-5成左右，减产的利好因素明显。在需求方面：山东鑫岳、山东三岳恢复外采，每日消化500吨液氯。但在周四传来了氧化铝采购价格的提升40元/吨的利空消息，液氯价格难稳，恐难有进一步的提高，或有下滑的意味。 </w:t>
      </w:r>
    </w:p>
    <w:p>
      <w:pPr>
        <w:pStyle w:val="10"/>
        <w:ind w:left="4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三、后市分析</w:t>
      </w:r>
    </w:p>
    <w:p>
      <w:pPr>
        <w:pStyle w:val="10"/>
        <w:ind w:left="412"/>
        <w:rPr>
          <w:sz w:val="21"/>
          <w:szCs w:val="21"/>
        </w:rPr>
      </w:pPr>
      <w:r>
        <w:rPr>
          <w:sz w:val="21"/>
          <w:szCs w:val="21"/>
        </w:rPr>
        <w:t>利好方面：</w:t>
      </w:r>
    </w:p>
    <w:p>
      <w:pPr>
        <w:pStyle w:val="10"/>
        <w:keepNext w:val="0"/>
        <w:keepLines w:val="0"/>
        <w:widowControl/>
        <w:numPr>
          <w:ilvl w:val="0"/>
          <w:numId w:val="3"/>
        </w:numPr>
        <w:suppressLineNumbers w:val="0"/>
        <w:ind w:left="420" w:leftChars="200" w:firstLine="0" w:firstLineChars="0"/>
        <w:rPr>
          <w:sz w:val="21"/>
          <w:szCs w:val="21"/>
        </w:rPr>
      </w:pPr>
      <w:r>
        <w:rPr>
          <w:rFonts w:ascii="宋体" w:hAnsi="宋体" w:eastAsia="宋体" w:cs="宋体"/>
          <w:sz w:val="21"/>
          <w:szCs w:val="21"/>
        </w:rPr>
        <w:t>西北地区英力特计划9月4日至9月14日停车检修；青海宜化8月27日至9月3日停车检修；新疆宜化停车，新疆天业、新疆天泰减负荷运行；华北地区：唐山三友推迟到9月4日-9月15日停车检修；山东金岭开工75%，山东华泰开工70%；山东赫邦9月1日至9月15日停车检修，山东泰山盐化8月23日-9月3日停车检修，山东信发集团三期33万吨氯碱装置检修中，东明万海7月15日停车检修，计划9月初开车；华东地区：江苏梅兰化工计划在9月1日到9月15日检修，江苏金桥益海检修推迟到9月1日至9月15日执行，江苏南通江山农药计划9月15日开始全线停车检修，9月25日开车，江苏中盐常化9月中旬有检修计划，具体时间待定；结合以上检修状况地区液氯供销将趋于平稳，减产操作对液氯价格回升有助力。</w:t>
      </w:r>
    </w:p>
    <w:p>
      <w:pPr>
        <w:pStyle w:val="10"/>
        <w:keepNext w:val="0"/>
        <w:keepLines w:val="0"/>
        <w:widowControl/>
        <w:suppressLineNumbers w:val="0"/>
        <w:ind w:left="420" w:leftChars="200" w:firstLine="0" w:firstLineChars="0"/>
      </w:pPr>
      <w:r>
        <w:rPr>
          <w:sz w:val="21"/>
          <w:szCs w:val="21"/>
        </w:rPr>
        <w:t>2、</w:t>
      </w:r>
      <w:r>
        <w:rPr>
          <w:rFonts w:ascii="宋体" w:hAnsi="宋体" w:eastAsia="宋体" w:cs="宋体"/>
          <w:sz w:val="21"/>
          <w:szCs w:val="21"/>
        </w:rPr>
        <w:t>第四批中央环境保护督察将全面启动，吉林、浙江、山东、海南、四川、西藏、青海、新疆（含兵团）全面覆盖，氯碱企业主要产区山东、新疆、浙江及四川地区赫然在列。对当地氯碱企业液氯的出货将有影响，或将制约企业开工。减少供应量后，液氯价格有回升的空间。总体上看，短期的检查利好氯碱企业，从供应上控制液氯产量，利好液氯价格。</w:t>
      </w:r>
    </w:p>
    <w:p>
      <w:pPr>
        <w:pStyle w:val="10"/>
        <w:ind w:firstLine="420" w:firstLineChars="200"/>
        <w:rPr>
          <w:sz w:val="21"/>
          <w:szCs w:val="21"/>
        </w:rPr>
      </w:pPr>
      <w:r>
        <w:rPr>
          <w:sz w:val="21"/>
          <w:szCs w:val="21"/>
        </w:rPr>
        <w:t>利空方面：</w:t>
      </w:r>
    </w:p>
    <w:p>
      <w:pPr>
        <w:pStyle w:val="10"/>
        <w:keepNext w:val="0"/>
        <w:keepLines w:val="0"/>
        <w:widowControl/>
        <w:suppressLineNumbers w:val="0"/>
        <w:ind w:firstLine="420" w:firstLineChars="200"/>
      </w:pPr>
      <w:r>
        <w:rPr>
          <w:sz w:val="21"/>
          <w:szCs w:val="21"/>
        </w:rPr>
        <w:t xml:space="preserve">1、氯气下游企业在环保检查中不合规范之处较多，大多停车整顿，不利于氯碱企业出货。 </w:t>
      </w:r>
    </w:p>
    <w:p>
      <w:pPr>
        <w:pStyle w:val="10"/>
        <w:keepNext w:val="0"/>
        <w:keepLines w:val="0"/>
        <w:widowControl/>
        <w:suppressLineNumbers w:val="0"/>
        <w:ind w:left="420" w:leftChars="200" w:firstLine="0" w:firstLineChars="0"/>
      </w:pPr>
      <w:r>
        <w:rPr>
          <w:sz w:val="21"/>
          <w:szCs w:val="21"/>
        </w:rPr>
        <w:t>2、目前国内运输及环保政策严格落实，液氯作为高危化工品，政策影响成为导致液氯价格低位的主要原因。国内环保及运输政策的严格已然常态化，因此，国内液氯市场短期内难有起色。</w:t>
      </w:r>
    </w:p>
    <w:p>
      <w:pPr>
        <w:pStyle w:val="10"/>
        <w:keepNext w:val="0"/>
        <w:keepLines w:val="0"/>
        <w:widowControl/>
        <w:suppressLineNumbers w:val="0"/>
        <w:ind w:left="420" w:leftChars="200" w:firstLine="0" w:firstLineChars="0"/>
      </w:pPr>
      <w:r>
        <w:rPr>
          <w:sz w:val="21"/>
          <w:szCs w:val="21"/>
        </w:rPr>
        <w:t>3、本周山东地区液碱价格不断提升，但价格高位，盐酸低迷，下游同样需求不振，对液氯市场利空明显。</w:t>
      </w:r>
    </w:p>
    <w:p>
      <w:pPr>
        <w:pStyle w:val="10"/>
        <w:ind w:left="420" w:leftChars="200" w:firstLine="0" w:firstLineChars="0"/>
        <w:rPr>
          <w:rFonts w:hint="eastAsia" w:ascii="宋体" w:hAnsi="宋体" w:eastAsia="宋体" w:cs="宋体"/>
          <w:sz w:val="21"/>
          <w:szCs w:val="21"/>
          <w:lang w:eastAsia="zh-CN"/>
        </w:rPr>
      </w:pPr>
      <w:r>
        <w:rPr>
          <w:sz w:val="21"/>
          <w:szCs w:val="21"/>
        </w:rPr>
        <w:t>后市预测：</w:t>
      </w:r>
      <w:r>
        <w:rPr>
          <w:rFonts w:ascii="宋体" w:hAnsi="宋体" w:eastAsia="宋体" w:cs="宋体"/>
          <w:sz w:val="21"/>
          <w:szCs w:val="21"/>
        </w:rPr>
        <w:t>全国主产区液氯本周涨跌幅度已达500元/吨，暴露了液氯频繁变价的本性。9月份环保组结束在各地的进驻，但下个月安监的工作依旧要开展，下游企业的开工的依旧难有大幅度提升；并且在氧化铝的支撑下液碱价格处在高位，对液氯的利空不容忽视。在需求和供应面均有利空的影响下，综合来看，液氯出货难的情况短期内难有质的改善，预计下周液氯因自身特性有频繁变价的可能，调整幅度在200-300元/吨。</w:t>
      </w:r>
    </w:p>
    <w:p>
      <w:pPr>
        <w:pStyle w:val="1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国内地区市场价格</w:t>
      </w:r>
    </w:p>
    <w:bookmarkEnd w:id="34"/>
    <w:bookmarkEnd w:id="35"/>
    <w:tbl>
      <w:tblPr>
        <w:tblStyle w:val="14"/>
        <w:tblW w:w="8720" w:type="dxa"/>
        <w:tblInd w:w="0" w:type="dxa"/>
        <w:tblLayout w:type="fixed"/>
        <w:tblCellMar>
          <w:top w:w="0" w:type="dxa"/>
          <w:left w:w="108" w:type="dxa"/>
          <w:bottom w:w="0" w:type="dxa"/>
          <w:right w:w="108" w:type="dxa"/>
        </w:tblCellMar>
      </w:tblPr>
      <w:tblGrid>
        <w:gridCol w:w="1984"/>
        <w:gridCol w:w="1477"/>
        <w:gridCol w:w="1643"/>
        <w:gridCol w:w="1809"/>
        <w:gridCol w:w="1807"/>
      </w:tblGrid>
      <w:tr>
        <w:tblPrEx>
          <w:tblLayout w:type="fixed"/>
          <w:tblCellMar>
            <w:top w:w="0" w:type="dxa"/>
            <w:left w:w="108" w:type="dxa"/>
            <w:bottom w:w="0" w:type="dxa"/>
            <w:right w:w="108" w:type="dxa"/>
          </w:tblCellMar>
        </w:tblPrEx>
        <w:trPr>
          <w:trHeight w:val="295" w:hRule="atLeast"/>
        </w:trPr>
        <w:tc>
          <w:tcPr>
            <w:tcW w:w="1984" w:type="dxa"/>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bookmarkStart w:id="36" w:name="_Toc233795926"/>
            <w:bookmarkEnd w:id="36"/>
            <w:r>
              <w:rPr>
                <w:rFonts w:hint="eastAsia" w:cs="宋体" w:asciiTheme="minorEastAsia" w:hAnsiTheme="minorEastAsia" w:eastAsiaTheme="minorEastAsia"/>
                <w:color w:val="000000"/>
                <w:kern w:val="0"/>
                <w:sz w:val="22"/>
              </w:rPr>
              <w:t>日期</w:t>
            </w:r>
          </w:p>
        </w:tc>
        <w:tc>
          <w:tcPr>
            <w:tcW w:w="147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地区</w:t>
            </w:r>
          </w:p>
        </w:tc>
        <w:tc>
          <w:tcPr>
            <w:tcW w:w="1643"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属性</w:t>
            </w:r>
          </w:p>
        </w:tc>
        <w:tc>
          <w:tcPr>
            <w:tcW w:w="1809"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低端价</w:t>
            </w:r>
          </w:p>
        </w:tc>
        <w:tc>
          <w:tcPr>
            <w:tcW w:w="180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高端价</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ajorEastAsia" w:hAnsiTheme="majorEastAsia" w:eastAsiaTheme="maj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华东</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200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ajorEastAsia" w:hAnsiTheme="majorEastAsia" w:eastAsiaTheme="maj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华南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400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ajorEastAsia" w:hAnsiTheme="majorEastAsia" w:eastAsiaTheme="maj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华北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450</w:t>
            </w:r>
          </w:p>
        </w:tc>
      </w:tr>
      <w:tr>
        <w:tblPrEx>
          <w:tblLayout w:type="fixed"/>
          <w:tblCellMar>
            <w:top w:w="0" w:type="dxa"/>
            <w:left w:w="108" w:type="dxa"/>
            <w:bottom w:w="0" w:type="dxa"/>
            <w:right w:w="108" w:type="dxa"/>
          </w:tblCellMar>
        </w:tblPrEx>
        <w:trPr>
          <w:trHeight w:val="35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ajorEastAsia" w:hAnsiTheme="majorEastAsia" w:eastAsiaTheme="maj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东北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200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ajorEastAsia" w:hAnsiTheme="majorEastAsia" w:eastAsiaTheme="maj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西南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500</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1200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ajorEastAsia" w:hAnsiTheme="majorEastAsia" w:eastAsiaTheme="maj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华中</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300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cs="Tahoma"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201</w:t>
            </w:r>
            <w:r>
              <w:rPr>
                <w:rFonts w:hint="eastAsia" w:cs="Arial" w:asciiTheme="minorEastAsia" w:hAnsiTheme="minorEastAsia" w:eastAsiaTheme="minorEastAsia"/>
                <w:color w:val="000000"/>
                <w:sz w:val="20"/>
                <w:szCs w:val="20"/>
              </w:rPr>
              <w:t>7</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rPr>
              <w:t>8</w:t>
            </w:r>
            <w:r>
              <w:rPr>
                <w:rFonts w:cs="Arial" w:asciiTheme="minorEastAsia" w:hAnsiTheme="minorEastAsia" w:eastAsiaTheme="minorEastAsia"/>
                <w:color w:val="000000"/>
                <w:sz w:val="20"/>
                <w:szCs w:val="20"/>
              </w:rPr>
              <w:t>-</w:t>
            </w:r>
            <w:r>
              <w:rPr>
                <w:rFonts w:hint="eastAsia" w:cs="Arial" w:asciiTheme="minorEastAsia" w:hAnsiTheme="minorEastAsia" w:eastAsiaTheme="minorEastAsia"/>
                <w:color w:val="000000"/>
                <w:sz w:val="20"/>
                <w:szCs w:val="20"/>
                <w:lang w:val="en-US" w:eastAsia="zh-CN"/>
              </w:rPr>
              <w:t>31</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西北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50</w:t>
            </w:r>
          </w:p>
        </w:tc>
      </w:tr>
    </w:tbl>
    <w:p>
      <w:pPr>
        <w:pStyle w:val="23"/>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ind w:firstLine="1600" w:firstLineChars="400"/>
        <w:jc w:val="both"/>
        <w:rPr>
          <w:rFonts w:ascii="方正粗宋简体" w:eastAsia="方正粗宋简体"/>
          <w:spacing w:val="20"/>
          <w:sz w:val="36"/>
          <w:szCs w:val="36"/>
        </w:rPr>
      </w:pPr>
      <w:r>
        <w:rPr>
          <w:rFonts w:hint="eastAsia" w:ascii="方正粗宋简体" w:eastAsia="方正粗宋简体"/>
          <w:spacing w:val="20"/>
          <w:sz w:val="36"/>
          <w:szCs w:val="36"/>
        </w:rPr>
        <w:t>更多精彩敬请关注：</w:t>
      </w:r>
      <w:r>
        <w:fldChar w:fldCharType="begin"/>
      </w:r>
      <w:r>
        <w:instrText xml:space="preserve"> HYPERLINK "http://www.chinaccm.com/" </w:instrText>
      </w:r>
      <w:r>
        <w:fldChar w:fldCharType="separate"/>
      </w:r>
      <w:r>
        <w:rPr>
          <w:rStyle w:val="13"/>
          <w:rFonts w:hint="eastAsia" w:ascii="方正粗宋简体" w:eastAsia="方正粗宋简体"/>
          <w:spacing w:val="20"/>
          <w:sz w:val="36"/>
          <w:szCs w:val="36"/>
        </w:rPr>
        <w:t>中华商务网</w:t>
      </w:r>
      <w:r>
        <w:rPr>
          <w:rStyle w:val="13"/>
          <w:rFonts w:hint="eastAsia" w:ascii="方正粗宋简体" w:eastAsia="方正粗宋简体"/>
          <w:spacing w:val="20"/>
          <w:sz w:val="36"/>
          <w:szCs w:val="36"/>
        </w:rPr>
        <w:fldChar w:fldCharType="end"/>
      </w:r>
    </w:p>
    <w:p>
      <w:pPr>
        <w:spacing w:line="400" w:lineRule="exact"/>
        <w:jc w:val="center"/>
        <w:rPr>
          <w:rFonts w:eastAsia="方正粗宋简体"/>
          <w:spacing w:val="20"/>
          <w:sz w:val="36"/>
          <w:szCs w:val="36"/>
        </w:rPr>
      </w:pPr>
      <w:r>
        <w:rPr>
          <w:rFonts w:hint="eastAsia" w:ascii="方正粗宋简体" w:eastAsia="方正粗宋简体"/>
          <w:spacing w:val="20"/>
          <w:sz w:val="36"/>
          <w:szCs w:val="36"/>
        </w:rPr>
        <w:t>返回本期目录</w:t>
      </w:r>
    </w:p>
    <w:p>
      <w:pPr>
        <w:spacing w:line="400" w:lineRule="exact"/>
        <w:rPr>
          <w:rFonts w:ascii="Arial" w:hAnsi="Arial" w:cs="Arial"/>
          <w:kern w:val="0"/>
          <w:szCs w:val="21"/>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6"/>
      <w:pBdr>
        <w:bottom w:val="none" w:color="auto" w:sz="0" w:space="0"/>
      </w:pBdr>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493"/>
    <w:multiLevelType w:val="multilevel"/>
    <w:tmpl w:val="2CD344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9F77BC"/>
    <w:multiLevelType w:val="singleLevel"/>
    <w:tmpl w:val="599F77BC"/>
    <w:lvl w:ilvl="0" w:tentative="0">
      <w:start w:val="2"/>
      <w:numFmt w:val="chineseCounting"/>
      <w:suff w:val="nothing"/>
      <w:lvlText w:val="%1、"/>
      <w:lvlJc w:val="left"/>
    </w:lvl>
  </w:abstractNum>
  <w:abstractNum w:abstractNumId="2">
    <w:nsid w:val="59A8E75B"/>
    <w:multiLevelType w:val="singleLevel"/>
    <w:tmpl w:val="59A8E75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7741E"/>
    <w:rsid w:val="00085917"/>
    <w:rsid w:val="0009407D"/>
    <w:rsid w:val="00095266"/>
    <w:rsid w:val="00096A95"/>
    <w:rsid w:val="000D3DBE"/>
    <w:rsid w:val="001078AB"/>
    <w:rsid w:val="00123320"/>
    <w:rsid w:val="00180C42"/>
    <w:rsid w:val="00192B10"/>
    <w:rsid w:val="001C20CD"/>
    <w:rsid w:val="001D3943"/>
    <w:rsid w:val="00243FEA"/>
    <w:rsid w:val="002636AD"/>
    <w:rsid w:val="00277D27"/>
    <w:rsid w:val="00277D2C"/>
    <w:rsid w:val="002D67FA"/>
    <w:rsid w:val="002E4AEB"/>
    <w:rsid w:val="00356333"/>
    <w:rsid w:val="00361079"/>
    <w:rsid w:val="003A0AB2"/>
    <w:rsid w:val="003A331B"/>
    <w:rsid w:val="003D4003"/>
    <w:rsid w:val="00475F92"/>
    <w:rsid w:val="00491A4E"/>
    <w:rsid w:val="004C5799"/>
    <w:rsid w:val="004E044E"/>
    <w:rsid w:val="005060EF"/>
    <w:rsid w:val="00506FA1"/>
    <w:rsid w:val="005337DE"/>
    <w:rsid w:val="005D0F14"/>
    <w:rsid w:val="005E2EA6"/>
    <w:rsid w:val="005F4E29"/>
    <w:rsid w:val="005F6FE0"/>
    <w:rsid w:val="00636747"/>
    <w:rsid w:val="00664441"/>
    <w:rsid w:val="006663D0"/>
    <w:rsid w:val="00673444"/>
    <w:rsid w:val="00674239"/>
    <w:rsid w:val="00682577"/>
    <w:rsid w:val="0069452D"/>
    <w:rsid w:val="00695E33"/>
    <w:rsid w:val="006B06FF"/>
    <w:rsid w:val="006B5764"/>
    <w:rsid w:val="006B7E7C"/>
    <w:rsid w:val="006C3F53"/>
    <w:rsid w:val="006C43CA"/>
    <w:rsid w:val="00774768"/>
    <w:rsid w:val="007A141A"/>
    <w:rsid w:val="007A167E"/>
    <w:rsid w:val="007B1517"/>
    <w:rsid w:val="007C32F6"/>
    <w:rsid w:val="00851423"/>
    <w:rsid w:val="0087619A"/>
    <w:rsid w:val="008E3A8F"/>
    <w:rsid w:val="008E5DCD"/>
    <w:rsid w:val="008F7717"/>
    <w:rsid w:val="00933A2A"/>
    <w:rsid w:val="0094505E"/>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E5DE8"/>
    <w:rsid w:val="00AF25E1"/>
    <w:rsid w:val="00B05414"/>
    <w:rsid w:val="00B20CBC"/>
    <w:rsid w:val="00B63456"/>
    <w:rsid w:val="00B7594B"/>
    <w:rsid w:val="00B93CDD"/>
    <w:rsid w:val="00BA7BA1"/>
    <w:rsid w:val="00BB2918"/>
    <w:rsid w:val="00BB3E08"/>
    <w:rsid w:val="00BE7A8B"/>
    <w:rsid w:val="00C4540B"/>
    <w:rsid w:val="00D00A08"/>
    <w:rsid w:val="00D013C8"/>
    <w:rsid w:val="00D3773D"/>
    <w:rsid w:val="00D76C80"/>
    <w:rsid w:val="00DA66D7"/>
    <w:rsid w:val="00E40936"/>
    <w:rsid w:val="00E50F72"/>
    <w:rsid w:val="00E70F83"/>
    <w:rsid w:val="00E86451"/>
    <w:rsid w:val="00E94998"/>
    <w:rsid w:val="00E952E4"/>
    <w:rsid w:val="00EA260C"/>
    <w:rsid w:val="00EC2277"/>
    <w:rsid w:val="00EC6DA6"/>
    <w:rsid w:val="00ED16F7"/>
    <w:rsid w:val="00EE0015"/>
    <w:rsid w:val="00F5787A"/>
    <w:rsid w:val="00F61DEB"/>
    <w:rsid w:val="00FA6490"/>
    <w:rsid w:val="00FF5698"/>
    <w:rsid w:val="05CB7009"/>
    <w:rsid w:val="06870DAC"/>
    <w:rsid w:val="097B6FF1"/>
    <w:rsid w:val="0A152E7E"/>
    <w:rsid w:val="0BD71EE3"/>
    <w:rsid w:val="0FF22D75"/>
    <w:rsid w:val="16001B5A"/>
    <w:rsid w:val="1F85078D"/>
    <w:rsid w:val="228C1924"/>
    <w:rsid w:val="248C0836"/>
    <w:rsid w:val="30443666"/>
    <w:rsid w:val="33525A0A"/>
    <w:rsid w:val="38B7769F"/>
    <w:rsid w:val="3D6019E2"/>
    <w:rsid w:val="41BD2E20"/>
    <w:rsid w:val="458512A6"/>
    <w:rsid w:val="47772291"/>
    <w:rsid w:val="51F77181"/>
    <w:rsid w:val="55233E35"/>
    <w:rsid w:val="5E1E0ACC"/>
    <w:rsid w:val="62A5476F"/>
    <w:rsid w:val="65233802"/>
    <w:rsid w:val="6A511A1B"/>
    <w:rsid w:val="6E4861B3"/>
    <w:rsid w:val="73EC233E"/>
    <w:rsid w:val="7D6A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28"/>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8">
    <w:name w:val="Subtitle"/>
    <w:basedOn w:val="1"/>
    <w:next w:val="1"/>
    <w:link w:val="21"/>
    <w:qFormat/>
    <w:uiPriority w:val="11"/>
    <w:pPr>
      <w:spacing w:before="240" w:after="60" w:line="312" w:lineRule="auto"/>
      <w:jc w:val="center"/>
      <w:outlineLvl w:val="1"/>
    </w:pPr>
    <w:rPr>
      <w:rFonts w:ascii="Cambria" w:hAnsi="Cambria"/>
      <w:b/>
      <w:bCs/>
      <w:kern w:val="28"/>
      <w:sz w:val="32"/>
      <w:szCs w:val="32"/>
    </w:rPr>
  </w:style>
  <w:style w:type="paragraph" w:styleId="9">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rFonts w:cs="Times New Roman"/>
      <w:b/>
      <w:bCs/>
    </w:rPr>
  </w:style>
  <w:style w:type="character" w:styleId="13">
    <w:name w:val="Hyperlink"/>
    <w:qFormat/>
    <w:uiPriority w:val="99"/>
    <w:rPr>
      <w:color w:val="0000FF"/>
      <w:u w:val="single"/>
    </w:r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批注框文本 Char"/>
    <w:link w:val="4"/>
    <w:semiHidden/>
    <w:qFormat/>
    <w:uiPriority w:val="99"/>
    <w:rPr>
      <w:sz w:val="18"/>
      <w:szCs w:val="18"/>
    </w:rPr>
  </w:style>
  <w:style w:type="paragraph" w:customStyle="1" w:styleId="18">
    <w:name w:val="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9">
    <w:name w:val="标题 1 Char"/>
    <w:link w:val="2"/>
    <w:qFormat/>
    <w:uiPriority w:val="9"/>
    <w:rPr>
      <w:rFonts w:eastAsia="黑体"/>
      <w:b/>
      <w:bCs/>
      <w:kern w:val="44"/>
      <w:sz w:val="32"/>
      <w:szCs w:val="44"/>
    </w:rPr>
  </w:style>
  <w:style w:type="character" w:customStyle="1" w:styleId="20">
    <w:name w:val="标题 2 Char"/>
    <w:link w:val="3"/>
    <w:qFormat/>
    <w:uiPriority w:val="9"/>
    <w:rPr>
      <w:rFonts w:ascii="Cambria" w:hAnsi="Cambria"/>
      <w:b/>
      <w:bCs/>
      <w:kern w:val="2"/>
      <w:sz w:val="28"/>
      <w:szCs w:val="32"/>
    </w:rPr>
  </w:style>
  <w:style w:type="character" w:customStyle="1" w:styleId="21">
    <w:name w:val="副标题 Char"/>
    <w:link w:val="8"/>
    <w:qFormat/>
    <w:uiPriority w:val="11"/>
    <w:rPr>
      <w:rFonts w:ascii="Cambria" w:hAnsi="Cambria" w:cs="Times New Roman"/>
      <w:b/>
      <w:bCs/>
      <w:kern w:val="28"/>
      <w:sz w:val="32"/>
      <w:szCs w:val="32"/>
    </w:rPr>
  </w:style>
  <w:style w:type="character" w:customStyle="1" w:styleId="22">
    <w:name w:val="txt4"/>
    <w:basedOn w:val="11"/>
    <w:qFormat/>
    <w:uiPriority w:val="99"/>
    <w:rPr>
      <w:rFonts w:cs="Times New Roman"/>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B30E0-ADCC-47EA-89EA-FE6058A689E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821</Words>
  <Characters>4681</Characters>
  <Lines>39</Lines>
  <Paragraphs>10</Paragraphs>
  <ScaleCrop>false</ScaleCrop>
  <LinksUpToDate>false</LinksUpToDate>
  <CharactersWithSpaces>5492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2017-08-03T06:47:00Z</dcterms:created>
  <dc:creator>AutoBVT</dc:creator>
  <cp:lastModifiedBy>Administrator</cp:lastModifiedBy>
  <dcterms:modified xsi:type="dcterms:W3CDTF">2017-09-01T05:01:12Z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