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pPr>
      <w:r>
        <w:drawing>
          <wp:anchor distT="0" distB="0" distL="114300" distR="114300" simplePos="0" relativeHeight="251656192" behindDoc="1" locked="0" layoutInCell="1" allowOverlap="1">
            <wp:simplePos x="0" y="0"/>
            <wp:positionH relativeFrom="column">
              <wp:posOffset>-777875</wp:posOffset>
            </wp:positionH>
            <wp:positionV relativeFrom="paragraph">
              <wp:posOffset>-882650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6"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pPr>
        <w:spacing w:line="400" w:lineRule="exact"/>
      </w:pPr>
      <w:r>
        <mc:AlternateContent>
          <mc:Choice Requires="wps">
            <w:drawing>
              <wp:anchor distT="0" distB="0" distL="114300" distR="114300" simplePos="0" relativeHeight="251657216" behindDoc="0" locked="0" layoutInCell="1" allowOverlap="1">
                <wp:simplePos x="0" y="0"/>
                <wp:positionH relativeFrom="column">
                  <wp:posOffset>468630</wp:posOffset>
                </wp:positionH>
                <wp:positionV relativeFrom="paragraph">
                  <wp:posOffset>7447915</wp:posOffset>
                </wp:positionV>
                <wp:extent cx="5322570" cy="1405890"/>
                <wp:effectExtent l="0" t="0" r="0" b="0"/>
                <wp:wrapNone/>
                <wp:docPr id="1" name="文本框 2"/>
                <wp:cNvGraphicFramePr/>
                <a:graphic xmlns:a="http://schemas.openxmlformats.org/drawingml/2006/main">
                  <a:graphicData uri="http://schemas.microsoft.com/office/word/2010/wordprocessingShape">
                    <wps:wsp>
                      <wps:cNvSpPr txBox="1"/>
                      <wps:spPr>
                        <a:xfrm>
                          <a:off x="0" y="0"/>
                          <a:ext cx="5322570" cy="1405890"/>
                        </a:xfrm>
                        <a:prstGeom prst="rect">
                          <a:avLst/>
                        </a:prstGeom>
                        <a:noFill/>
                        <a:ln w="9525">
                          <a:noFill/>
                        </a:ln>
                      </wps:spPr>
                      <wps:txbx>
                        <w:txbxContent>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责任编辑：王璐</w:t>
                            </w:r>
                          </w:p>
                          <w:p>
                            <w:pPr>
                              <w:pStyle w:val="18"/>
                              <w:rPr>
                                <w:rFonts w:ascii="黑体" w:hAnsi="宋体" w:eastAsia="黑体"/>
                                <w:kern w:val="2"/>
                                <w:sz w:val="24"/>
                                <w:szCs w:val="24"/>
                                <w:lang w:eastAsia="zh-CN"/>
                              </w:rPr>
                            </w:pPr>
                            <w:r>
                              <w:rPr>
                                <w:rFonts w:hint="eastAsia" w:ascii="黑体" w:hAnsi="宋体" w:eastAsia="黑体"/>
                                <w:bCs/>
                                <w:kern w:val="2"/>
                                <w:sz w:val="24"/>
                                <w:szCs w:val="24"/>
                                <w:lang w:eastAsia="zh-CN"/>
                              </w:rPr>
                              <w:t>电  话：</w:t>
                            </w:r>
                            <w:r>
                              <w:rPr>
                                <w:rFonts w:ascii="黑体" w:hAnsi="宋体" w:eastAsia="黑体"/>
                                <w:bCs/>
                                <w:kern w:val="2"/>
                                <w:sz w:val="24"/>
                                <w:szCs w:val="24"/>
                                <w:lang w:eastAsia="zh-CN"/>
                              </w:rPr>
                              <w:t>18513790720</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传  真：86-010-</w:t>
                            </w:r>
                            <w:r>
                              <w:rPr>
                                <w:rFonts w:ascii="黑体" w:hAnsi="宋体" w:eastAsia="黑体"/>
                                <w:bCs/>
                                <w:kern w:val="2"/>
                                <w:sz w:val="24"/>
                                <w:szCs w:val="24"/>
                                <w:lang w:eastAsia="zh-CN"/>
                              </w:rPr>
                              <w:t>85725399</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编辑邮箱：</w:t>
                            </w:r>
                            <w:r>
                              <w:rPr>
                                <w:rFonts w:ascii="黑体" w:hAnsi="宋体" w:eastAsia="黑体"/>
                                <w:bCs/>
                                <w:kern w:val="2"/>
                                <w:sz w:val="24"/>
                                <w:szCs w:val="24"/>
                                <w:lang w:eastAsia="zh-CN"/>
                              </w:rPr>
                              <w:t>gxy@chinaccm.com</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北京市朝阳区高碑店东区B区8-1 邮编：100022</w:t>
                            </w:r>
                          </w:p>
                          <w:p>
                            <w:pPr>
                              <w:jc w:val="left"/>
                            </w:pPr>
                          </w:p>
                          <w:p>
                            <w:pPr>
                              <w:jc w:val="left"/>
                            </w:pPr>
                          </w:p>
                        </w:txbxContent>
                      </wps:txbx>
                      <wps:bodyPr upright="1"/>
                    </wps:wsp>
                  </a:graphicData>
                </a:graphic>
              </wp:anchor>
            </w:drawing>
          </mc:Choice>
          <mc:Fallback>
            <w:pict>
              <v:shape id="文本框 2" o:spid="_x0000_s1026" o:spt="202" type="#_x0000_t202" style="position:absolute;left:0pt;margin-left:36.9pt;margin-top:586.45pt;height:110.7pt;width:419.1pt;z-index:251657216;mso-width-relative:page;mso-height-relative:page;" filled="f" stroked="f" coordsize="21600,21600" o:gfxdata="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ZTdmEtkAAAAMAQAADwAAAAAAAAABACAA&#10;AAAiAAAAZHJzL2Rvd25yZXYueG1sUEsBAhQAFAAAAAgAh07iQPgmI/2aAQAACgMAAA4AAAAAAAAA&#10;AQAgAAAAKAEAAGRycy9lMm9Eb2MueG1sUEsFBgAAAAAGAAYAWQEAADQFAAAAAA==&#10;">
                <v:fill on="f" focussize="0,0"/>
                <v:stroke on="f"/>
                <v:imagedata o:title=""/>
                <o:lock v:ext="edit" aspectratio="f"/>
                <v:textbox>
                  <w:txbxContent>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责任编辑：王璐</w:t>
                      </w:r>
                    </w:p>
                    <w:p>
                      <w:pPr>
                        <w:pStyle w:val="18"/>
                        <w:rPr>
                          <w:rFonts w:ascii="黑体" w:hAnsi="宋体" w:eastAsia="黑体"/>
                          <w:kern w:val="2"/>
                          <w:sz w:val="24"/>
                          <w:szCs w:val="24"/>
                          <w:lang w:eastAsia="zh-CN"/>
                        </w:rPr>
                      </w:pPr>
                      <w:r>
                        <w:rPr>
                          <w:rFonts w:hint="eastAsia" w:ascii="黑体" w:hAnsi="宋体" w:eastAsia="黑体"/>
                          <w:bCs/>
                          <w:kern w:val="2"/>
                          <w:sz w:val="24"/>
                          <w:szCs w:val="24"/>
                          <w:lang w:eastAsia="zh-CN"/>
                        </w:rPr>
                        <w:t>电  话：</w:t>
                      </w:r>
                      <w:r>
                        <w:rPr>
                          <w:rFonts w:ascii="黑体" w:hAnsi="宋体" w:eastAsia="黑体"/>
                          <w:bCs/>
                          <w:kern w:val="2"/>
                          <w:sz w:val="24"/>
                          <w:szCs w:val="24"/>
                          <w:lang w:eastAsia="zh-CN"/>
                        </w:rPr>
                        <w:t>18513790720</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传  真：86-010-</w:t>
                      </w:r>
                      <w:r>
                        <w:rPr>
                          <w:rFonts w:ascii="黑体" w:hAnsi="宋体" w:eastAsia="黑体"/>
                          <w:bCs/>
                          <w:kern w:val="2"/>
                          <w:sz w:val="24"/>
                          <w:szCs w:val="24"/>
                          <w:lang w:eastAsia="zh-CN"/>
                        </w:rPr>
                        <w:t>85725399</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编辑邮箱：</w:t>
                      </w:r>
                      <w:r>
                        <w:rPr>
                          <w:rFonts w:ascii="黑体" w:hAnsi="宋体" w:eastAsia="黑体"/>
                          <w:bCs/>
                          <w:kern w:val="2"/>
                          <w:sz w:val="24"/>
                          <w:szCs w:val="24"/>
                          <w:lang w:eastAsia="zh-CN"/>
                        </w:rPr>
                        <w:t>gxy@chinaccm.com</w:t>
                      </w:r>
                    </w:p>
                    <w:p>
                      <w:pPr>
                        <w:pStyle w:val="18"/>
                        <w:rPr>
                          <w:rFonts w:ascii="黑体" w:hAnsi="宋体" w:eastAsia="黑体"/>
                          <w:bCs/>
                          <w:kern w:val="2"/>
                          <w:sz w:val="24"/>
                          <w:szCs w:val="24"/>
                          <w:lang w:eastAsia="zh-CN"/>
                        </w:rPr>
                      </w:pPr>
                      <w:r>
                        <w:rPr>
                          <w:rFonts w:hint="eastAsia" w:ascii="黑体" w:hAnsi="宋体" w:eastAsia="黑体"/>
                          <w:bCs/>
                          <w:kern w:val="2"/>
                          <w:sz w:val="24"/>
                          <w:szCs w:val="24"/>
                          <w:lang w:eastAsia="zh-CN"/>
                        </w:rPr>
                        <w:t>地址：</w:t>
                      </w:r>
                      <w:r>
                        <w:rPr>
                          <w:rFonts w:hint="eastAsia" w:ascii="黑体" w:hAnsi="宋体" w:eastAsia="黑体"/>
                          <w:kern w:val="2"/>
                          <w:sz w:val="24"/>
                          <w:szCs w:val="24"/>
                          <w:lang w:eastAsia="zh-CN"/>
                        </w:rPr>
                        <w:t>北京市朝阳区高碑店东区B区8-1 邮编：100022</w:t>
                      </w:r>
                    </w:p>
                    <w:p>
                      <w:pPr>
                        <w:jc w:val="left"/>
                      </w:pPr>
                    </w:p>
                    <w:p>
                      <w:pPr>
                        <w:jc w:val="left"/>
                      </w:pP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column">
                  <wp:posOffset>2228215</wp:posOffset>
                </wp:positionH>
                <wp:positionV relativeFrom="paragraph">
                  <wp:posOffset>6231890</wp:posOffset>
                </wp:positionV>
                <wp:extent cx="1607820" cy="68707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607820" cy="687070"/>
                        </a:xfrm>
                        <a:prstGeom prst="rect">
                          <a:avLst/>
                        </a:prstGeom>
                        <a:noFill/>
                        <a:ln w="9525">
                          <a:noFill/>
                        </a:ln>
                      </wps:spPr>
                      <wps:txbx>
                        <w:txbxContent>
                          <w:p>
                            <w:pPr>
                              <w:pStyle w:val="2"/>
                              <w:numPr>
                                <w:ilvl w:val="0"/>
                                <w:numId w:val="1"/>
                              </w:numPr>
                            </w:pPr>
                            <w:bookmarkStart w:id="37" w:name="_Toc485828984"/>
                            <w:bookmarkStart w:id="38" w:name="_Toc485981320"/>
                            <w:r>
                              <w:rPr>
                                <w:rFonts w:hint="eastAsia"/>
                                <w:kern w:val="2"/>
                              </w:rPr>
                              <w:t>2017.</w:t>
                            </w:r>
                            <w:r>
                              <w:rPr>
                                <w:rFonts w:hint="eastAsia"/>
                                <w:kern w:val="2"/>
                                <w:lang w:val="en-US" w:eastAsia="zh-CN"/>
                              </w:rPr>
                              <w:t>10</w:t>
                            </w:r>
                            <w:r>
                              <w:rPr>
                                <w:rFonts w:hint="eastAsia"/>
                                <w:kern w:val="2"/>
                              </w:rPr>
                              <w:t>.</w:t>
                            </w:r>
                            <w:bookmarkEnd w:id="37"/>
                            <w:bookmarkEnd w:id="38"/>
                            <w:r>
                              <w:rPr>
                                <w:rFonts w:hint="eastAsia"/>
                                <w:kern w:val="2"/>
                                <w:lang w:val="en-US" w:eastAsia="zh-CN"/>
                              </w:rPr>
                              <w:t>13</w:t>
                            </w:r>
                          </w:p>
                        </w:txbxContent>
                      </wps:txbx>
                      <wps:bodyPr upright="1"/>
                    </wps:wsp>
                  </a:graphicData>
                </a:graphic>
              </wp:anchor>
            </w:drawing>
          </mc:Choice>
          <mc:Fallback>
            <w:pict>
              <v:shape id="文本框 3" o:spid="_x0000_s1026" o:spt="202" type="#_x0000_t202" style="position:absolute;left:0pt;margin-left:175.45pt;margin-top:490.7pt;height:54.1pt;width:126.6pt;z-index:251658240;mso-width-relative:page;mso-height-relative:page;" filled="f" stroked="f" coordsize="21600,2160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JhU2xfYAAAADAEAAA8AAAAAAAAAAQAgAAAA&#10;IgAAAGRycy9kb3ducmV2LnhtbFBLAQIUABQAAAAIAIdO4kCQKZSpmQEAAAkDAAAOAAAAAAAAAAEA&#10;IAAAACcBAABkcnMvZTJvRG9jLnhtbFBLBQYAAAAABgAGAFkBAAAyBQAAAAA=&#10;">
                <v:fill on="f" focussize="0,0"/>
                <v:stroke on="f"/>
                <v:imagedata o:title=""/>
                <o:lock v:ext="edit" aspectratio="f"/>
                <v:textbox>
                  <w:txbxContent>
                    <w:p>
                      <w:pPr>
                        <w:pStyle w:val="2"/>
                        <w:numPr>
                          <w:ilvl w:val="0"/>
                          <w:numId w:val="1"/>
                        </w:numPr>
                      </w:pPr>
                      <w:bookmarkStart w:id="37" w:name="_Toc485828984"/>
                      <w:bookmarkStart w:id="38" w:name="_Toc485981320"/>
                      <w:r>
                        <w:rPr>
                          <w:rFonts w:hint="eastAsia"/>
                          <w:kern w:val="2"/>
                        </w:rPr>
                        <w:t>2017.</w:t>
                      </w:r>
                      <w:r>
                        <w:rPr>
                          <w:rFonts w:hint="eastAsia"/>
                          <w:kern w:val="2"/>
                          <w:lang w:val="en-US" w:eastAsia="zh-CN"/>
                        </w:rPr>
                        <w:t>10</w:t>
                      </w:r>
                      <w:r>
                        <w:rPr>
                          <w:rFonts w:hint="eastAsia"/>
                          <w:kern w:val="2"/>
                        </w:rPr>
                        <w:t>.</w:t>
                      </w:r>
                      <w:bookmarkEnd w:id="37"/>
                      <w:bookmarkEnd w:id="38"/>
                      <w:r>
                        <w:rPr>
                          <w:rFonts w:hint="eastAsia"/>
                          <w:kern w:val="2"/>
                          <w:lang w:val="en-US" w:eastAsia="zh-CN"/>
                        </w:rPr>
                        <w:t>13</w:t>
                      </w:r>
                    </w:p>
                  </w:txbxContent>
                </v:textbox>
              </v:shape>
            </w:pict>
          </mc:Fallback>
        </mc:AlternateContent>
      </w:r>
      <w:r>
        <w:br w:type="page"/>
      </w:r>
    </w:p>
    <w:p>
      <w:pPr>
        <w:pStyle w:val="2"/>
        <w:spacing w:line="400" w:lineRule="exact"/>
        <w:rPr>
          <w:rFonts w:ascii="宋体" w:hAnsi="宋体"/>
          <w:sz w:val="24"/>
          <w:szCs w:val="24"/>
        </w:rPr>
      </w:pPr>
      <w:bookmarkStart w:id="0" w:name="_Toc485828985"/>
      <w:bookmarkStart w:id="39" w:name="_GoBack"/>
      <w:bookmarkEnd w:id="39"/>
      <w: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440690</wp:posOffset>
                </wp:positionV>
                <wp:extent cx="6248400" cy="7179310"/>
                <wp:effectExtent l="0" t="0" r="0" b="0"/>
                <wp:wrapNone/>
                <wp:docPr id="4" name="文本框 4"/>
                <wp:cNvGraphicFramePr/>
                <a:graphic xmlns:a="http://schemas.openxmlformats.org/drawingml/2006/main">
                  <a:graphicData uri="http://schemas.microsoft.com/office/word/2010/wordprocessingShape">
                    <wps:wsp>
                      <wps:cNvSpPr txBox="1"/>
                      <wps:spPr>
                        <a:xfrm>
                          <a:off x="0" y="0"/>
                          <a:ext cx="6248400" cy="7179310"/>
                        </a:xfrm>
                        <a:prstGeom prst="rect">
                          <a:avLst/>
                        </a:prstGeom>
                        <a:noFill/>
                        <a:ln w="9525">
                          <a:noFill/>
                        </a:ln>
                      </wps:spPr>
                      <wps:txbx>
                        <w:txbxContent>
                          <w:p>
                            <w:pPr>
                              <w:pStyle w:val="18"/>
                              <w:spacing w:line="240" w:lineRule="auto"/>
                              <w:jc w:val="center"/>
                              <w:rPr>
                                <w:rFonts w:ascii="宋体"/>
                                <w:b/>
                                <w:color w:val="000080"/>
                                <w:sz w:val="28"/>
                                <w:szCs w:val="28"/>
                                <w:lang w:eastAsia="zh-CN"/>
                              </w:rPr>
                            </w:pPr>
                            <w:r>
                              <w:rPr>
                                <w:rFonts w:hint="eastAsia" w:ascii="宋体" w:hAnsi="宋体"/>
                                <w:b/>
                                <w:color w:val="000080"/>
                                <w:sz w:val="28"/>
                                <w:szCs w:val="28"/>
                                <w:lang w:eastAsia="zh-CN"/>
                              </w:rPr>
                              <w:t>氯碱市场周报目录</w:t>
                            </w:r>
                            <w:r>
                              <w:rPr>
                                <w:rFonts w:ascii="宋体" w:hAnsi="宋体"/>
                                <w:b/>
                                <w:color w:val="000000"/>
                                <w:sz w:val="28"/>
                                <w:szCs w:val="28"/>
                                <w:lang w:eastAsia="zh-CN"/>
                              </w:rPr>
                              <w:tab/>
                            </w:r>
                            <w:r>
                              <w:rPr>
                                <w:rFonts w:ascii="宋体" w:hAnsi="宋体"/>
                                <w:b/>
                                <w:color w:val="000000"/>
                                <w:sz w:val="28"/>
                                <w:szCs w:val="28"/>
                                <w:lang w:eastAsia="zh-CN"/>
                              </w:rPr>
                              <w:tab/>
                            </w:r>
                          </w:p>
                          <w:p>
                            <w:pPr>
                              <w:pStyle w:val="7"/>
                              <w:rPr>
                                <w:rFonts w:ascii="Times New Roman" w:hAnsi="Times New Roman"/>
                                <w:b w:val="0"/>
                                <w:bCs w:val="0"/>
                                <w:caps w:val="0"/>
                                <w:color w:val="auto"/>
                                <w:sz w:val="21"/>
                              </w:rPr>
                            </w:pPr>
                            <w:r>
                              <w:rPr>
                                <w:szCs w:val="20"/>
                              </w:rPr>
                              <w:fldChar w:fldCharType="begin"/>
                            </w:r>
                            <w:r>
                              <w:rPr>
                                <w:szCs w:val="20"/>
                              </w:rPr>
                              <w:instrText xml:space="preserve"> TOC \o "1-3" \h \z \u </w:instrText>
                            </w:r>
                            <w:r>
                              <w:rPr>
                                <w:szCs w:val="20"/>
                              </w:rPr>
                              <w:fldChar w:fldCharType="separate"/>
                            </w:r>
                            <w:r>
                              <w:fldChar w:fldCharType="begin"/>
                            </w:r>
                            <w:r>
                              <w:instrText xml:space="preserve"> HYPERLINK \l "_Toc392240276" </w:instrText>
                            </w:r>
                            <w:r>
                              <w:fldChar w:fldCharType="separate"/>
                            </w:r>
                            <w:r>
                              <w:rPr>
                                <w:rStyle w:val="13"/>
                                <w:rFonts w:hint="eastAsia"/>
                              </w:rPr>
                              <w:t>纯碱</w:t>
                            </w:r>
                            <w:r>
                              <w:tab/>
                            </w:r>
                            <w:r>
                              <w:fldChar w:fldCharType="begin"/>
                            </w:r>
                            <w:r>
                              <w:instrText xml:space="preserve"> PAGEREF _Toc392240276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"_Toc392240277" </w:instrText>
                            </w:r>
                            <w:r>
                              <w:fldChar w:fldCharType="separate"/>
                            </w:r>
                            <w:r>
                              <w:rPr>
                                <w:rStyle w:val="13"/>
                                <w:rFonts w:hint="eastAsia" w:ascii="黑体"/>
                              </w:rPr>
                              <w:t>评述：本周纯碱市场评述及行情预测</w:t>
                            </w:r>
                            <w:r>
                              <w:tab/>
                            </w:r>
                            <w:r>
                              <w:fldChar w:fldCharType="begin"/>
                            </w:r>
                            <w:r>
                              <w:instrText xml:space="preserve"> PAGEREF _Toc392240277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"_Toc392240278" </w:instrText>
                            </w:r>
                            <w:r>
                              <w:fldChar w:fldCharType="separate"/>
                            </w:r>
                            <w:r>
                              <w:rPr>
                                <w:rStyle w:val="13"/>
                                <w:rFonts w:hint="eastAsia" w:ascii="黑体"/>
                              </w:rPr>
                              <w:t>本周国内纯碱市场价格</w:t>
                            </w:r>
                            <w:r>
                              <w:tab/>
                            </w:r>
                            <w:r>
                              <w:rPr>
                                <w:rFonts w:hint="eastAsia"/>
                              </w:rPr>
                              <w:t>4</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"_Toc392240279" </w:instrText>
                            </w:r>
                            <w:r>
                              <w:fldChar w:fldCharType="separate"/>
                            </w:r>
                            <w:r>
                              <w:rPr>
                                <w:rStyle w:val="13"/>
                                <w:rFonts w:hint="eastAsia"/>
                              </w:rPr>
                              <w:t>烧碱</w:t>
                            </w:r>
                            <w:r>
                              <w:tab/>
                            </w:r>
                            <w:r>
                              <w:rPr>
                                <w:rFonts w:hint="eastAsia"/>
                                <w:lang w:val="en-US" w:eastAsia="zh-CN"/>
                              </w:rPr>
                              <w:t>5</w:t>
                            </w:r>
                            <w:r>
                              <w:rPr>
                                <w:rFonts w:hint="eastAsia"/>
                              </w:rPr>
                              <w:fldChar w:fldCharType="end"/>
                            </w:r>
                          </w:p>
                          <w:p>
                            <w:pPr>
                              <w:pStyle w:val="9"/>
                              <w:rPr>
                                <w:smallCaps w:val="0"/>
                                <w:color w:val="auto"/>
                                <w:sz w:val="21"/>
                              </w:rPr>
                            </w:pPr>
                            <w:r>
                              <w:rPr>
                                <w:rFonts w:hint="eastAsia"/>
                                <w:lang w:eastAsia="zh-CN"/>
                              </w:rPr>
                              <w:t>评述：</w:t>
                            </w:r>
                            <w:r>
                              <w:fldChar w:fldCharType="begin"/>
                            </w:r>
                            <w:r>
                              <w:instrText xml:space="preserve"> HYPERLINK \l "_Toc392240280" </w:instrText>
                            </w:r>
                            <w:r>
                              <w:fldChar w:fldCharType="separate"/>
                            </w:r>
                            <w:r>
                              <w:rPr>
                                <w:rStyle w:val="13"/>
                                <w:rFonts w:hint="eastAsia" w:ascii="黑体"/>
                              </w:rPr>
                              <w:t>本周</w:t>
                            </w:r>
                            <w:r>
                              <w:rPr>
                                <w:rStyle w:val="13"/>
                                <w:rFonts w:hint="eastAsia" w:ascii="黑体"/>
                                <w:lang w:eastAsia="zh-CN"/>
                              </w:rPr>
                              <w:t>烧</w:t>
                            </w:r>
                            <w:r>
                              <w:rPr>
                                <w:rStyle w:val="13"/>
                                <w:rFonts w:hint="eastAsia" w:ascii="黑体"/>
                              </w:rPr>
                              <w:t>碱市场评述及行情预测</w:t>
                            </w:r>
                            <w:r>
                              <w:tab/>
                            </w:r>
                            <w:r>
                              <w:rPr>
                                <w:rFonts w:hint="eastAsia"/>
                                <w:lang w:val="en-US" w:eastAsia="zh-CN"/>
                              </w:rPr>
                              <w:t>5</w:t>
                            </w:r>
                            <w:r>
                              <w:rPr>
                                <w:rFonts w:hint="eastAsia"/>
                              </w:rPr>
                              <w:fldChar w:fldCharType="end"/>
                            </w:r>
                          </w:p>
                          <w:p>
                            <w:pPr>
                              <w:pStyle w:val="9"/>
                              <w:rPr>
                                <w:smallCaps w:val="0"/>
                                <w:color w:val="auto"/>
                                <w:sz w:val="21"/>
                              </w:rPr>
                            </w:pPr>
                            <w:r>
                              <w:fldChar w:fldCharType="begin"/>
                            </w:r>
                            <w:r>
                              <w:instrText xml:space="preserve"> HYPERLINK \l "_Toc392240281" </w:instrText>
                            </w:r>
                            <w:r>
                              <w:fldChar w:fldCharType="separate"/>
                            </w:r>
                            <w:r>
                              <w:rPr>
                                <w:rStyle w:val="13"/>
                                <w:rFonts w:ascii="黑体"/>
                              </w:rPr>
                              <w:t>32%</w:t>
                            </w:r>
                            <w:r>
                              <w:rPr>
                                <w:rStyle w:val="13"/>
                                <w:rFonts w:hint="eastAsia" w:ascii="黑体"/>
                              </w:rPr>
                              <w:t>离子膜价格</w:t>
                            </w:r>
                            <w:r>
                              <w:tab/>
                            </w:r>
                            <w:r>
                              <w:rPr>
                                <w:rFonts w:hint="eastAsia"/>
                                <w:lang w:val="en-US" w:eastAsia="zh-CN"/>
                              </w:rPr>
                              <w:t>7</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"_Toc392240282" </w:instrText>
                            </w:r>
                            <w:r>
                              <w:fldChar w:fldCharType="separate"/>
                            </w:r>
                            <w:r>
                              <w:rPr>
                                <w:rStyle w:val="13"/>
                                <w:rFonts w:hint="eastAsia" w:ascii="黑体" w:eastAsia="黑体"/>
                              </w:rPr>
                              <w:t>液氯</w:t>
                            </w:r>
                            <w:r>
                              <w:tab/>
                            </w:r>
                            <w:r>
                              <w:rPr>
                                <w:rFonts w:hint="eastAsia"/>
                                <w:lang w:val="en-US" w:eastAsia="zh-CN"/>
                              </w:rPr>
                              <w:t>7</w:t>
                            </w:r>
                            <w:r>
                              <w:rPr>
                                <w:rFonts w:hint="eastAsia"/>
                              </w:rPr>
                              <w:fldChar w:fldCharType="end"/>
                            </w:r>
                          </w:p>
                          <w:p>
                            <w:pPr>
                              <w:pStyle w:val="9"/>
                              <w:rPr>
                                <w:smallCaps w:val="0"/>
                                <w:color w:val="auto"/>
                                <w:sz w:val="21"/>
                              </w:rPr>
                            </w:pPr>
                            <w:r>
                              <w:fldChar w:fldCharType="begin"/>
                            </w:r>
                            <w:r>
                              <w:instrText xml:space="preserve"> HYPERLINK \l "_Toc392240283" </w:instrText>
                            </w:r>
                            <w:r>
                              <w:fldChar w:fldCharType="separate"/>
                            </w:r>
                            <w:r>
                              <w:rPr>
                                <w:rStyle w:val="13"/>
                                <w:rFonts w:hint="eastAsia"/>
                              </w:rPr>
                              <w:t>评述：本周国内液氯市场评述及行情预测</w:t>
                            </w:r>
                            <w:r>
                              <w:tab/>
                            </w:r>
                            <w:r>
                              <w:rPr>
                                <w:rFonts w:hint="eastAsia"/>
                                <w:lang w:val="en-US" w:eastAsia="zh-CN"/>
                              </w:rPr>
                              <w:t>7</w:t>
                            </w:r>
                            <w:r>
                              <w:rPr>
                                <w:rFonts w:hint="eastAsia"/>
                              </w:rPr>
                              <w:fldChar w:fldCharType="end"/>
                            </w:r>
                          </w:p>
                          <w:p>
                            <w:pPr>
                              <w:pStyle w:val="7"/>
                              <w:rPr>
                                <w:rFonts w:ascii="Calibri" w:hAnsi="Calibri"/>
                                <w:b w:val="0"/>
                                <w:bCs w:val="0"/>
                                <w:caps w:val="0"/>
                                <w:color w:val="auto"/>
                                <w:sz w:val="21"/>
                                <w:szCs w:val="22"/>
                              </w:rPr>
                            </w:pPr>
                            <w:r>
                              <w:fldChar w:fldCharType="begin"/>
                            </w:r>
                            <w:r>
                              <w:instrText xml:space="preserve"> HYPERLINK \l "_Toc392240284" </w:instrText>
                            </w:r>
                            <w:r>
                              <w:fldChar w:fldCharType="separate"/>
                            </w:r>
                            <w:r>
                              <w:rPr>
                                <w:rStyle w:val="13"/>
                                <w:rFonts w:hint="eastAsia" w:ascii="黑体"/>
                              </w:rPr>
                              <w:t>国内地区市场价格</w:t>
                            </w:r>
                            <w:r>
                              <w:tab/>
                            </w:r>
                            <w:r>
                              <w:rPr>
                                <w:rFonts w:hint="eastAsia"/>
                                <w:lang w:val="en-US" w:eastAsia="zh-CN"/>
                              </w:rPr>
                              <w:t>1</w:t>
                            </w:r>
                            <w:r>
                              <w:rPr>
                                <w:rFonts w:hint="eastAsia"/>
                              </w:rPr>
                              <w:fldChar w:fldCharType="end"/>
                            </w:r>
                            <w:r>
                              <w:rPr>
                                <w:rFonts w:hint="eastAsia"/>
                                <w:lang w:val="en-US" w:eastAsia="zh-CN"/>
                              </w:rPr>
                              <w:t>0</w:t>
                            </w:r>
                          </w:p>
                          <w:p>
                            <w:r>
                              <w:fldChar w:fldCharType="end"/>
                            </w:r>
                          </w:p>
                        </w:txbxContent>
                      </wps:txbx>
                      <wps:bodyPr upright="1"/>
                    </wps:wsp>
                  </a:graphicData>
                </a:graphic>
              </wp:anchor>
            </w:drawing>
          </mc:Choice>
          <mc:Fallback>
            <w:pict>
              <v:shape id="_x0000_s1026" o:spid="_x0000_s1026" o:spt="202" type="#_x0000_t202" style="position:absolute;left:0pt;margin-left:-0.9pt;margin-top:34.7pt;height:565.3pt;width:492pt;z-index:251659264;mso-width-relative:page;mso-height-relative:page;" filled="f" stroked="f" coordsize="21600,21600" o:gfxdata="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g1cDy9YAAAAKAQAADwAAAAAAAAABACAAAAAiAAAA&#10;ZHJzL2Rvd25yZXYueG1sUEsBAhQAFAAAAAgAh07iQEJ0suqXAQAACgMAAA4AAAAAAAAAAQAgAAAA&#10;JQEAAGRycy9lMm9Eb2MueG1sUEsFBgAAAAAGAAYAWQEAAC4FAAAAAA==&#10;">
                <v:fill on="f" focussize="0,0"/>
                <v:stroke on="f"/>
                <v:imagedata o:title=""/>
                <o:lock v:ext="edit" aspectratio="f"/>
                <v:textbox>
                  <w:txbxContent>
                    <w:p>
                      <w:pPr>
                        <w:pStyle w:val="18"/>
                        <w:spacing w:line="240" w:lineRule="auto"/>
                        <w:jc w:val="center"/>
                        <w:rPr>
                          <w:rFonts w:ascii="宋体"/>
                          <w:b/>
                          <w:color w:val="000080"/>
                          <w:sz w:val="28"/>
                          <w:szCs w:val="28"/>
                          <w:lang w:eastAsia="zh-CN"/>
                        </w:rPr>
                      </w:pPr>
                      <w:r>
                        <w:rPr>
                          <w:rFonts w:hint="eastAsia" w:ascii="宋体" w:hAnsi="宋体"/>
                          <w:b/>
                          <w:color w:val="000080"/>
                          <w:sz w:val="28"/>
                          <w:szCs w:val="28"/>
                          <w:lang w:eastAsia="zh-CN"/>
                        </w:rPr>
                        <w:t>氯碱市场周报目录</w:t>
                      </w:r>
                      <w:r>
                        <w:rPr>
                          <w:rFonts w:ascii="宋体" w:hAnsi="宋体"/>
                          <w:b/>
                          <w:color w:val="000000"/>
                          <w:sz w:val="28"/>
                          <w:szCs w:val="28"/>
                          <w:lang w:eastAsia="zh-CN"/>
                        </w:rPr>
                        <w:tab/>
                      </w:r>
                      <w:r>
                        <w:rPr>
                          <w:rFonts w:ascii="宋体" w:hAnsi="宋体"/>
                          <w:b/>
                          <w:color w:val="000000"/>
                          <w:sz w:val="28"/>
                          <w:szCs w:val="28"/>
                          <w:lang w:eastAsia="zh-CN"/>
                        </w:rPr>
                        <w:tab/>
                      </w:r>
                    </w:p>
                    <w:p>
                      <w:pPr>
                        <w:pStyle w:val="7"/>
                        <w:rPr>
                          <w:rFonts w:ascii="Times New Roman" w:hAnsi="Times New Roman"/>
                          <w:b w:val="0"/>
                          <w:bCs w:val="0"/>
                          <w:caps w:val="0"/>
                          <w:color w:val="auto"/>
                          <w:sz w:val="21"/>
                        </w:rPr>
                      </w:pPr>
                      <w:r>
                        <w:rPr>
                          <w:szCs w:val="20"/>
                        </w:rPr>
                        <w:fldChar w:fldCharType="begin"/>
                      </w:r>
                      <w:r>
                        <w:rPr>
                          <w:szCs w:val="20"/>
                        </w:rPr>
                        <w:instrText xml:space="preserve"> TOC \o "1-3" \h \z \u </w:instrText>
                      </w:r>
                      <w:r>
                        <w:rPr>
                          <w:szCs w:val="20"/>
                        </w:rPr>
                        <w:fldChar w:fldCharType="separate"/>
                      </w:r>
                      <w:r>
                        <w:fldChar w:fldCharType="begin"/>
                      </w:r>
                      <w:r>
                        <w:instrText xml:space="preserve"> HYPERLINK \l "_Toc392240276" </w:instrText>
                      </w:r>
                      <w:r>
                        <w:fldChar w:fldCharType="separate"/>
                      </w:r>
                      <w:r>
                        <w:rPr>
                          <w:rStyle w:val="13"/>
                          <w:rFonts w:hint="eastAsia"/>
                        </w:rPr>
                        <w:t>纯碱</w:t>
                      </w:r>
                      <w:r>
                        <w:tab/>
                      </w:r>
                      <w:r>
                        <w:fldChar w:fldCharType="begin"/>
                      </w:r>
                      <w:r>
                        <w:instrText xml:space="preserve"> PAGEREF _Toc392240276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"_Toc392240277" </w:instrText>
                      </w:r>
                      <w:r>
                        <w:fldChar w:fldCharType="separate"/>
                      </w:r>
                      <w:r>
                        <w:rPr>
                          <w:rStyle w:val="13"/>
                          <w:rFonts w:hint="eastAsia" w:ascii="黑体"/>
                        </w:rPr>
                        <w:t>评述：本周纯碱市场评述及行情预测</w:t>
                      </w:r>
                      <w:r>
                        <w:tab/>
                      </w:r>
                      <w:r>
                        <w:fldChar w:fldCharType="begin"/>
                      </w:r>
                      <w:r>
                        <w:instrText xml:space="preserve"> PAGEREF _Toc392240277 \h </w:instrText>
                      </w:r>
                      <w:r>
                        <w:fldChar w:fldCharType="separate"/>
                      </w:r>
                      <w:r>
                        <w:t>3</w:t>
                      </w:r>
                      <w:r>
                        <w:fldChar w:fldCharType="end"/>
                      </w:r>
                      <w:r>
                        <w:fldChar w:fldCharType="end"/>
                      </w:r>
                    </w:p>
                    <w:p>
                      <w:pPr>
                        <w:pStyle w:val="9"/>
                        <w:rPr>
                          <w:smallCaps w:val="0"/>
                          <w:color w:val="auto"/>
                          <w:sz w:val="21"/>
                        </w:rPr>
                      </w:pPr>
                      <w:r>
                        <w:fldChar w:fldCharType="begin"/>
                      </w:r>
                      <w:r>
                        <w:instrText xml:space="preserve"> HYPERLINK \l "_Toc392240278" </w:instrText>
                      </w:r>
                      <w:r>
                        <w:fldChar w:fldCharType="separate"/>
                      </w:r>
                      <w:r>
                        <w:rPr>
                          <w:rStyle w:val="13"/>
                          <w:rFonts w:hint="eastAsia" w:ascii="黑体"/>
                        </w:rPr>
                        <w:t>本周国内纯碱市场价格</w:t>
                      </w:r>
                      <w:r>
                        <w:tab/>
                      </w:r>
                      <w:r>
                        <w:rPr>
                          <w:rFonts w:hint="eastAsia"/>
                        </w:rPr>
                        <w:t>4</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"_Toc392240279" </w:instrText>
                      </w:r>
                      <w:r>
                        <w:fldChar w:fldCharType="separate"/>
                      </w:r>
                      <w:r>
                        <w:rPr>
                          <w:rStyle w:val="13"/>
                          <w:rFonts w:hint="eastAsia"/>
                        </w:rPr>
                        <w:t>烧碱</w:t>
                      </w:r>
                      <w:r>
                        <w:tab/>
                      </w:r>
                      <w:r>
                        <w:rPr>
                          <w:rFonts w:hint="eastAsia"/>
                          <w:lang w:val="en-US" w:eastAsia="zh-CN"/>
                        </w:rPr>
                        <w:t>5</w:t>
                      </w:r>
                      <w:r>
                        <w:rPr>
                          <w:rFonts w:hint="eastAsia"/>
                        </w:rPr>
                        <w:fldChar w:fldCharType="end"/>
                      </w:r>
                    </w:p>
                    <w:p>
                      <w:pPr>
                        <w:pStyle w:val="9"/>
                        <w:rPr>
                          <w:smallCaps w:val="0"/>
                          <w:color w:val="auto"/>
                          <w:sz w:val="21"/>
                        </w:rPr>
                      </w:pPr>
                      <w:r>
                        <w:rPr>
                          <w:rFonts w:hint="eastAsia"/>
                          <w:lang w:eastAsia="zh-CN"/>
                        </w:rPr>
                        <w:t>评述：</w:t>
                      </w:r>
                      <w:r>
                        <w:fldChar w:fldCharType="begin"/>
                      </w:r>
                      <w:r>
                        <w:instrText xml:space="preserve"> HYPERLINK \l "_Toc392240280" </w:instrText>
                      </w:r>
                      <w:r>
                        <w:fldChar w:fldCharType="separate"/>
                      </w:r>
                      <w:r>
                        <w:rPr>
                          <w:rStyle w:val="13"/>
                          <w:rFonts w:hint="eastAsia" w:ascii="黑体"/>
                        </w:rPr>
                        <w:t>本周</w:t>
                      </w:r>
                      <w:r>
                        <w:rPr>
                          <w:rStyle w:val="13"/>
                          <w:rFonts w:hint="eastAsia" w:ascii="黑体"/>
                          <w:lang w:eastAsia="zh-CN"/>
                        </w:rPr>
                        <w:t>烧</w:t>
                      </w:r>
                      <w:r>
                        <w:rPr>
                          <w:rStyle w:val="13"/>
                          <w:rFonts w:hint="eastAsia" w:ascii="黑体"/>
                        </w:rPr>
                        <w:t>碱市场评述及行情预测</w:t>
                      </w:r>
                      <w:r>
                        <w:tab/>
                      </w:r>
                      <w:r>
                        <w:rPr>
                          <w:rFonts w:hint="eastAsia"/>
                          <w:lang w:val="en-US" w:eastAsia="zh-CN"/>
                        </w:rPr>
                        <w:t>5</w:t>
                      </w:r>
                      <w:r>
                        <w:rPr>
                          <w:rFonts w:hint="eastAsia"/>
                        </w:rPr>
                        <w:fldChar w:fldCharType="end"/>
                      </w:r>
                    </w:p>
                    <w:p>
                      <w:pPr>
                        <w:pStyle w:val="9"/>
                        <w:rPr>
                          <w:smallCaps w:val="0"/>
                          <w:color w:val="auto"/>
                          <w:sz w:val="21"/>
                        </w:rPr>
                      </w:pPr>
                      <w:r>
                        <w:fldChar w:fldCharType="begin"/>
                      </w:r>
                      <w:r>
                        <w:instrText xml:space="preserve"> HYPERLINK \l "_Toc392240281" </w:instrText>
                      </w:r>
                      <w:r>
                        <w:fldChar w:fldCharType="separate"/>
                      </w:r>
                      <w:r>
                        <w:rPr>
                          <w:rStyle w:val="13"/>
                          <w:rFonts w:ascii="黑体"/>
                        </w:rPr>
                        <w:t>32%</w:t>
                      </w:r>
                      <w:r>
                        <w:rPr>
                          <w:rStyle w:val="13"/>
                          <w:rFonts w:hint="eastAsia" w:ascii="黑体"/>
                        </w:rPr>
                        <w:t>离子膜价格</w:t>
                      </w:r>
                      <w:r>
                        <w:tab/>
                      </w:r>
                      <w:r>
                        <w:rPr>
                          <w:rFonts w:hint="eastAsia"/>
                          <w:lang w:val="en-US" w:eastAsia="zh-CN"/>
                        </w:rPr>
                        <w:t>7</w:t>
                      </w:r>
                      <w:r>
                        <w:rPr>
                          <w:rFonts w:hint="eastAsia"/>
                        </w:rPr>
                        <w:fldChar w:fldCharType="end"/>
                      </w:r>
                    </w:p>
                    <w:p>
                      <w:pPr>
                        <w:pStyle w:val="7"/>
                        <w:rPr>
                          <w:rFonts w:ascii="Times New Roman" w:hAnsi="Times New Roman"/>
                          <w:b w:val="0"/>
                          <w:bCs w:val="0"/>
                          <w:caps w:val="0"/>
                          <w:color w:val="auto"/>
                          <w:sz w:val="21"/>
                        </w:rPr>
                      </w:pPr>
                      <w:r>
                        <w:fldChar w:fldCharType="begin"/>
                      </w:r>
                      <w:r>
                        <w:instrText xml:space="preserve"> HYPERLINK \l "_Toc392240282" </w:instrText>
                      </w:r>
                      <w:r>
                        <w:fldChar w:fldCharType="separate"/>
                      </w:r>
                      <w:r>
                        <w:rPr>
                          <w:rStyle w:val="13"/>
                          <w:rFonts w:hint="eastAsia" w:ascii="黑体" w:eastAsia="黑体"/>
                        </w:rPr>
                        <w:t>液氯</w:t>
                      </w:r>
                      <w:r>
                        <w:tab/>
                      </w:r>
                      <w:r>
                        <w:rPr>
                          <w:rFonts w:hint="eastAsia"/>
                          <w:lang w:val="en-US" w:eastAsia="zh-CN"/>
                        </w:rPr>
                        <w:t>7</w:t>
                      </w:r>
                      <w:r>
                        <w:rPr>
                          <w:rFonts w:hint="eastAsia"/>
                        </w:rPr>
                        <w:fldChar w:fldCharType="end"/>
                      </w:r>
                    </w:p>
                    <w:p>
                      <w:pPr>
                        <w:pStyle w:val="9"/>
                        <w:rPr>
                          <w:smallCaps w:val="0"/>
                          <w:color w:val="auto"/>
                          <w:sz w:val="21"/>
                        </w:rPr>
                      </w:pPr>
                      <w:r>
                        <w:fldChar w:fldCharType="begin"/>
                      </w:r>
                      <w:r>
                        <w:instrText xml:space="preserve"> HYPERLINK \l "_Toc392240283" </w:instrText>
                      </w:r>
                      <w:r>
                        <w:fldChar w:fldCharType="separate"/>
                      </w:r>
                      <w:r>
                        <w:rPr>
                          <w:rStyle w:val="13"/>
                          <w:rFonts w:hint="eastAsia"/>
                        </w:rPr>
                        <w:t>评述：本周国内液氯市场评述及行情预测</w:t>
                      </w:r>
                      <w:r>
                        <w:tab/>
                      </w:r>
                      <w:r>
                        <w:rPr>
                          <w:rFonts w:hint="eastAsia"/>
                          <w:lang w:val="en-US" w:eastAsia="zh-CN"/>
                        </w:rPr>
                        <w:t>7</w:t>
                      </w:r>
                      <w:r>
                        <w:rPr>
                          <w:rFonts w:hint="eastAsia"/>
                        </w:rPr>
                        <w:fldChar w:fldCharType="end"/>
                      </w:r>
                    </w:p>
                    <w:p>
                      <w:pPr>
                        <w:pStyle w:val="7"/>
                        <w:rPr>
                          <w:rFonts w:ascii="Calibri" w:hAnsi="Calibri"/>
                          <w:b w:val="0"/>
                          <w:bCs w:val="0"/>
                          <w:caps w:val="0"/>
                          <w:color w:val="auto"/>
                          <w:sz w:val="21"/>
                          <w:szCs w:val="22"/>
                        </w:rPr>
                      </w:pPr>
                      <w:r>
                        <w:fldChar w:fldCharType="begin"/>
                      </w:r>
                      <w:r>
                        <w:instrText xml:space="preserve"> HYPERLINK \l "_Toc392240284" </w:instrText>
                      </w:r>
                      <w:r>
                        <w:fldChar w:fldCharType="separate"/>
                      </w:r>
                      <w:r>
                        <w:rPr>
                          <w:rStyle w:val="13"/>
                          <w:rFonts w:hint="eastAsia" w:ascii="黑体"/>
                        </w:rPr>
                        <w:t>国内地区市场价格</w:t>
                      </w:r>
                      <w:r>
                        <w:tab/>
                      </w:r>
                      <w:r>
                        <w:rPr>
                          <w:rFonts w:hint="eastAsia"/>
                          <w:lang w:val="en-US" w:eastAsia="zh-CN"/>
                        </w:rPr>
                        <w:t>1</w:t>
                      </w:r>
                      <w:r>
                        <w:rPr>
                          <w:rFonts w:hint="eastAsia"/>
                        </w:rPr>
                        <w:fldChar w:fldCharType="end"/>
                      </w:r>
                      <w:r>
                        <w:rPr>
                          <w:rFonts w:hint="eastAsia"/>
                          <w:lang w:val="en-US" w:eastAsia="zh-CN"/>
                        </w:rPr>
                        <w:t>0</w:t>
                      </w:r>
                    </w:p>
                    <w:p>
                      <w:r>
                        <w:fldChar w:fldCharType="end"/>
                      </w:r>
                    </w:p>
                  </w:txbxContent>
                </v:textbox>
              </v:shape>
            </w:pict>
          </mc:Fallback>
        </mc:AlternateContent>
      </w:r>
      <w:r>
        <w:br w:type="page"/>
      </w:r>
      <w:bookmarkEnd w:id="0"/>
    </w:p>
    <w:p>
      <w:pPr>
        <w:pStyle w:val="2"/>
        <w:spacing w:line="400" w:lineRule="exact"/>
        <w:jc w:val="center"/>
        <w:rPr>
          <w:szCs w:val="21"/>
        </w:rPr>
      </w:pPr>
      <w:bookmarkStart w:id="1" w:name="_Toc485981321"/>
      <w:bookmarkStart w:id="2" w:name="_Toc392240276"/>
      <w:bookmarkStart w:id="3" w:name="_Toc300238840"/>
      <w:r>
        <w:rPr>
          <w:rFonts w:hint="eastAsia"/>
          <w:szCs w:val="21"/>
        </w:rPr>
        <w:t>纯碱</w:t>
      </w:r>
      <w:bookmarkEnd w:id="1"/>
      <w:bookmarkEnd w:id="2"/>
    </w:p>
    <w:p>
      <w:pPr>
        <w:pStyle w:val="3"/>
        <w:keepNext/>
        <w:keepLines/>
        <w:pageBreakBefore w:val="0"/>
        <w:widowControl w:val="0"/>
        <w:kinsoku/>
        <w:wordWrap/>
        <w:overflowPunct/>
        <w:topLinePunct w:val="0"/>
        <w:autoSpaceDE/>
        <w:autoSpaceDN/>
        <w:bidi w:val="0"/>
        <w:adjustRightInd/>
        <w:snapToGrid w:val="0"/>
        <w:spacing w:before="260" w:after="260" w:line="400" w:lineRule="exact"/>
        <w:ind w:right="-147" w:rightChars="-70"/>
        <w:jc w:val="both"/>
        <w:textAlignment w:val="auto"/>
        <w:outlineLvl w:val="1"/>
        <w:rPr>
          <w:rStyle w:val="22"/>
          <w:rFonts w:hint="eastAsia" w:ascii="黑体" w:hAnsi="黑体" w:eastAsia="黑体"/>
          <w:sz w:val="30"/>
          <w:szCs w:val="30"/>
        </w:rPr>
      </w:pPr>
      <w:bookmarkStart w:id="4" w:name="_Toc392240277"/>
      <w:bookmarkStart w:id="5" w:name="_Toc485981322"/>
    </w:p>
    <w:p>
      <w:pPr>
        <w:pStyle w:val="3"/>
        <w:keepNext/>
        <w:keepLines/>
        <w:pageBreakBefore w:val="0"/>
        <w:widowControl w:val="0"/>
        <w:kinsoku/>
        <w:wordWrap/>
        <w:overflowPunct/>
        <w:topLinePunct w:val="0"/>
        <w:autoSpaceDE/>
        <w:autoSpaceDN/>
        <w:bidi w:val="0"/>
        <w:adjustRightInd/>
        <w:snapToGrid w:val="0"/>
        <w:spacing w:before="0" w:beforeAutospacing="0" w:after="0" w:afterAutospacing="0" w:line="400" w:lineRule="exact"/>
        <w:ind w:left="0" w:leftChars="0" w:right="-145" w:rightChars="-69" w:firstLine="602" w:firstLineChars="200"/>
        <w:jc w:val="both"/>
        <w:textAlignment w:val="auto"/>
        <w:outlineLvl w:val="1"/>
        <w:rPr>
          <w:rStyle w:val="22"/>
          <w:rFonts w:ascii="黑体" w:hAnsi="黑体" w:eastAsia="黑体"/>
          <w:sz w:val="30"/>
          <w:szCs w:val="30"/>
        </w:rPr>
      </w:pPr>
      <w:r>
        <w:rPr>
          <w:rStyle w:val="22"/>
          <w:rFonts w:hint="eastAsia" w:ascii="黑体" w:hAnsi="黑体" w:eastAsia="黑体"/>
          <w:sz w:val="30"/>
          <w:szCs w:val="30"/>
        </w:rPr>
        <w:t>评述：本周纯碱市场评述及行情预测</w:t>
      </w:r>
      <w:bookmarkEnd w:id="4"/>
      <w:bookmarkEnd w:id="5"/>
    </w:p>
    <w:p>
      <w:pPr>
        <w:pStyle w:val="24"/>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00" w:lineRule="exact"/>
        <w:ind w:right="0" w:rightChars="0" w:firstLine="600" w:firstLineChars="200"/>
        <w:jc w:val="left"/>
        <w:textAlignment w:val="auto"/>
        <w:outlineLvl w:val="9"/>
        <w:rPr>
          <w:rFonts w:hint="eastAsia" w:ascii="黑体" w:hAnsi="黑体" w:eastAsia="黑体" w:cs="黑体"/>
          <w:kern w:val="0"/>
          <w:sz w:val="30"/>
          <w:szCs w:val="30"/>
          <w:lang w:eastAsia="zh-CN"/>
        </w:rPr>
      </w:pPr>
    </w:p>
    <w:p>
      <w:pPr>
        <w:pStyle w:val="24"/>
        <w:keepNext w:val="0"/>
        <w:keepLines w:val="0"/>
        <w:pageBreakBefore w:val="0"/>
        <w:widowControl/>
        <w:numPr>
          <w:ilvl w:val="0"/>
          <w:numId w:val="2"/>
        </w:numPr>
        <w:kinsoku/>
        <w:wordWrap/>
        <w:overflowPunct/>
        <w:topLinePunct w:val="0"/>
        <w:autoSpaceDE/>
        <w:autoSpaceDN/>
        <w:bidi w:val="0"/>
        <w:adjustRightInd/>
        <w:snapToGrid/>
        <w:spacing w:beforeAutospacing="0" w:afterAutospacing="0" w:line="400" w:lineRule="exact"/>
        <w:ind w:right="0" w:rightChars="0" w:firstLine="600" w:firstLineChars="200"/>
        <w:jc w:val="left"/>
        <w:textAlignment w:val="auto"/>
        <w:outlineLvl w:val="9"/>
        <w:rPr>
          <w:rFonts w:hint="eastAsia" w:ascii="黑体" w:hAnsi="黑体" w:eastAsia="黑体" w:cs="黑体"/>
          <w:kern w:val="0"/>
          <w:sz w:val="30"/>
          <w:szCs w:val="30"/>
        </w:rPr>
      </w:pPr>
      <w:r>
        <w:rPr>
          <w:rFonts w:hint="eastAsia" w:ascii="黑体" w:hAnsi="黑体" w:eastAsia="黑体" w:cs="黑体"/>
          <w:kern w:val="0"/>
          <w:sz w:val="30"/>
          <w:szCs w:val="30"/>
        </w:rPr>
        <w:t>纯碱市场一周</w:t>
      </w:r>
      <w:bookmarkStart w:id="6" w:name="_Toc392240278"/>
      <w:r>
        <w:rPr>
          <w:rFonts w:hint="eastAsia" w:ascii="黑体" w:hAnsi="黑体" w:eastAsia="黑体" w:cs="黑体"/>
          <w:kern w:val="0"/>
          <w:sz w:val="30"/>
          <w:szCs w:val="30"/>
        </w:rPr>
        <w:t>综述</w:t>
      </w:r>
    </w:p>
    <w:p>
      <w:pPr>
        <w:pStyle w:val="24"/>
        <w:keepNext w:val="0"/>
        <w:keepLines w:val="0"/>
        <w:pageBreakBefore w:val="0"/>
        <w:widowControl/>
        <w:numPr>
          <w:numId w:val="0"/>
        </w:numPr>
        <w:kinsoku/>
        <w:wordWrap/>
        <w:overflowPunct/>
        <w:topLinePunct w:val="0"/>
        <w:autoSpaceDE/>
        <w:autoSpaceDN/>
        <w:bidi w:val="0"/>
        <w:adjustRightInd/>
        <w:snapToGrid/>
        <w:spacing w:beforeAutospacing="0" w:afterAutospacing="0" w:line="400" w:lineRule="exact"/>
        <w:ind w:right="0" w:rightChars="0"/>
        <w:jc w:val="left"/>
        <w:textAlignment w:val="auto"/>
        <w:outlineLvl w:val="9"/>
        <w:rPr>
          <w:rFonts w:hint="eastAsia" w:ascii="黑体" w:hAnsi="黑体" w:eastAsia="黑体" w:cs="黑体"/>
          <w:kern w:val="0"/>
          <w:sz w:val="30"/>
          <w:szCs w:val="30"/>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本周国内纯碱市场略显调整,节假日并未放缓涨情，与下游产业成交参差不齐。原料工业盐节后成本略显增加，加之主要下游玻璃行业利润稳定，纯碱市场价格维持高位运行，主流成交重心提涨 100-200 元/吨不等，局部地区调整幅度显著。从市场消息了解来看，节后纯碱企业供应稳定，西北主产区纯碱供应多以合同互供为主。生产企业现货供应表现紧张，重质碱采购需求表现积极，社会库存略显下调。本周市场多盘整为主。</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轻碱主流含税出厂价格：东北出厂2200-2300元元/吨；广东出厂2100-2400元/吨；河北出厂1950-2150元/吨，高端走量以2100-2200元/吨为主；青海出厂1700-1950元/吨；河南参考主流2050-2150元/吨；两湖出厂2100-2200元/吨；西南出厂2000-2100元/吨；山东出厂主要以2150-2170元/吨；江苏出厂2050-2150元/吨；福建出厂1980元/吨左右；云贵地区出厂2100-2200元/吨。</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重碱主流含税送到价格：沙河地区重碱送到价格稳步上调至 2400 元/吨左右，现汇价格略优惠；东北区域重碱主流送到 2400-2500 元/吨；广东重碱送到价格在 2500-2700 元/吨左右；华东片区主流送到以 2250-2600 元/吨为主。</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二、影响市场因素及后市预测</w:t>
      </w: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利好面：</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0" w:leftChars="0"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1.湘潭碱业停车；</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2.节后纯碱市场库存 15 万吨左右，多数碱厂仅余日产； </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rPr>
        <w:t>3.成本端，焦炭价格提涨，石灰石货源难寻，碱企成本及生产增压</w:t>
      </w:r>
      <w:r>
        <w:rPr>
          <w:rFonts w:hint="eastAsia" w:ascii="仿宋" w:hAnsi="仿宋" w:eastAsia="仿宋" w:cs="仿宋"/>
          <w:sz w:val="28"/>
          <w:szCs w:val="28"/>
          <w:lang w:eastAsia="zh-CN"/>
        </w:rPr>
        <w:t>；</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839" w:leftChars="266" w:right="0" w:rightChars="0" w:hanging="280" w:hangingChars="100"/>
        <w:jc w:val="left"/>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.下游各产业备量欠佳，市场货源贸易者多灵活走量，买涨情绪增强；</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0" w:leftChars="0" w:right="0" w:rightChars="0" w:firstLine="562" w:firstLineChars="200"/>
        <w:jc w:val="left"/>
        <w:textAlignment w:val="auto"/>
        <w:outlineLvl w:val="9"/>
        <w:rPr>
          <w:rFonts w:hint="eastAsia" w:ascii="仿宋" w:hAnsi="仿宋" w:eastAsia="仿宋" w:cs="仿宋"/>
          <w:b/>
          <w:bCs/>
          <w:sz w:val="28"/>
          <w:szCs w:val="28"/>
        </w:rPr>
      </w:pPr>
    </w:p>
    <w:p>
      <w:pPr>
        <w:pStyle w:val="10"/>
        <w:pageBreakBefore w:val="0"/>
        <w:kinsoku/>
        <w:wordWrap/>
        <w:overflowPunct/>
        <w:topLinePunct w:val="0"/>
        <w:autoSpaceDE/>
        <w:autoSpaceDN/>
        <w:bidi w:val="0"/>
        <w:adjustRightInd/>
        <w:spacing w:before="0" w:beforeAutospacing="0" w:after="0" w:afterAutospacing="0" w:line="400" w:lineRule="exact"/>
        <w:ind w:firstLine="602" w:firstLineChars="200"/>
        <w:textAlignment w:val="auto"/>
        <w:rPr>
          <w:rFonts w:hint="eastAsia" w:ascii="宋体" w:hAnsi="宋体" w:eastAsia="宋体" w:cs="宋体"/>
          <w:b/>
          <w:bCs/>
          <w:sz w:val="30"/>
          <w:szCs w:val="30"/>
        </w:rPr>
      </w:pPr>
      <w:r>
        <w:rPr>
          <w:rFonts w:hint="eastAsia" w:ascii="宋体" w:hAnsi="宋体" w:eastAsia="宋体" w:cs="宋体"/>
          <w:b/>
          <w:bCs/>
          <w:sz w:val="30"/>
          <w:szCs w:val="30"/>
        </w:rPr>
        <w:t>利空面：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outlineLvl w:val="9"/>
        <w:rPr>
          <w:rFonts w:hint="eastAsia" w:ascii="仿宋" w:hAnsi="仿宋" w:eastAsia="仿宋" w:cs="仿宋"/>
          <w:sz w:val="28"/>
          <w:szCs w:val="28"/>
        </w:rPr>
      </w:pP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1.节后雨雪天气加大货运压力，</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2.下游产业受环保及安全审查生产受限，部分区域需求端削弱显著；</w:t>
      </w:r>
    </w:p>
    <w:p>
      <w:pPr>
        <w:pStyle w:val="10"/>
        <w:keepNext w:val="0"/>
        <w:keepLines w:val="0"/>
        <w:pageBreakBefore w:val="0"/>
        <w:widowControl/>
        <w:numPr>
          <w:ilvl w:val="0"/>
          <w:numId w:val="3"/>
        </w:numPr>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0"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纯碱价格高企，国外进口碱进入国内市场概率增强，市场随时受到波及；</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559" w:leftChars="266" w:right="0" w:rightChars="0" w:firstLine="560" w:firstLineChars="200"/>
        <w:jc w:val="left"/>
        <w:textAlignment w:val="auto"/>
        <w:outlineLvl w:val="9"/>
        <w:rPr>
          <w:rStyle w:val="22"/>
          <w:rFonts w:hint="eastAsia" w:ascii="宋体" w:hAnsi="宋体" w:eastAsia="宋体" w:cs="宋体"/>
          <w:b/>
          <w:bCs/>
          <w:sz w:val="30"/>
          <w:szCs w:val="30"/>
        </w:rPr>
      </w:pPr>
      <w:r>
        <w:rPr>
          <w:rFonts w:hint="eastAsia" w:ascii="仿宋" w:hAnsi="仿宋" w:eastAsia="仿宋" w:cs="仿宋"/>
          <w:sz w:val="28"/>
          <w:szCs w:val="28"/>
          <w:lang w:eastAsia="zh-CN"/>
        </w:rPr>
        <w:t>预测：货紧价扬仍是纯碱市场十月常态。供量低位，需求端近期持续乐观拿货，市场短期尚可保持平稳局势运行。据闻国外进口纯碱即来，加上国内纯碱厂家出口货源回流影响，氛围博弈将起，而市场货源升温空间加大下，预计市场下周仍保持现价盘稳运行</w:t>
      </w:r>
      <w:r>
        <w:rPr>
          <w:rFonts w:hint="eastAsia" w:ascii="仿宋" w:hAnsi="仿宋" w:eastAsia="仿宋" w:cs="仿宋"/>
          <w:sz w:val="28"/>
          <w:szCs w:val="28"/>
        </w:rPr>
        <w:t>。</w:t>
      </w:r>
    </w:p>
    <w:p>
      <w:pPr>
        <w:pStyle w:val="10"/>
        <w:keepNext w:val="0"/>
        <w:keepLines w:val="0"/>
        <w:widowControl/>
        <w:suppressLineNumbers w:val="0"/>
        <w:rPr>
          <w:rStyle w:val="22"/>
          <w:rFonts w:hint="eastAsia" w:ascii="宋体" w:hAnsi="宋体" w:eastAsia="宋体" w:cs="宋体"/>
          <w:b/>
          <w:bCs/>
          <w:kern w:val="0"/>
          <w:sz w:val="30"/>
          <w:szCs w:val="30"/>
        </w:rPr>
      </w:pPr>
      <w:r>
        <w:rPr>
          <w:rStyle w:val="22"/>
          <w:rFonts w:hint="eastAsia" w:ascii="宋体" w:hAnsi="宋体" w:eastAsia="宋体" w:cs="宋体"/>
          <w:b/>
          <w:bCs/>
          <w:sz w:val="30"/>
          <w:szCs w:val="30"/>
        </w:rPr>
        <w:t>本周国内纯碱市场价格</w:t>
      </w:r>
      <w:bookmarkEnd w:id="6"/>
    </w:p>
    <w:tbl>
      <w:tblPr>
        <w:tblStyle w:val="14"/>
        <w:tblW w:w="8720" w:type="dxa"/>
        <w:tblInd w:w="0" w:type="dxa"/>
        <w:tblLayout w:type="fixed"/>
        <w:tblCellMar>
          <w:top w:w="0" w:type="dxa"/>
          <w:left w:w="108" w:type="dxa"/>
          <w:bottom w:w="0" w:type="dxa"/>
          <w:right w:w="108" w:type="dxa"/>
        </w:tblCellMar>
      </w:tblPr>
      <w:tblGrid>
        <w:gridCol w:w="2220"/>
        <w:gridCol w:w="1301"/>
        <w:gridCol w:w="1301"/>
        <w:gridCol w:w="1301"/>
        <w:gridCol w:w="1301"/>
        <w:gridCol w:w="1296"/>
      </w:tblGrid>
      <w:tr>
        <w:tblPrEx>
          <w:tblLayout w:type="fixed"/>
          <w:tblCellMar>
            <w:top w:w="0" w:type="dxa"/>
            <w:left w:w="108" w:type="dxa"/>
            <w:bottom w:w="0" w:type="dxa"/>
            <w:right w:w="108" w:type="dxa"/>
          </w:tblCellMar>
        </w:tblPrEx>
        <w:trPr>
          <w:trHeight w:val="300" w:hRule="atLeast"/>
        </w:trPr>
        <w:tc>
          <w:tcPr>
            <w:tcW w:w="2220"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日期</w:t>
            </w:r>
          </w:p>
        </w:tc>
        <w:tc>
          <w:tcPr>
            <w:tcW w:w="1301" w:type="dxa"/>
            <w:vMerge w:val="restart"/>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p>
        </w:tc>
        <w:tc>
          <w:tcPr>
            <w:tcW w:w="2602"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轻质碱</w:t>
            </w:r>
          </w:p>
        </w:tc>
        <w:tc>
          <w:tcPr>
            <w:tcW w:w="2597" w:type="dxa"/>
            <w:gridSpan w:val="2"/>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重质碱</w:t>
            </w:r>
          </w:p>
        </w:tc>
      </w:tr>
      <w:tr>
        <w:tblPrEx>
          <w:tblLayout w:type="fixed"/>
          <w:tblCellMar>
            <w:top w:w="0" w:type="dxa"/>
            <w:left w:w="108" w:type="dxa"/>
            <w:bottom w:w="0" w:type="dxa"/>
            <w:right w:w="108" w:type="dxa"/>
          </w:tblCellMar>
        </w:tblPrEx>
        <w:trPr>
          <w:trHeight w:val="300" w:hRule="atLeast"/>
        </w:trPr>
        <w:tc>
          <w:tcPr>
            <w:tcW w:w="2220"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hint="eastAsia" w:ascii="宋体" w:hAnsi="宋体" w:eastAsia="宋体" w:cs="宋体"/>
                <w:b/>
                <w:bCs/>
                <w:color w:val="000000"/>
                <w:kern w:val="0"/>
                <w:sz w:val="20"/>
                <w:szCs w:val="20"/>
              </w:rPr>
            </w:pPr>
          </w:p>
        </w:tc>
        <w:tc>
          <w:tcPr>
            <w:tcW w:w="1301" w:type="dxa"/>
            <w:vMerge w:val="continue"/>
            <w:tcBorders>
              <w:top w:val="single" w:color="000000" w:sz="8" w:space="0"/>
              <w:left w:val="single" w:color="000000" w:sz="8" w:space="0"/>
              <w:bottom w:val="single" w:color="000000" w:sz="8" w:space="0"/>
              <w:right w:val="single" w:color="000000" w:sz="8" w:space="0"/>
            </w:tcBorders>
            <w:vAlign w:val="center"/>
          </w:tcPr>
          <w:p>
            <w:pPr>
              <w:widowControl/>
              <w:spacing w:line="400" w:lineRule="exact"/>
              <w:jc w:val="center"/>
              <w:rPr>
                <w:rFonts w:hint="eastAsia" w:ascii="宋体" w:hAnsi="宋体" w:eastAsia="宋体" w:cs="宋体"/>
                <w:b/>
                <w:bCs/>
                <w:color w:val="000000"/>
                <w:kern w:val="0"/>
                <w:sz w:val="20"/>
                <w:szCs w:val="20"/>
              </w:rPr>
            </w:pP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c>
          <w:tcPr>
            <w:tcW w:w="1301"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296" w:type="dxa"/>
            <w:tcBorders>
              <w:top w:val="nil"/>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415"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西南</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2250</w:t>
            </w:r>
          </w:p>
        </w:tc>
        <w:tc>
          <w:tcPr>
            <w:tcW w:w="1301"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2350</w:t>
            </w:r>
          </w:p>
        </w:tc>
        <w:tc>
          <w:tcPr>
            <w:tcW w:w="1296"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2450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西北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1900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2050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2000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2100</w:t>
            </w:r>
          </w:p>
        </w:tc>
      </w:tr>
      <w:tr>
        <w:tblPrEx>
          <w:tblLayout w:type="fixed"/>
          <w:tblCellMar>
            <w:top w:w="0" w:type="dxa"/>
            <w:left w:w="108" w:type="dxa"/>
            <w:bottom w:w="0" w:type="dxa"/>
            <w:right w:w="108" w:type="dxa"/>
          </w:tblCellMar>
        </w:tblPrEx>
        <w:trPr>
          <w:trHeight w:val="9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华中</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2300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2550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2300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2500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color w:val="auto"/>
                <w:sz w:val="20"/>
                <w:szCs w:val="20"/>
                <w:lang w:val="en-US" w:eastAsia="zh-CN"/>
              </w:rPr>
              <w:t>2500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2700</w:t>
            </w:r>
          </w:p>
        </w:tc>
      </w:tr>
      <w:tr>
        <w:tblPrEx>
          <w:tblLayout w:type="fixed"/>
          <w:tblCellMar>
            <w:top w:w="0" w:type="dxa"/>
            <w:left w:w="108" w:type="dxa"/>
            <w:bottom w:w="0" w:type="dxa"/>
            <w:right w:w="108" w:type="dxa"/>
          </w:tblCellMar>
        </w:tblPrEx>
        <w:trPr>
          <w:trHeight w:val="300"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华东</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2150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2350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2250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2600</w:t>
            </w:r>
          </w:p>
        </w:tc>
      </w:tr>
      <w:tr>
        <w:tblPrEx>
          <w:tblLayout w:type="fixed"/>
          <w:tblCellMar>
            <w:top w:w="0" w:type="dxa"/>
            <w:left w:w="108" w:type="dxa"/>
            <w:bottom w:w="0" w:type="dxa"/>
            <w:right w:w="108" w:type="dxa"/>
          </w:tblCellMar>
        </w:tblPrEx>
        <w:trPr>
          <w:trHeight w:val="415"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华北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2100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cs="宋体"/>
                <w:color w:val="auto"/>
                <w:sz w:val="20"/>
                <w:szCs w:val="20"/>
                <w:lang w:val="en-US" w:eastAsia="zh-CN"/>
              </w:rPr>
              <w:t>2300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2500</w:t>
            </w:r>
          </w:p>
        </w:tc>
      </w:tr>
      <w:tr>
        <w:tblPrEx>
          <w:tblLayout w:type="fixed"/>
          <w:tblCellMar>
            <w:top w:w="0" w:type="dxa"/>
            <w:left w:w="108" w:type="dxa"/>
            <w:bottom w:w="0" w:type="dxa"/>
            <w:right w:w="108" w:type="dxa"/>
          </w:tblCellMar>
        </w:tblPrEx>
        <w:trPr>
          <w:trHeight w:val="329" w:hRule="atLeast"/>
        </w:trPr>
        <w:tc>
          <w:tcPr>
            <w:tcW w:w="222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b w:val="0"/>
                <w:i w:val="0"/>
                <w:caps w:val="0"/>
                <w:color w:val="auto"/>
                <w:spacing w:val="0"/>
                <w:sz w:val="20"/>
                <w:szCs w:val="20"/>
                <w:shd w:val="clear" w:fill="FFFFFF"/>
              </w:rPr>
              <w:t>东北</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2200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2300</w:t>
            </w:r>
          </w:p>
        </w:tc>
        <w:tc>
          <w:tcPr>
            <w:tcW w:w="1301"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2400</w:t>
            </w:r>
          </w:p>
        </w:tc>
        <w:tc>
          <w:tcPr>
            <w:tcW w:w="1296"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lang w:val="en-US" w:eastAsia="zh-CN"/>
              </w:rPr>
            </w:pPr>
            <w:r>
              <w:rPr>
                <w:rFonts w:hint="eastAsia" w:ascii="宋体" w:hAnsi="宋体" w:eastAsia="宋体" w:cs="宋体"/>
                <w:b w:val="0"/>
                <w:i w:val="0"/>
                <w:caps w:val="0"/>
                <w:color w:val="auto"/>
                <w:spacing w:val="0"/>
                <w:sz w:val="20"/>
                <w:szCs w:val="20"/>
                <w:shd w:val="clear" w:fill="FFFFFF"/>
              </w:rPr>
              <w:t>2500</w:t>
            </w:r>
          </w:p>
        </w:tc>
      </w:tr>
    </w:tbl>
    <w:p>
      <w:pPr>
        <w:spacing w:line="400" w:lineRule="exact"/>
        <w:jc w:val="center"/>
        <w:rPr>
          <w:rFonts w:hint="eastAsia" w:ascii="仿宋" w:hAnsi="仿宋" w:eastAsia="仿宋"/>
          <w:sz w:val="28"/>
          <w:szCs w:val="28"/>
          <w:lang w:val="en-US" w:eastAsia="zh-CN"/>
        </w:rPr>
      </w:pPr>
    </w:p>
    <w:p>
      <w:pPr>
        <w:pStyle w:val="2"/>
        <w:spacing w:line="400" w:lineRule="exact"/>
        <w:jc w:val="center"/>
        <w:rPr>
          <w:b w:val="0"/>
          <w:color w:val="666699"/>
          <w:szCs w:val="21"/>
        </w:rPr>
      </w:pPr>
      <w:bookmarkStart w:id="7" w:name="_Toc392240279"/>
      <w:bookmarkStart w:id="8" w:name="_Toc485981323"/>
      <w:r>
        <w:rPr>
          <w:rFonts w:hint="eastAsia"/>
        </w:rPr>
        <w:t>烧碱</w:t>
      </w:r>
      <w:bookmarkEnd w:id="3"/>
      <w:bookmarkEnd w:id="7"/>
      <w:bookmarkEnd w:id="8"/>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602" w:firstLineChars="200"/>
        <w:textAlignment w:val="auto"/>
        <w:outlineLvl w:val="9"/>
        <w:rPr>
          <w:rFonts w:hint="eastAsia" w:ascii="黑体" w:hAnsi="黑体" w:eastAsia="黑体" w:cs="黑体"/>
          <w:b/>
          <w:sz w:val="30"/>
          <w:szCs w:val="30"/>
        </w:rPr>
      </w:pPr>
      <w:bookmarkStart w:id="9" w:name="_Toc300238848"/>
      <w:bookmarkStart w:id="10" w:name="_Toc252539754"/>
      <w:bookmarkStart w:id="11" w:name="_Toc295403449"/>
      <w:bookmarkStart w:id="12" w:name="_Toc250731925"/>
    </w:p>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602" w:firstLineChars="200"/>
        <w:textAlignment w:val="auto"/>
        <w:outlineLvl w:val="9"/>
        <w:rPr>
          <w:rFonts w:hint="eastAsia" w:ascii="黑体" w:hAnsi="黑体" w:eastAsia="黑体" w:cs="黑体"/>
          <w:b/>
          <w:sz w:val="30"/>
          <w:szCs w:val="30"/>
        </w:rPr>
      </w:pPr>
      <w:r>
        <w:rPr>
          <w:rFonts w:hint="eastAsia" w:ascii="黑体" w:hAnsi="黑体" w:eastAsia="黑体" w:cs="黑体"/>
          <w:b/>
          <w:sz w:val="30"/>
          <w:szCs w:val="30"/>
        </w:rPr>
        <w:t xml:space="preserve">中国烧碱市场行情综述 </w:t>
      </w:r>
    </w:p>
    <w:bookmarkEnd w:id="9"/>
    <w:bookmarkEnd w:id="10"/>
    <w:bookmarkEnd w:id="11"/>
    <w:bookmarkEnd w:id="12"/>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textAlignment w:val="auto"/>
        <w:outlineLvl w:val="9"/>
        <w:rPr>
          <w:rFonts w:hint="eastAsia" w:ascii="黑体" w:hAnsi="黑体" w:eastAsia="黑体" w:cs="黑体"/>
          <w:sz w:val="30"/>
          <w:szCs w:val="30"/>
          <w:lang w:eastAsia="zh-CN"/>
        </w:rPr>
      </w:pPr>
      <w:bookmarkStart w:id="13" w:name="_Toc264643747"/>
      <w:bookmarkStart w:id="14" w:name="_Toc295403451"/>
      <w:bookmarkStart w:id="15" w:name="_Toc300238850"/>
      <w:bookmarkStart w:id="16" w:name="_Toc392240280"/>
    </w:p>
    <w:p>
      <w:pPr>
        <w:pStyle w:val="10"/>
        <w:keepNext w:val="0"/>
        <w:keepLines w:val="0"/>
        <w:pageBreakBefore w:val="0"/>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市场综述</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kern w:val="0"/>
          <w:sz w:val="28"/>
          <w:szCs w:val="28"/>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本周烧碱市场持续上行，各地区液碱的成交价格均有不同程度上涨，局部地区上行幅度达到100元/吨，部分地区片碱价格上涨400-500元/吨。节后国内氯碱企业开工不足，市场整体仍成观望状态，下游对不断上涨的烧碱价格持排斥态度。国内液碱装置开工负荷基本保持在80%左右，产量稳定。下游氧化铝价格持续上涨，且其开工负荷较高，采购液碱价格上涨100元/吨，带动当地液碱价格上行，支撑周边地区液碱企业出厂价格持续跟涨。近半个月，华北地区由于国庆假期、十九大召开、《京津冀及周边地区 2017 年大气污染防治工作方案》等影响下，河北、天津及山东局部地区液碱企业减负荷运行。此外，国内下游化纤行业开工负荷较足，对液碱采购较为积极，也从一定程度上利好国内液碱市场。国内片碱预售顺利，配套片碱加工装置的企业主要生产片碱，液碱的产量减少，区内的整体成交水平拉涨；其他各地区烧碱的调整，多建立在供应紧张的背景之下，加之需求尚可，价格提升较为顺利。</w:t>
      </w:r>
    </w:p>
    <w:p>
      <w:pPr>
        <w:pStyle w:val="10"/>
        <w:keepNext w:val="0"/>
        <w:keepLines w:val="0"/>
        <w:pageBreakBefore w:val="0"/>
        <w:widowControl/>
        <w:kinsoku/>
        <w:wordWrap/>
        <w:overflowPunct/>
        <w:topLinePunct w:val="0"/>
        <w:autoSpaceDE/>
        <w:autoSpaceDN/>
        <w:bidi w:val="0"/>
        <w:adjustRightInd/>
        <w:snapToGrid/>
        <w:spacing w:before="100" w:beforeAutospacing="1" w:after="100" w:afterAutospacing="1" w:line="400" w:lineRule="exact"/>
        <w:ind w:left="0" w:leftChars="0"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lang w:eastAsia="zh-CN"/>
        </w:rPr>
        <w:t>二、</w:t>
      </w:r>
      <w:r>
        <w:rPr>
          <w:rFonts w:hint="eastAsia" w:ascii="黑体" w:hAnsi="黑体" w:eastAsia="黑体" w:cs="黑体"/>
          <w:sz w:val="30"/>
          <w:szCs w:val="30"/>
        </w:rPr>
        <w:t>价格方面</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32%离子膜烧碱主流出厂价格：氧化铝行业主流采购价格执行现汇出厂价格1080元/吨.东营地区32%离子膜液碱现汇出厂价格在1230元/吨，山东其他地区价格多在 1230-1270 元/吨；河北衡水地区32%离子膜液碱出厂价格在1250-1270元/吨，沧州地区 32%离子膜液碱出厂价格在 1230-1250 元/吨，唐山地区 32% 离子膜液碱出厂价格多在 1250-1280 元/吨；天津地区 32%离子膜碱当地出厂价格 3900-4000 元/吨（折百）；山西地区32%离子膜液碱暂无外销，企业封盘；河南地区 32%离子膜液碱出厂价格 4100-4300 元/吨（折百）；浙江地区 32%离子膜液碱送到萧绍地区价格在 1300-1310 元/吨；福建地区 32%离子膜液碱送到省内终端的价格 1350-1360 元/吨；广西当地 32%离子膜液碱出厂价格上调至 1280-1320 元/吨；湖北地区 32%离子膜液碱出厂价格在 1200-1250 元/吨；四川乐山地区 30-32%离子膜液碱出厂价格在 4000-4050 元/吨（折百），泸州地区 30-32%离子膜液碱出厂价格在 4100-4200元/吨（折百），宜宾地区液碱供不应求，企业封盘，执行长单发货；重庆地区液碱价格上调至 4400-4500 元/吨（折百）。</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559" w:leftChars="266" w:right="0" w:rightChars="0" w:firstLine="560" w:firstLineChars="200"/>
        <w:jc w:val="left"/>
        <w:textAlignment w:val="auto"/>
        <w:outlineLvl w:val="9"/>
        <w:rPr>
          <w:rFonts w:hint="eastAsia" w:ascii="仿宋" w:hAnsi="仿宋" w:eastAsia="仿宋" w:cs="仿宋"/>
          <w:kern w:val="0"/>
          <w:sz w:val="28"/>
          <w:szCs w:val="28"/>
          <w:lang w:val="en-US" w:eastAsia="zh-CN" w:bidi="ar-SA"/>
        </w:rPr>
      </w:pPr>
      <w:r>
        <w:rPr>
          <w:rFonts w:hint="eastAsia" w:ascii="仿宋" w:hAnsi="仿宋" w:eastAsia="仿宋" w:cs="仿宋"/>
          <w:kern w:val="0"/>
          <w:sz w:val="28"/>
          <w:szCs w:val="28"/>
          <w:lang w:val="en-US" w:eastAsia="zh-CN" w:bidi="ar-SA"/>
        </w:rPr>
        <w:t>48%-50%离子膜烧碱主流出厂价格：东营地区上调 20 元/吨，出厂现汇价格至 1900 元/吨，承兑出厂价格在 1940 元/吨，部分客户停止发货；河北唐山地区 2100-2150 元/吨附近；天津 49%离子膜碱出厂报价 4000-4100 元/吨（折百）；山西 50%离子膜液碱出厂报价多在 4000-4200 元/吨（折百）；四川地区 50%离子膜液碱出厂价格多在 4100-4400 元/吨（折百），限量发货；重庆地区 50%离子膜液碱出厂价格在 4500-4600 元/吨（折百）；50%离子膜液碱出厂报价在 4200-4250 元/吨（折百），主要供给山西地区氧化铝企业用。</w:t>
      </w:r>
    </w:p>
    <w:p>
      <w:pPr>
        <w:pStyle w:val="10"/>
        <w:keepNext w:val="0"/>
        <w:keepLines w:val="0"/>
        <w:pageBreakBefore w:val="0"/>
        <w:widowControl/>
        <w:suppressLineNumbers w:val="0"/>
        <w:kinsoku/>
        <w:wordWrap/>
        <w:overflowPunct/>
        <w:topLinePunct w:val="0"/>
        <w:autoSpaceDE/>
        <w:autoSpaceDN/>
        <w:bidi w:val="0"/>
        <w:adjustRightInd/>
        <w:snapToGrid/>
        <w:spacing w:before="100" w:beforeAutospacing="1" w:after="100" w:afterAutospacing="1" w:line="400" w:lineRule="exact"/>
        <w:ind w:left="697" w:leftChars="332" w:right="0" w:rightChars="0" w:firstLine="560" w:firstLineChars="200"/>
        <w:jc w:val="left"/>
        <w:textAlignment w:val="auto"/>
        <w:outlineLvl w:val="9"/>
        <w:rPr>
          <w:rStyle w:val="22"/>
          <w:rFonts w:hint="eastAsia" w:ascii="仿宋" w:hAnsi="仿宋" w:eastAsia="仿宋" w:cs="仿宋"/>
          <w:color w:val="666699"/>
          <w:sz w:val="28"/>
          <w:szCs w:val="28"/>
        </w:rPr>
      </w:pPr>
      <w:r>
        <w:rPr>
          <w:rFonts w:hint="eastAsia" w:ascii="仿宋" w:hAnsi="仿宋" w:eastAsia="仿宋" w:cs="仿宋"/>
          <w:sz w:val="28"/>
          <w:szCs w:val="28"/>
        </w:rPr>
        <w:t>后市预测：北方市场方面，由于受到十九大召开的影响，北方氯碱企业的开工率有进一步萎缩走向，另十一国庆长假，液氯出货压力较大，制约部分烧碱装置生产，也会进一步压缩烧碱产量；南方市场方面，南方地区长江沿线部分地区安全大检查工作，短期内刺激下游采购的积极性，拉动南方地区液碱市场向好发展。京津冀及周边地区“2+26”城市重点推进“煤改气”、“煤改电”及可再生能源供暖工作是四季度的看点，本周开始铝业采暖季错峰生产已经打响“第一枪”，预计1由于政策性的影响，国内烧碱的产量有持续减量趋势，价格或将呈现窄幅整理多稳健运行，部分地区液碱价格有持续提升的空间。</w:t>
      </w:r>
    </w:p>
    <w:bookmarkEnd w:id="13"/>
    <w:bookmarkEnd w:id="14"/>
    <w:bookmarkEnd w:id="15"/>
    <w:bookmarkEnd w:id="16"/>
    <w:p>
      <w:pPr>
        <w:spacing w:line="400" w:lineRule="exact"/>
      </w:pPr>
    </w:p>
    <w:p>
      <w:pPr>
        <w:pStyle w:val="3"/>
        <w:snapToGrid w:val="0"/>
        <w:spacing w:line="400" w:lineRule="exact"/>
        <w:ind w:right="-149" w:rightChars="-71"/>
        <w:rPr>
          <w:rStyle w:val="22"/>
          <w:rFonts w:hint="eastAsia" w:ascii="宋体" w:hAnsi="宋体" w:eastAsia="宋体" w:cs="宋体"/>
          <w:b/>
          <w:bCs w:val="0"/>
          <w:color w:val="auto"/>
          <w:sz w:val="30"/>
          <w:szCs w:val="30"/>
        </w:rPr>
      </w:pPr>
      <w:bookmarkStart w:id="17" w:name="_Toc485981324"/>
      <w:bookmarkStart w:id="18" w:name="_Toc392240281"/>
      <w:r>
        <w:rPr>
          <w:rStyle w:val="22"/>
          <w:rFonts w:hint="eastAsia" w:ascii="宋体" w:hAnsi="宋体" w:eastAsia="宋体" w:cs="宋体"/>
          <w:b/>
          <w:bCs w:val="0"/>
          <w:color w:val="auto"/>
          <w:sz w:val="30"/>
          <w:szCs w:val="30"/>
        </w:rPr>
        <w:t>32%离子膜价格</w:t>
      </w:r>
      <w:bookmarkEnd w:id="17"/>
      <w:bookmarkEnd w:id="18"/>
    </w:p>
    <w:tbl>
      <w:tblPr>
        <w:tblStyle w:val="14"/>
        <w:tblW w:w="8720" w:type="dxa"/>
        <w:tblInd w:w="0" w:type="dxa"/>
        <w:tblLayout w:type="fixed"/>
        <w:tblCellMar>
          <w:top w:w="0" w:type="dxa"/>
          <w:left w:w="108" w:type="dxa"/>
          <w:bottom w:w="0" w:type="dxa"/>
          <w:right w:w="108" w:type="dxa"/>
        </w:tblCellMar>
      </w:tblPr>
      <w:tblGrid>
        <w:gridCol w:w="2180"/>
        <w:gridCol w:w="2180"/>
        <w:gridCol w:w="2180"/>
        <w:gridCol w:w="2180"/>
      </w:tblGrid>
      <w:tr>
        <w:tblPrEx>
          <w:tblLayout w:type="fixed"/>
          <w:tblCellMar>
            <w:top w:w="0" w:type="dxa"/>
            <w:left w:w="108" w:type="dxa"/>
            <w:bottom w:w="0" w:type="dxa"/>
            <w:right w:w="108" w:type="dxa"/>
          </w:tblCellMar>
        </w:tblPrEx>
        <w:trPr>
          <w:trHeight w:val="300" w:hRule="atLeast"/>
        </w:trPr>
        <w:tc>
          <w:tcPr>
            <w:tcW w:w="2180" w:type="dxa"/>
            <w:tcBorders>
              <w:top w:val="single" w:color="000000" w:sz="8" w:space="0"/>
              <w:left w:val="single" w:color="000000" w:sz="8" w:space="0"/>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日期</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地区</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低端价</w:t>
            </w:r>
          </w:p>
        </w:tc>
        <w:tc>
          <w:tcPr>
            <w:tcW w:w="2180" w:type="dxa"/>
            <w:tcBorders>
              <w:top w:val="single" w:color="000000" w:sz="8" w:space="0"/>
              <w:left w:val="nil"/>
              <w:bottom w:val="nil"/>
              <w:right w:val="single" w:color="000000" w:sz="8" w:space="0"/>
            </w:tcBorders>
            <w:shd w:val="clear" w:color="auto" w:fill="99CCFF"/>
            <w:vAlign w:val="center"/>
          </w:tcPr>
          <w:p>
            <w:pPr>
              <w:widowControl/>
              <w:spacing w:line="400" w:lineRule="exact"/>
              <w:jc w:val="center"/>
              <w:rPr>
                <w:rFonts w:hint="eastAsia" w:ascii="宋体" w:hAnsi="宋体" w:eastAsia="宋体" w:cs="宋体"/>
                <w:b/>
                <w:bCs w:val="0"/>
                <w:kern w:val="0"/>
                <w:sz w:val="20"/>
                <w:szCs w:val="20"/>
              </w:rPr>
            </w:pPr>
            <w:r>
              <w:rPr>
                <w:rFonts w:hint="eastAsia" w:ascii="宋体" w:hAnsi="宋体" w:eastAsia="宋体" w:cs="宋体"/>
                <w:b/>
                <w:bCs w:val="0"/>
                <w:kern w:val="0"/>
                <w:sz w:val="20"/>
                <w:szCs w:val="20"/>
              </w:rPr>
              <w:t>高端价</w:t>
            </w:r>
          </w:p>
        </w:tc>
      </w:tr>
      <w:tr>
        <w:tblPrEx>
          <w:tblLayout w:type="fixed"/>
          <w:tblCellMar>
            <w:top w:w="0" w:type="dxa"/>
            <w:left w:w="108" w:type="dxa"/>
            <w:bottom w:w="0" w:type="dxa"/>
            <w:right w:w="108" w:type="dxa"/>
          </w:tblCellMar>
        </w:tblPrEx>
        <w:trPr>
          <w:trHeight w:val="445"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山东市场</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1180</w:t>
            </w:r>
          </w:p>
        </w:tc>
        <w:tc>
          <w:tcPr>
            <w:tcW w:w="2180" w:type="dxa"/>
            <w:tcBorders>
              <w:top w:val="single" w:color="000000" w:sz="8" w:space="0"/>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1200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21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河北市场</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1200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1250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21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河南市场</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3750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3800</w:t>
            </w:r>
          </w:p>
        </w:tc>
      </w:tr>
      <w:tr>
        <w:tblPrEx>
          <w:tblLayout w:type="fixed"/>
          <w:tblCellMar>
            <w:top w:w="0" w:type="dxa"/>
            <w:left w:w="108" w:type="dxa"/>
            <w:bottom w:w="0" w:type="dxa"/>
            <w:right w:w="108" w:type="dxa"/>
          </w:tblCellMar>
        </w:tblPrEx>
        <w:trPr>
          <w:trHeight w:val="43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21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湖北市场</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1180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1200</w:t>
            </w:r>
          </w:p>
        </w:tc>
      </w:tr>
      <w:tr>
        <w:tblPrEx>
          <w:tblLayout w:type="fixed"/>
          <w:tblCellMar>
            <w:top w:w="0" w:type="dxa"/>
            <w:left w:w="108" w:type="dxa"/>
            <w:bottom w:w="0" w:type="dxa"/>
            <w:right w:w="108" w:type="dxa"/>
          </w:tblCellMar>
        </w:tblPrEx>
        <w:trPr>
          <w:trHeight w:val="300" w:hRule="atLeast"/>
        </w:trPr>
        <w:tc>
          <w:tcPr>
            <w:tcW w:w="2180"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2180"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湖南市场</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1100</w:t>
            </w:r>
          </w:p>
        </w:tc>
        <w:tc>
          <w:tcPr>
            <w:tcW w:w="2180"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1300</w:t>
            </w:r>
          </w:p>
        </w:tc>
      </w:tr>
    </w:tbl>
    <w:p>
      <w:pPr>
        <w:spacing w:line="400" w:lineRule="exact"/>
        <w:rPr>
          <w:rFonts w:hint="eastAsia" w:asciiTheme="majorEastAsia" w:hAnsiTheme="majorEastAsia" w:eastAsiaTheme="majorEastAsia" w:cstheme="majorEastAsia"/>
          <w:sz w:val="20"/>
          <w:szCs w:val="20"/>
        </w:rPr>
      </w:pPr>
    </w:p>
    <w:p>
      <w:pPr>
        <w:pStyle w:val="2"/>
        <w:snapToGrid w:val="0"/>
        <w:spacing w:line="400" w:lineRule="exact"/>
        <w:ind w:right="-149" w:rightChars="-71"/>
        <w:jc w:val="center"/>
        <w:rPr>
          <w:rFonts w:hint="eastAsia" w:ascii="黑体" w:hAnsi="黑体" w:eastAsia="黑体" w:cs="黑体"/>
          <w:sz w:val="30"/>
          <w:szCs w:val="30"/>
        </w:rPr>
      </w:pPr>
      <w:bookmarkStart w:id="19" w:name="_Toc252539758"/>
      <w:bookmarkStart w:id="20" w:name="_Toc485981325"/>
      <w:bookmarkStart w:id="21" w:name="_Toc250731929"/>
      <w:bookmarkStart w:id="22" w:name="_Toc392240282"/>
      <w:bookmarkStart w:id="23" w:name="_Toc300238851"/>
      <w:bookmarkStart w:id="24" w:name="_Toc295403452"/>
      <w:bookmarkStart w:id="25" w:name="_Toc233795930"/>
      <w:r>
        <w:rPr>
          <w:rFonts w:hint="eastAsia" w:ascii="黑体" w:hAnsi="黑体" w:eastAsia="黑体" w:cs="黑体"/>
          <w:bCs w:val="0"/>
          <w:sz w:val="30"/>
          <w:szCs w:val="30"/>
        </w:rPr>
        <w:t>液氯</w:t>
      </w:r>
      <w:bookmarkEnd w:id="19"/>
      <w:bookmarkEnd w:id="20"/>
      <w:bookmarkEnd w:id="21"/>
      <w:bookmarkEnd w:id="22"/>
      <w:bookmarkEnd w:id="23"/>
      <w:bookmarkEnd w:id="24"/>
      <w:bookmarkEnd w:id="25"/>
    </w:p>
    <w:p>
      <w:pPr>
        <w:pStyle w:val="3"/>
        <w:pageBreakBefore w:val="0"/>
        <w:kinsoku/>
        <w:wordWrap/>
        <w:overflowPunct/>
        <w:topLinePunct w:val="0"/>
        <w:autoSpaceDE/>
        <w:autoSpaceDN/>
        <w:bidi w:val="0"/>
        <w:adjustRightInd/>
        <w:snapToGrid w:val="0"/>
        <w:spacing w:before="0" w:beforeAutospacing="0" w:after="0" w:afterAutospacing="0" w:line="400" w:lineRule="exact"/>
        <w:ind w:left="0" w:leftChars="0" w:right="-149" w:rightChars="-71" w:firstLine="602" w:firstLineChars="200"/>
        <w:textAlignment w:val="auto"/>
        <w:rPr>
          <w:rFonts w:hint="eastAsia" w:ascii="黑体" w:hAnsi="黑体" w:eastAsia="黑体" w:cs="黑体"/>
          <w:sz w:val="30"/>
          <w:szCs w:val="30"/>
        </w:rPr>
      </w:pPr>
      <w:bookmarkStart w:id="26" w:name="_Toc233795931"/>
      <w:bookmarkEnd w:id="26"/>
      <w:bookmarkStart w:id="27" w:name="_Toc300238852"/>
      <w:bookmarkStart w:id="28" w:name="_Toc295403453"/>
      <w:bookmarkStart w:id="29" w:name="_Toc392240283"/>
      <w:bookmarkStart w:id="30" w:name="_Toc252539759"/>
      <w:bookmarkStart w:id="31" w:name="_Toc185611021"/>
      <w:bookmarkStart w:id="32" w:name="_Toc485981326"/>
      <w:bookmarkStart w:id="33" w:name="_Toc250731930"/>
      <w:r>
        <w:rPr>
          <w:rFonts w:hint="eastAsia" w:ascii="黑体" w:hAnsi="黑体" w:eastAsia="黑体" w:cs="黑体"/>
          <w:sz w:val="30"/>
          <w:szCs w:val="30"/>
        </w:rPr>
        <w:t>评述：本周国内液氯市场评述及行情预测</w:t>
      </w:r>
      <w:bookmarkEnd w:id="27"/>
      <w:bookmarkEnd w:id="28"/>
      <w:bookmarkEnd w:id="29"/>
      <w:bookmarkEnd w:id="30"/>
      <w:bookmarkEnd w:id="31"/>
      <w:bookmarkEnd w:id="32"/>
      <w:bookmarkEnd w:id="33"/>
      <w:bookmarkStart w:id="34" w:name="_Toc250731931"/>
      <w:bookmarkStart w:id="35" w:name="_Toc252539760"/>
    </w:p>
    <w:p>
      <w:pPr>
        <w:pStyle w:val="10"/>
        <w:pageBreakBefore w:val="0"/>
        <w:numPr>
          <w:ilvl w:val="0"/>
          <w:numId w:val="0"/>
        </w:numPr>
        <w:kinsoku/>
        <w:wordWrap/>
        <w:overflowPunct/>
        <w:topLinePunct w:val="0"/>
        <w:autoSpaceDE/>
        <w:autoSpaceDN/>
        <w:bidi w:val="0"/>
        <w:adjustRightInd/>
        <w:spacing w:before="0" w:beforeAutospacing="0" w:after="0" w:afterAutospacing="0" w:line="400" w:lineRule="exact"/>
        <w:ind w:left="0" w:leftChars="0" w:firstLine="600" w:firstLineChars="200"/>
        <w:textAlignment w:val="auto"/>
        <w:rPr>
          <w:rFonts w:hint="eastAsia" w:ascii="黑体" w:hAnsi="黑体" w:eastAsia="黑体" w:cs="黑体"/>
          <w:sz w:val="30"/>
          <w:szCs w:val="30"/>
          <w:lang w:eastAsia="zh-CN"/>
        </w:rPr>
      </w:pPr>
    </w:p>
    <w:p>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00" w:lineRule="exact"/>
        <w:ind w:left="0" w:leftChars="0" w:right="0" w:rightChars="0" w:firstLine="600" w:firstLineChars="200"/>
        <w:jc w:val="left"/>
        <w:textAlignment w:val="auto"/>
        <w:rPr>
          <w:rFonts w:hint="eastAsia" w:ascii="黑体" w:hAnsi="黑体" w:eastAsia="黑体" w:cs="黑体"/>
          <w:sz w:val="30"/>
          <w:szCs w:val="30"/>
        </w:rPr>
      </w:pPr>
      <w:r>
        <w:rPr>
          <w:rFonts w:hint="eastAsia" w:ascii="黑体" w:hAnsi="黑体" w:eastAsia="黑体" w:cs="黑体"/>
          <w:sz w:val="30"/>
          <w:szCs w:val="30"/>
          <w:lang w:eastAsia="zh-CN"/>
        </w:rPr>
        <w:t>一、</w:t>
      </w:r>
      <w:r>
        <w:rPr>
          <w:rFonts w:hint="eastAsia" w:ascii="黑体" w:hAnsi="黑体" w:eastAsia="黑体" w:cs="黑体"/>
          <w:sz w:val="30"/>
          <w:szCs w:val="30"/>
        </w:rPr>
        <w:t>中国液氯市场行情综述</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420" w:leftChars="200" w:right="0" w:rightChars="0" w:firstLine="560" w:firstLineChars="200"/>
        <w:jc w:val="left"/>
        <w:textAlignment w:val="auto"/>
        <w:outlineLvl w:val="9"/>
        <w:rPr>
          <w:rFonts w:hint="eastAsia" w:ascii="仿宋" w:hAnsi="仿宋" w:eastAsia="仿宋" w:cs="仿宋"/>
          <w:sz w:val="28"/>
          <w:szCs w:val="28"/>
        </w:rPr>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本周液氯市场表现各不相同。山东地区液氯市场表现尚可，十一期间劣势下滑后，有效止跌，下游开工稳定，需求不减。内蒙地区始终维持节前的出货状况，出货节奏平稳。江浙皖提升明显，外来货源因假期封路未能流入，价格逐步稳定在 300-500 元/吨。</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华中地区弱势维稳，节前华中地区出现衰弱的信号，企业出货多一般。河南地区节前电石到货状况不好，电石法PVC 装置多减负荷运行，液氯供应量增加后，企业考虑到当前液氯出货的清淡局面，氯碱装置减负荷运行为主。节后复工后，各项检查不断推进，液氯出货愈加困难，并且下游停车者较多，企业目前均以积极出货为主。湖南湖北十一期间如预料中一样，十一期间下游开工以及运输限制较多，并且采买证办理困难。华中地区整体看来，中旬之前销售遇冷的局面难破。</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华东地区江苏节后利好延续，江苏地区液氯市场稳中有升，十一期间因安邦电化检修，苏北地区的供应量不高，并且高速限行的原因，外围货源难以流入，氯碱企业出货多在周边消化，出货状况始终良好，整体出货在（-450）-（-200）元/吨。苏南地区因前期环保与政策的限制，下游开工始终一般，双节结束后，在苏北的带动下，本周略有好转。安徽、浙江地区同步利好，得益于外来货源流入较少，当地的下游企业恢复开工，并且企业开工负荷稳中提升，近期消化能力提升很多，预计下周华东地区将保持这一利好，持稳运行。</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西北地区液氯市场平稳运行。节后前期检修的企业恢复开工，但企业出货并未受到影响，出货节奏平稳。陕西地区十一过后，因自身耗氯企业较少，主要销往周边神木地区三氯乙烯企业，四氯乙烯企业以及氯化石蜡、水处理行业。近期受内蒙地区的利好，陕西地区补贴价格在（-200）-1 元/吨。长期看来，十月份起陕西金泰液氯全自用，供应量将全面收紧，后期陕西北元 PVC 扩产完成后，液氯全部自用，陕西地区液氯市场将全面收紧。</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截止到 10 月 12 日发稿，各地区液氯槽车主流出厂价格：山东地区商品氯主流出厂价格在（-900）-（-500）元/吨；河北地区（-900）-（-500）元/吨；东北地区（-600）-（-500）元/吨；山西地区（-1300）-1 元/吨；河南省内（-500）-（-300）元/吨，省外（-1000）-（-800）元/吨；江苏地区（-550）-（-200）元/吨；安徽地区（-500）-（-300）元/吨；浙江地区到货价格多在（-650）-（-200）元/吨；江西地区（-400）-1 元/吨；内蒙古地区 1-200 元/吨；陕西地区（-200）-1 元/吨；川渝云贵地区液氯用户用量较小，价格维持在较高水平，但远距离出货亦开始倒贴；广西地区 300-500 元/吨；湖北地区 50-100 元/吨；湖南地区 200 元/吨。</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420" w:firstLineChars="200"/>
        <w:jc w:val="left"/>
        <w:textAlignment w:val="auto"/>
        <w:outlineLvl w:val="9"/>
        <w:rPr>
          <w:rFonts w:hint="eastAsia" w:ascii="黑体" w:hAnsi="黑体" w:eastAsia="黑体" w:cs="黑体"/>
          <w:sz w:val="30"/>
          <w:szCs w:val="30"/>
        </w:rPr>
      </w:pPr>
      <w:r>
        <w:rPr>
          <w:rFonts w:ascii="宋体" w:hAnsi="宋体" w:eastAsia="宋体" w:cs="宋体"/>
          <w:sz w:val="21"/>
          <w:szCs w:val="21"/>
        </w:rPr>
        <w:t xml:space="preserve"> </w:t>
      </w:r>
      <w:r>
        <w:rPr>
          <w:rFonts w:hint="eastAsia" w:ascii="黑体" w:hAnsi="黑体" w:eastAsia="黑体" w:cs="黑体"/>
          <w:sz w:val="30"/>
          <w:szCs w:val="30"/>
          <w:lang w:eastAsia="zh-CN"/>
        </w:rPr>
        <w:t>二、</w:t>
      </w:r>
      <w:r>
        <w:rPr>
          <w:rFonts w:hint="eastAsia" w:ascii="黑体" w:hAnsi="黑体" w:eastAsia="黑体" w:cs="黑体"/>
          <w:sz w:val="30"/>
          <w:szCs w:val="30"/>
        </w:rPr>
        <w:t>山东市场分析</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559" w:leftChars="266" w:right="0" w:rightChars="0" w:firstLine="600" w:firstLineChars="200"/>
        <w:jc w:val="left"/>
        <w:textAlignment w:val="auto"/>
        <w:outlineLvl w:val="9"/>
        <w:rPr>
          <w:rFonts w:hint="eastAsia" w:ascii="仿宋" w:hAnsi="仿宋" w:eastAsia="仿宋" w:cs="仿宋"/>
          <w:sz w:val="30"/>
          <w:szCs w:val="30"/>
        </w:rPr>
      </w:pPr>
      <w:r>
        <w:rPr>
          <w:rFonts w:hint="eastAsia" w:ascii="仿宋" w:hAnsi="仿宋" w:eastAsia="仿宋" w:cs="仿宋"/>
          <w:sz w:val="30"/>
          <w:szCs w:val="30"/>
          <w:lang w:val="en-US" w:eastAsia="zh-CN"/>
        </w:rPr>
        <w:t>本周山东液氯市场十一期间表现良好，因预计到十一期间的封路、通行证办理困难和下游采购能力萎缩的影响，产氯大户多减负荷运行，控制商品氯出货量。9 月 30 日补贴在 1000-1400 元/吨，从十月一号号起补贴不断减少，但昨日双节结尾时，部分氯碱企业提升负荷，出货节奏减缓。十一节后山东地区商品氯出厂在（-1000）-（-500）元/吨，本周开始山东地区液氯市场多盘整为主，目前维持在 600-900 元/吨左右，氯碱企业经过小半年的“液氯倒贴出货”压制，在 10 月份暂迎来了曙光，之前的重灾区山东地区近期出货维持在补贴 600-900 元/吨，虽然依旧是全国最大补贴但照比前期的“过千元天价”补贴已有十足的进步。近期中小型耗氯企业恢复开工对液氯市场支撑作用较强，但是对于氯碱企业来看，目前最大的关卡在十月中旬是否会出现下游需求萎缩以及限行的问题。</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0" w:firstLineChars="200"/>
        <w:jc w:val="left"/>
        <w:textAlignment w:val="auto"/>
        <w:outlineLvl w:val="9"/>
        <w:rPr>
          <w:rFonts w:hint="eastAsia" w:ascii="黑体" w:hAnsi="黑体" w:eastAsia="黑体" w:cs="黑体"/>
          <w:sz w:val="30"/>
          <w:szCs w:val="30"/>
        </w:rPr>
      </w:pPr>
      <w:r>
        <w:rPr>
          <w:rFonts w:hint="eastAsia" w:ascii="黑体" w:hAnsi="黑体" w:eastAsia="黑体" w:cs="黑体"/>
          <w:sz w:val="30"/>
          <w:szCs w:val="30"/>
        </w:rPr>
        <w:t>三、后市分析</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12" w:right="0" w:rightChars="0"/>
        <w:jc w:val="left"/>
        <w:textAlignment w:val="auto"/>
        <w:rPr>
          <w:b/>
          <w:bCs/>
          <w:sz w:val="30"/>
          <w:szCs w:val="30"/>
        </w:rPr>
      </w:pP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12" w:right="0" w:rightChars="0" w:firstLine="301" w:firstLineChars="100"/>
        <w:jc w:val="left"/>
        <w:textAlignment w:val="auto"/>
        <w:rPr>
          <w:b/>
          <w:bCs/>
          <w:sz w:val="30"/>
          <w:szCs w:val="30"/>
        </w:rPr>
      </w:pPr>
      <w:r>
        <w:rPr>
          <w:b/>
          <w:bCs/>
          <w:sz w:val="30"/>
          <w:szCs w:val="30"/>
        </w:rPr>
        <w:t>利好方面：</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400" w:lineRule="exact"/>
        <w:ind w:left="559" w:leftChars="266" w:right="0" w:rightChars="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sz w:val="30"/>
          <w:szCs w:val="30"/>
          <w:lang w:val="en-US" w:eastAsia="zh-CN"/>
        </w:rPr>
        <w:t>西北地区：陕西北元初步计划 10 月 18 日-10 月 30 日烧碱装置轮流检修、新疆宜化停车，新疆天业除天辰、天伟外其他公司片碱装置计划 10 月份轮流检修。华北地区：沧州大化聚海分公司 10 月 16 日计划检修，检修时间 30 天左右、河北金牛 10 月 16 日停车检修，开车时间待定。华中地区：湖北沙隆达计划 10 月中旬检修，具体日期暂无安排。结合以上检修状况地区液氯供销将趋于平稳，减产操作对液氯价格回升有助力。</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Autospacing="0" w:afterAutospacing="0" w:line="400" w:lineRule="exact"/>
        <w:ind w:left="559" w:leftChars="266" w:right="0" w:rightChars="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环保部、发改委、工信部等多部委及北京、天津、河北等省市共同印发《京津冀及周边地区 2017-2018 年秋冬季大气污染综合治理攻坚行动方案》，提出，2017 年 10 月至 2018 年 3 月，京津冀大气污染传输通道“2+26”城市 PM2.5 平均浓度同比下降 15%以上，重污染天数同比下降 15%以上。采暖季唐山等城市钢铁限产 50%，电解铝和氧化铝企业限产 30%以上，水泥建材全部停产。以上限产要求将对氯碱企业开工起到一定的影响，商品氯的生产量将得到一定收紧。</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600" w:firstLineChars="200"/>
        <w:jc w:val="left"/>
        <w:textAlignment w:val="auto"/>
        <w:outlineLvl w:val="9"/>
        <w:rPr>
          <w:rFonts w:hint="eastAsia" w:ascii="仿宋" w:hAnsi="仿宋" w:eastAsia="仿宋" w:cs="仿宋"/>
          <w:sz w:val="30"/>
          <w:szCs w:val="30"/>
          <w:lang w:val="en-US" w:eastAsia="zh-CN"/>
        </w:rPr>
      </w:pPr>
      <w:r>
        <w:rPr>
          <w:rFonts w:hint="eastAsia" w:ascii="仿宋" w:hAnsi="仿宋" w:eastAsia="仿宋" w:cs="仿宋"/>
          <w:kern w:val="2"/>
          <w:sz w:val="30"/>
          <w:szCs w:val="30"/>
          <w:lang w:val="en-US" w:eastAsia="zh-CN" w:bidi="ar-SA"/>
        </w:rPr>
        <w:t>总体上看，短期的检查利好氯碱企业，从供应上控制液氯</w:t>
      </w:r>
      <w:r>
        <w:rPr>
          <w:rFonts w:hint="eastAsia" w:ascii="仿宋" w:hAnsi="仿宋" w:eastAsia="仿宋" w:cs="仿宋"/>
          <w:sz w:val="30"/>
          <w:szCs w:val="30"/>
          <w:lang w:val="en-US" w:eastAsia="zh-CN"/>
        </w:rPr>
        <w:t>产量，利好液氯价格。</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right="0" w:rightChars="0" w:firstLine="602" w:firstLineChars="200"/>
        <w:jc w:val="left"/>
        <w:textAlignment w:val="auto"/>
        <w:rPr>
          <w:sz w:val="21"/>
          <w:szCs w:val="21"/>
        </w:rPr>
      </w:pPr>
      <w:r>
        <w:rPr>
          <w:b/>
          <w:bCs/>
          <w:sz w:val="30"/>
          <w:szCs w:val="30"/>
        </w:rPr>
        <w:t>利空方面：</w:t>
      </w:r>
    </w:p>
    <w:p>
      <w:pPr>
        <w:pStyle w:val="1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right="0" w:rightChars="0" w:firstLine="560" w:firstLineChars="200"/>
        <w:jc w:val="left"/>
        <w:textAlignment w:val="auto"/>
        <w:outlineLvl w:val="9"/>
        <w:rPr>
          <w:rFonts w:hint="eastAsia" w:ascii="仿宋" w:hAnsi="仿宋" w:eastAsia="仿宋" w:cs="仿宋"/>
          <w:sz w:val="28"/>
          <w:szCs w:val="28"/>
        </w:rPr>
      </w:pP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下周检修企业较少，但下周有重要会议的召开，高速限行、限产等要求对氯碱企业开工以及运输较多。氯气下游企业在环保检查中不合规范之处较多，大多停车整顿，不利于氯碱企业出货。</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目前国内运输及环保政策严格落实，液氯作为高危化工品，政策影响成为导致液氯价格低位的主要原因。国内环保及运输政策的严格已然常态化，因此，国内液氯市场短期内难有起色</w:t>
      </w:r>
    </w:p>
    <w:p>
      <w:pPr>
        <w:keepNext w:val="0"/>
        <w:keepLines w:val="0"/>
        <w:pageBreakBefore w:val="0"/>
        <w:widowControl/>
        <w:numPr>
          <w:ilvl w:val="0"/>
          <w:numId w:val="5"/>
        </w:numPr>
        <w:suppressLineNumbers w:val="0"/>
        <w:kinsoku/>
        <w:wordWrap/>
        <w:overflowPunct/>
        <w:topLinePunct w:val="0"/>
        <w:autoSpaceDE/>
        <w:autoSpaceDN/>
        <w:bidi w:val="0"/>
        <w:adjustRightInd/>
        <w:snapToGrid/>
        <w:spacing w:beforeAutospacing="0" w:afterAutospacing="0" w:line="400" w:lineRule="exact"/>
        <w:ind w:left="559" w:leftChars="266" w:right="0" w:rightChars="0" w:firstLine="560" w:firstLineChars="20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本周全国各地液碱价格不断提升，甚至出现企业封盘的迹象，对液氯的利空影响明显，并且盐酸市场低迷，用酸企业开工低位。</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400" w:lineRule="exact"/>
        <w:ind w:left="0" w:leftChars="0" w:right="0" w:rightChars="0" w:firstLine="1134" w:firstLineChars="0"/>
        <w:jc w:val="left"/>
        <w:textAlignment w:val="auto"/>
        <w:outlineLvl w:val="9"/>
        <w:rPr>
          <w:rFonts w:hint="eastAsia" w:ascii="仿宋" w:hAnsi="仿宋" w:eastAsia="仿宋" w:cs="仿宋"/>
          <w:caps w:val="0"/>
          <w:color w:val="000000"/>
          <w:spacing w:val="0"/>
          <w:sz w:val="28"/>
          <w:szCs w:val="28"/>
        </w:rPr>
      </w:pPr>
      <w:r>
        <w:rPr>
          <w:rFonts w:hint="eastAsia" w:ascii="仿宋" w:hAnsi="仿宋" w:eastAsia="仿宋" w:cs="仿宋"/>
          <w:caps w:val="0"/>
          <w:color w:val="000000"/>
          <w:spacing w:val="0"/>
          <w:kern w:val="0"/>
          <w:sz w:val="28"/>
          <w:szCs w:val="28"/>
          <w:lang w:val="en-US" w:eastAsia="zh-CN" w:bidi="ar"/>
        </w:rPr>
        <w:t xml:space="preserve"> </w:t>
      </w:r>
    </w:p>
    <w:p>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left="420" w:leftChars="200" w:right="0" w:rightChars="0" w:firstLine="600" w:firstLineChars="200"/>
        <w:jc w:val="left"/>
        <w:textAlignment w:val="auto"/>
        <w:outlineLvl w:val="9"/>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后市预测：十一过后临近十九大会议的召开，京津冀后期对于液氯运输的限制难有松动。山东、山西、河北、河南企业出货多以走量为主，预计出货状况一般。部分地区下游企业恢复，对市场支撑作用较强。下周或将出现因运输不便，氯碱企业减负荷运行的可能。从下游需求、政策以及供应量的角度出发，液氯市场低位徘徊已成定局。预计下周液氯因自身特性有频繁变价的可能，调整幅度在 200-300 元/吨。</w:t>
      </w:r>
    </w:p>
    <w:p>
      <w:pPr>
        <w:pStyle w:val="10"/>
        <w:spacing w:line="400" w:lineRule="exact"/>
        <w:rPr>
          <w:rFonts w:hint="eastAsia" w:ascii="宋体" w:hAnsi="宋体" w:eastAsia="宋体" w:cs="宋体"/>
          <w:b/>
          <w:bCs/>
          <w:sz w:val="30"/>
          <w:szCs w:val="30"/>
        </w:rPr>
      </w:pPr>
      <w:r>
        <w:rPr>
          <w:rFonts w:hint="eastAsia" w:ascii="宋体" w:hAnsi="宋体" w:eastAsia="宋体" w:cs="宋体"/>
          <w:b/>
          <w:bCs/>
          <w:sz w:val="30"/>
          <w:szCs w:val="30"/>
        </w:rPr>
        <w:t>国内地区市场价格</w:t>
      </w:r>
    </w:p>
    <w:bookmarkEnd w:id="34"/>
    <w:bookmarkEnd w:id="35"/>
    <w:tbl>
      <w:tblPr>
        <w:tblStyle w:val="14"/>
        <w:tblW w:w="8720" w:type="dxa"/>
        <w:tblInd w:w="0" w:type="dxa"/>
        <w:tblLayout w:type="fixed"/>
        <w:tblCellMar>
          <w:top w:w="0" w:type="dxa"/>
          <w:left w:w="108" w:type="dxa"/>
          <w:bottom w:w="0" w:type="dxa"/>
          <w:right w:w="108" w:type="dxa"/>
        </w:tblCellMar>
      </w:tblPr>
      <w:tblGrid>
        <w:gridCol w:w="1984"/>
        <w:gridCol w:w="1477"/>
        <w:gridCol w:w="1643"/>
        <w:gridCol w:w="1809"/>
        <w:gridCol w:w="1807"/>
      </w:tblGrid>
      <w:tr>
        <w:tblPrEx>
          <w:tblLayout w:type="fixed"/>
          <w:tblCellMar>
            <w:top w:w="0" w:type="dxa"/>
            <w:left w:w="108" w:type="dxa"/>
            <w:bottom w:w="0" w:type="dxa"/>
            <w:right w:w="108" w:type="dxa"/>
          </w:tblCellMar>
        </w:tblPrEx>
        <w:trPr>
          <w:trHeight w:val="295" w:hRule="atLeast"/>
        </w:trPr>
        <w:tc>
          <w:tcPr>
            <w:tcW w:w="1984" w:type="dxa"/>
            <w:tcBorders>
              <w:top w:val="single" w:color="000000" w:sz="8" w:space="0"/>
              <w:left w:val="single" w:color="000000" w:sz="8" w:space="0"/>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bookmarkStart w:id="36" w:name="_Toc233795926"/>
            <w:bookmarkEnd w:id="36"/>
            <w:r>
              <w:rPr>
                <w:rFonts w:hint="eastAsia" w:ascii="宋体" w:hAnsi="宋体" w:eastAsia="宋体" w:cs="宋体"/>
                <w:b/>
                <w:bCs/>
                <w:color w:val="000000"/>
                <w:kern w:val="0"/>
                <w:sz w:val="20"/>
                <w:szCs w:val="20"/>
              </w:rPr>
              <w:t>日期</w:t>
            </w:r>
          </w:p>
        </w:tc>
        <w:tc>
          <w:tcPr>
            <w:tcW w:w="1477"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地区</w:t>
            </w:r>
          </w:p>
        </w:tc>
        <w:tc>
          <w:tcPr>
            <w:tcW w:w="1643"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属性</w:t>
            </w:r>
          </w:p>
        </w:tc>
        <w:tc>
          <w:tcPr>
            <w:tcW w:w="1809"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低端价</w:t>
            </w:r>
          </w:p>
        </w:tc>
        <w:tc>
          <w:tcPr>
            <w:tcW w:w="1807" w:type="dxa"/>
            <w:tcBorders>
              <w:top w:val="single" w:color="000000" w:sz="8" w:space="0"/>
              <w:left w:val="nil"/>
              <w:bottom w:val="single" w:color="000000" w:sz="8" w:space="0"/>
              <w:right w:val="single" w:color="000000" w:sz="8" w:space="0"/>
            </w:tcBorders>
            <w:shd w:val="clear" w:color="auto" w:fill="99CCFF"/>
            <w:vAlign w:val="center"/>
          </w:tcPr>
          <w:p>
            <w:pPr>
              <w:widowControl/>
              <w:spacing w:line="400" w:lineRule="exact"/>
              <w:jc w:val="center"/>
              <w:rPr>
                <w:rFonts w:hint="eastAsia" w:ascii="宋体" w:hAnsi="宋体" w:eastAsia="宋体" w:cs="宋体"/>
                <w:b/>
                <w:bCs/>
                <w:color w:val="000000"/>
                <w:kern w:val="0"/>
                <w:sz w:val="20"/>
                <w:szCs w:val="20"/>
              </w:rPr>
            </w:pPr>
            <w:r>
              <w:rPr>
                <w:rFonts w:hint="eastAsia" w:ascii="宋体" w:hAnsi="宋体" w:eastAsia="宋体" w:cs="宋体"/>
                <w:b/>
                <w:bCs/>
                <w:color w:val="000000"/>
                <w:kern w:val="0"/>
                <w:sz w:val="20"/>
                <w:szCs w:val="20"/>
              </w:rPr>
              <w:t>高端价</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47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山东市场</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r>
      <w:tr>
        <w:tblPrEx>
          <w:tblLayout w:type="fixed"/>
          <w:tblCellMar>
            <w:top w:w="0" w:type="dxa"/>
            <w:left w:w="108" w:type="dxa"/>
            <w:bottom w:w="0" w:type="dxa"/>
            <w:right w:w="108" w:type="dxa"/>
          </w:tblCellMar>
        </w:tblPrEx>
        <w:trPr>
          <w:trHeight w:val="430"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47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河北市场</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47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河南市场</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r>
      <w:tr>
        <w:tblPrEx>
          <w:tblLayout w:type="fixed"/>
          <w:tblCellMar>
            <w:top w:w="0" w:type="dxa"/>
            <w:left w:w="108" w:type="dxa"/>
            <w:bottom w:w="0" w:type="dxa"/>
            <w:right w:w="108" w:type="dxa"/>
          </w:tblCellMar>
        </w:tblPrEx>
        <w:trPr>
          <w:trHeight w:val="35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47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江苏市场</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47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华南市场</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200</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300</w:t>
            </w:r>
          </w:p>
        </w:tc>
      </w:tr>
      <w:tr>
        <w:tblPrEx>
          <w:tblLayout w:type="fixed"/>
          <w:tblCellMar>
            <w:top w:w="0" w:type="dxa"/>
            <w:left w:w="108" w:type="dxa"/>
            <w:bottom w:w="0" w:type="dxa"/>
            <w:right w:w="108" w:type="dxa"/>
          </w:tblCellMar>
        </w:tblPrEx>
        <w:trPr>
          <w:trHeight w:val="430"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47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东北市场</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100</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200</w:t>
            </w:r>
          </w:p>
        </w:tc>
      </w:tr>
      <w:tr>
        <w:tblPrEx>
          <w:tblLayout w:type="fixed"/>
          <w:tblCellMar>
            <w:top w:w="0" w:type="dxa"/>
            <w:left w:w="108" w:type="dxa"/>
            <w:bottom w:w="0" w:type="dxa"/>
            <w:right w:w="108" w:type="dxa"/>
          </w:tblCellMar>
        </w:tblPrEx>
        <w:trPr>
          <w:trHeight w:val="295" w:hRule="atLeast"/>
        </w:trPr>
        <w:tc>
          <w:tcPr>
            <w:tcW w:w="1984" w:type="dxa"/>
            <w:tcBorders>
              <w:top w:val="nil"/>
              <w:left w:val="single" w:color="000000" w:sz="8" w:space="0"/>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000000"/>
                <w:sz w:val="20"/>
                <w:szCs w:val="20"/>
              </w:rPr>
            </w:pPr>
            <w:r>
              <w:rPr>
                <w:rFonts w:hint="eastAsia" w:ascii="宋体" w:hAnsi="宋体" w:eastAsia="宋体" w:cs="宋体"/>
                <w:color w:val="000000"/>
                <w:sz w:val="20"/>
                <w:szCs w:val="20"/>
              </w:rPr>
              <w:t>2017-</w:t>
            </w:r>
            <w:r>
              <w:rPr>
                <w:rFonts w:hint="eastAsia" w:ascii="宋体" w:hAnsi="宋体" w:cs="宋体"/>
                <w:color w:val="000000"/>
                <w:sz w:val="20"/>
                <w:szCs w:val="20"/>
                <w:lang w:val="en-US" w:eastAsia="zh-CN"/>
              </w:rPr>
              <w:t>10</w:t>
            </w:r>
            <w:r>
              <w:rPr>
                <w:rFonts w:hint="eastAsia" w:ascii="宋体" w:hAnsi="宋体" w:eastAsia="宋体" w:cs="宋体"/>
                <w:color w:val="000000"/>
                <w:sz w:val="20"/>
                <w:szCs w:val="20"/>
              </w:rPr>
              <w:t>-</w:t>
            </w:r>
            <w:r>
              <w:rPr>
                <w:rFonts w:hint="eastAsia" w:ascii="宋体" w:hAnsi="宋体" w:cs="宋体"/>
                <w:color w:val="000000"/>
                <w:sz w:val="20"/>
                <w:szCs w:val="20"/>
                <w:lang w:val="en-US" w:eastAsia="zh-CN"/>
              </w:rPr>
              <w:t>13</w:t>
            </w:r>
          </w:p>
        </w:tc>
        <w:tc>
          <w:tcPr>
            <w:tcW w:w="1477" w:type="dxa"/>
            <w:tcBorders>
              <w:top w:val="nil"/>
              <w:left w:val="nil"/>
              <w:bottom w:val="single" w:color="000000" w:sz="8" w:space="0"/>
              <w:right w:val="single" w:color="000000" w:sz="8"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color w:val="auto"/>
                <w:sz w:val="20"/>
                <w:szCs w:val="20"/>
              </w:rPr>
            </w:pPr>
            <w:r>
              <w:rPr>
                <w:rFonts w:hint="eastAsia" w:ascii="宋体" w:hAnsi="宋体" w:eastAsia="宋体" w:cs="宋体"/>
                <w:i w:val="0"/>
                <w:color w:val="000000"/>
                <w:kern w:val="0"/>
                <w:sz w:val="18"/>
                <w:szCs w:val="18"/>
                <w:u w:val="none"/>
                <w:lang w:val="en-US" w:eastAsia="zh-CN" w:bidi="ar"/>
              </w:rPr>
              <w:t>西北市场</w:t>
            </w:r>
          </w:p>
        </w:tc>
        <w:tc>
          <w:tcPr>
            <w:tcW w:w="1643"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color w:val="auto"/>
                <w:sz w:val="20"/>
                <w:szCs w:val="20"/>
              </w:rPr>
            </w:pPr>
            <w:r>
              <w:rPr>
                <w:rFonts w:hint="eastAsia" w:ascii="宋体" w:hAnsi="宋体" w:eastAsia="宋体" w:cs="宋体"/>
                <w:color w:val="auto"/>
                <w:sz w:val="20"/>
                <w:szCs w:val="20"/>
              </w:rPr>
              <w:t>主流价格</w:t>
            </w:r>
          </w:p>
        </w:tc>
        <w:tc>
          <w:tcPr>
            <w:tcW w:w="1809"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c>
          <w:tcPr>
            <w:tcW w:w="1807" w:type="dxa"/>
            <w:tcBorders>
              <w:top w:val="nil"/>
              <w:left w:val="nil"/>
              <w:bottom w:val="single" w:color="000000" w:sz="8" w:space="0"/>
              <w:right w:val="single" w:color="000000" w:sz="8" w:space="0"/>
            </w:tcBorders>
            <w:shd w:val="clear" w:color="auto" w:fill="FFFFFF"/>
            <w:vAlign w:val="center"/>
          </w:tcPr>
          <w:p>
            <w:pPr>
              <w:spacing w:line="400" w:lineRule="exact"/>
              <w:jc w:val="center"/>
              <w:rPr>
                <w:rFonts w:hint="eastAsia" w:ascii="宋体" w:hAnsi="宋体" w:eastAsia="宋体" w:cs="宋体"/>
                <w:b w:val="0"/>
                <w:i w:val="0"/>
                <w:caps w:val="0"/>
                <w:color w:val="auto"/>
                <w:spacing w:val="0"/>
                <w:sz w:val="20"/>
                <w:szCs w:val="20"/>
                <w:shd w:val="clear" w:fill="FFFFFF"/>
                <w:lang w:val="en-US" w:eastAsia="zh-CN"/>
              </w:rPr>
            </w:pPr>
            <w:r>
              <w:rPr>
                <w:rFonts w:hint="default" w:ascii="宋体" w:hAnsi="宋体" w:eastAsia="宋体" w:cs="宋体"/>
                <w:b w:val="0"/>
                <w:i w:val="0"/>
                <w:caps w:val="0"/>
                <w:color w:val="auto"/>
                <w:spacing w:val="0"/>
                <w:sz w:val="20"/>
                <w:szCs w:val="20"/>
                <w:shd w:val="clear" w:fill="FFFFFF"/>
                <w:lang w:val="en-US" w:eastAsia="zh-CN"/>
              </w:rPr>
              <w:t>1</w:t>
            </w:r>
          </w:p>
        </w:tc>
      </w:tr>
    </w:tbl>
    <w:p>
      <w:pPr>
        <w:pStyle w:val="23"/>
        <w:spacing w:line="400" w:lineRule="exact"/>
      </w:pPr>
    </w:p>
    <w:p>
      <w:pPr>
        <w:spacing w:line="400" w:lineRule="exact"/>
      </w:pPr>
    </w:p>
    <w:p>
      <w:pPr>
        <w:spacing w:line="400" w:lineRule="exact"/>
      </w:pPr>
    </w:p>
    <w:p>
      <w:pPr>
        <w:spacing w:line="400" w:lineRule="exact"/>
      </w:pPr>
    </w:p>
    <w:p>
      <w:pPr>
        <w:spacing w:line="400" w:lineRule="exact"/>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rPr>
          <w:rFonts w:ascii="Arial" w:hAnsi="Arial" w:cs="Arial"/>
          <w:kern w:val="0"/>
          <w:szCs w:val="21"/>
        </w:rPr>
      </w:pPr>
    </w:p>
    <w:p>
      <w:pPr>
        <w:spacing w:line="400" w:lineRule="exact"/>
        <w:ind w:firstLine="1600" w:firstLineChars="400"/>
        <w:jc w:val="both"/>
        <w:rPr>
          <w:rFonts w:ascii="方正粗宋简体" w:eastAsia="方正粗宋简体"/>
          <w:spacing w:val="20"/>
          <w:sz w:val="36"/>
          <w:szCs w:val="36"/>
        </w:rPr>
      </w:pPr>
      <w:r>
        <w:rPr>
          <w:rFonts w:hint="eastAsia" w:ascii="方正粗宋简体" w:eastAsia="方正粗宋简体"/>
          <w:spacing w:val="20"/>
          <w:sz w:val="36"/>
          <w:szCs w:val="36"/>
        </w:rPr>
        <w:t>更多精彩敬请关注：</w:t>
      </w:r>
      <w:r>
        <w:fldChar w:fldCharType="begin"/>
      </w:r>
      <w:r>
        <w:instrText xml:space="preserve"> HYPERLINK "http://www.chinaccm.com/" </w:instrText>
      </w:r>
      <w:r>
        <w:fldChar w:fldCharType="separate"/>
      </w:r>
      <w:r>
        <w:rPr>
          <w:rStyle w:val="13"/>
          <w:rFonts w:hint="eastAsia" w:ascii="方正粗宋简体" w:eastAsia="方正粗宋简体"/>
          <w:spacing w:val="20"/>
          <w:sz w:val="36"/>
          <w:szCs w:val="36"/>
        </w:rPr>
        <w:t>中华商务网</w:t>
      </w:r>
      <w:r>
        <w:rPr>
          <w:rStyle w:val="13"/>
          <w:rFonts w:hint="eastAsia" w:ascii="方正粗宋简体" w:eastAsia="方正粗宋简体"/>
          <w:spacing w:val="20"/>
          <w:sz w:val="36"/>
          <w:szCs w:val="36"/>
        </w:rPr>
        <w:fldChar w:fldCharType="end"/>
      </w:r>
    </w:p>
    <w:p>
      <w:pPr>
        <w:spacing w:line="400" w:lineRule="exact"/>
        <w:jc w:val="center"/>
        <w:rPr>
          <w:rFonts w:eastAsia="方正粗宋简体"/>
          <w:spacing w:val="20"/>
          <w:sz w:val="36"/>
          <w:szCs w:val="36"/>
        </w:rPr>
      </w:pPr>
      <w:r>
        <w:rPr>
          <w:rFonts w:hint="eastAsia" w:ascii="方正粗宋简体" w:eastAsia="方正粗宋简体"/>
          <w:spacing w:val="20"/>
          <w:sz w:val="36"/>
          <w:szCs w:val="36"/>
        </w:rPr>
        <w:t>返回本期目录</w:t>
      </w:r>
    </w:p>
    <w:p>
      <w:pPr>
        <w:spacing w:line="400" w:lineRule="exact"/>
        <w:rPr>
          <w:rFonts w:ascii="Arial" w:hAnsi="Arial" w:cs="Arial"/>
          <w:kern w:val="0"/>
          <w:szCs w:val="21"/>
        </w:rPr>
      </w:pPr>
    </w:p>
    <w:sectPr>
      <w:headerReference r:id="rId3" w:type="default"/>
      <w:footerReference r:id="rId4" w:type="default"/>
      <w:pgSz w:w="11906" w:h="16838"/>
      <w:pgMar w:top="1418" w:right="1701" w:bottom="1418" w:left="1701"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粗宋简体">
    <w:altName w:val="黑体"/>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方正舒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color:black;mso-bidi-font-size:10.5p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MS P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9</w:t>
    </w:r>
    <w:r>
      <w:rPr>
        <w:b/>
        <w:bCs/>
        <w:sz w:val="24"/>
        <w:szCs w:val="24"/>
      </w:rPr>
      <w:fldChar w:fldCharType="end"/>
    </w:r>
  </w:p>
  <w:p>
    <w:pPr>
      <w:pStyle w:val="5"/>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pPr>
      <w:pStyle w:val="6"/>
      <w:pBdr>
        <w:bottom w:val="none" w:color="auto" w:sz="0" w:space="0"/>
      </w:pBdr>
    </w:pPr>
  </w:p>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34493"/>
    <w:multiLevelType w:val="multilevel"/>
    <w:tmpl w:val="2CD34493"/>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59E05E80"/>
    <w:multiLevelType w:val="singleLevel"/>
    <w:tmpl w:val="59E05E80"/>
    <w:lvl w:ilvl="0" w:tentative="0">
      <w:start w:val="1"/>
      <w:numFmt w:val="chineseCounting"/>
      <w:suff w:val="nothing"/>
      <w:lvlText w:val="%1、"/>
      <w:lvlJc w:val="left"/>
    </w:lvl>
  </w:abstractNum>
  <w:abstractNum w:abstractNumId="2">
    <w:nsid w:val="59E060E9"/>
    <w:multiLevelType w:val="singleLevel"/>
    <w:tmpl w:val="59E060E9"/>
    <w:lvl w:ilvl="0" w:tentative="0">
      <w:start w:val="3"/>
      <w:numFmt w:val="decimal"/>
      <w:lvlText w:val="%1."/>
      <w:lvlJc w:val="left"/>
      <w:pPr>
        <w:tabs>
          <w:tab w:val="left" w:pos="312"/>
        </w:tabs>
      </w:pPr>
    </w:lvl>
  </w:abstractNum>
  <w:abstractNum w:abstractNumId="3">
    <w:nsid w:val="59E07B5C"/>
    <w:multiLevelType w:val="singleLevel"/>
    <w:tmpl w:val="59E07B5C"/>
    <w:lvl w:ilvl="0" w:tentative="0">
      <w:start w:val="1"/>
      <w:numFmt w:val="decimal"/>
      <w:suff w:val="nothing"/>
      <w:lvlText w:val="%1、"/>
      <w:lvlJc w:val="left"/>
    </w:lvl>
  </w:abstractNum>
  <w:abstractNum w:abstractNumId="4">
    <w:nsid w:val="59E07BE8"/>
    <w:multiLevelType w:val="singleLevel"/>
    <w:tmpl w:val="59E07BE8"/>
    <w:lvl w:ilvl="0" w:tentative="0">
      <w:start w:val="1"/>
      <w:numFmt w:val="decimal"/>
      <w:suff w:val="nothing"/>
      <w:lvlText w:val="%1、"/>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3C8"/>
    <w:rsid w:val="0007741E"/>
    <w:rsid w:val="00085917"/>
    <w:rsid w:val="0009407D"/>
    <w:rsid w:val="00095266"/>
    <w:rsid w:val="00096A95"/>
    <w:rsid w:val="000D3DBE"/>
    <w:rsid w:val="001078AB"/>
    <w:rsid w:val="00123320"/>
    <w:rsid w:val="00180C42"/>
    <w:rsid w:val="00192B10"/>
    <w:rsid w:val="001C20CD"/>
    <w:rsid w:val="001D3943"/>
    <w:rsid w:val="00243FEA"/>
    <w:rsid w:val="002636AD"/>
    <w:rsid w:val="00277D27"/>
    <w:rsid w:val="00277D2C"/>
    <w:rsid w:val="002D67FA"/>
    <w:rsid w:val="002E4AEB"/>
    <w:rsid w:val="00356333"/>
    <w:rsid w:val="00361079"/>
    <w:rsid w:val="003A0AB2"/>
    <w:rsid w:val="003A331B"/>
    <w:rsid w:val="003D4003"/>
    <w:rsid w:val="00475F92"/>
    <w:rsid w:val="00491A4E"/>
    <w:rsid w:val="004C5799"/>
    <w:rsid w:val="004E044E"/>
    <w:rsid w:val="005060EF"/>
    <w:rsid w:val="00506FA1"/>
    <w:rsid w:val="005337DE"/>
    <w:rsid w:val="005D0F14"/>
    <w:rsid w:val="005E2EA6"/>
    <w:rsid w:val="005F4E29"/>
    <w:rsid w:val="005F6FE0"/>
    <w:rsid w:val="00636747"/>
    <w:rsid w:val="00664441"/>
    <w:rsid w:val="006663D0"/>
    <w:rsid w:val="00673444"/>
    <w:rsid w:val="00674239"/>
    <w:rsid w:val="00682577"/>
    <w:rsid w:val="0069452D"/>
    <w:rsid w:val="00695E33"/>
    <w:rsid w:val="006B06FF"/>
    <w:rsid w:val="006B5764"/>
    <w:rsid w:val="006B7E7C"/>
    <w:rsid w:val="006C3F53"/>
    <w:rsid w:val="006C43CA"/>
    <w:rsid w:val="00774768"/>
    <w:rsid w:val="007A141A"/>
    <w:rsid w:val="007A167E"/>
    <w:rsid w:val="007B1517"/>
    <w:rsid w:val="007C32F6"/>
    <w:rsid w:val="00851423"/>
    <w:rsid w:val="0087619A"/>
    <w:rsid w:val="008E3A8F"/>
    <w:rsid w:val="008E5DCD"/>
    <w:rsid w:val="008F7717"/>
    <w:rsid w:val="00933A2A"/>
    <w:rsid w:val="0094505E"/>
    <w:rsid w:val="00993180"/>
    <w:rsid w:val="009E57C4"/>
    <w:rsid w:val="009F531E"/>
    <w:rsid w:val="00A0531F"/>
    <w:rsid w:val="00A0658F"/>
    <w:rsid w:val="00A10EAD"/>
    <w:rsid w:val="00A13F55"/>
    <w:rsid w:val="00A17FAC"/>
    <w:rsid w:val="00A31F3B"/>
    <w:rsid w:val="00A63A78"/>
    <w:rsid w:val="00AA4C1F"/>
    <w:rsid w:val="00AA57D9"/>
    <w:rsid w:val="00AC0BBE"/>
    <w:rsid w:val="00AD43FE"/>
    <w:rsid w:val="00AD4573"/>
    <w:rsid w:val="00AE5DE8"/>
    <w:rsid w:val="00AF25E1"/>
    <w:rsid w:val="00B05414"/>
    <w:rsid w:val="00B20CBC"/>
    <w:rsid w:val="00B63456"/>
    <w:rsid w:val="00B7594B"/>
    <w:rsid w:val="00B93CDD"/>
    <w:rsid w:val="00BA7BA1"/>
    <w:rsid w:val="00BB2918"/>
    <w:rsid w:val="00BB3E08"/>
    <w:rsid w:val="00BE7A8B"/>
    <w:rsid w:val="00C4540B"/>
    <w:rsid w:val="00D00A08"/>
    <w:rsid w:val="00D013C8"/>
    <w:rsid w:val="00D3773D"/>
    <w:rsid w:val="00D76C80"/>
    <w:rsid w:val="00DA66D7"/>
    <w:rsid w:val="00E40936"/>
    <w:rsid w:val="00E50F72"/>
    <w:rsid w:val="00E70F83"/>
    <w:rsid w:val="00E86451"/>
    <w:rsid w:val="00E94998"/>
    <w:rsid w:val="00E952E4"/>
    <w:rsid w:val="00EA260C"/>
    <w:rsid w:val="00EC2277"/>
    <w:rsid w:val="00EC6DA6"/>
    <w:rsid w:val="00ED16F7"/>
    <w:rsid w:val="00EE0015"/>
    <w:rsid w:val="00F5787A"/>
    <w:rsid w:val="00F61DEB"/>
    <w:rsid w:val="00FA6490"/>
    <w:rsid w:val="00FF5698"/>
    <w:rsid w:val="01F577B9"/>
    <w:rsid w:val="02483CA8"/>
    <w:rsid w:val="0526058F"/>
    <w:rsid w:val="055C366D"/>
    <w:rsid w:val="05AA6458"/>
    <w:rsid w:val="05CB7009"/>
    <w:rsid w:val="06870DAC"/>
    <w:rsid w:val="07CB12B2"/>
    <w:rsid w:val="080F167E"/>
    <w:rsid w:val="097B6FF1"/>
    <w:rsid w:val="0A152E7E"/>
    <w:rsid w:val="0BD71EE3"/>
    <w:rsid w:val="0E1378E5"/>
    <w:rsid w:val="0FF22D75"/>
    <w:rsid w:val="101007C5"/>
    <w:rsid w:val="14494DA0"/>
    <w:rsid w:val="159E1414"/>
    <w:rsid w:val="16001B5A"/>
    <w:rsid w:val="1C530D68"/>
    <w:rsid w:val="1E4F567E"/>
    <w:rsid w:val="1F85078D"/>
    <w:rsid w:val="228C1924"/>
    <w:rsid w:val="22AE0304"/>
    <w:rsid w:val="248C0836"/>
    <w:rsid w:val="2EA02B25"/>
    <w:rsid w:val="30443666"/>
    <w:rsid w:val="327169B3"/>
    <w:rsid w:val="33525A0A"/>
    <w:rsid w:val="3606082A"/>
    <w:rsid w:val="36F85F3C"/>
    <w:rsid w:val="38B7769F"/>
    <w:rsid w:val="3D336038"/>
    <w:rsid w:val="3D6019E2"/>
    <w:rsid w:val="3EBE0E18"/>
    <w:rsid w:val="41BD2E20"/>
    <w:rsid w:val="458512A6"/>
    <w:rsid w:val="463F04DF"/>
    <w:rsid w:val="474F32D6"/>
    <w:rsid w:val="47772291"/>
    <w:rsid w:val="49415DBF"/>
    <w:rsid w:val="4FBD68F8"/>
    <w:rsid w:val="505121FE"/>
    <w:rsid w:val="519B1BA0"/>
    <w:rsid w:val="51F77181"/>
    <w:rsid w:val="55233E35"/>
    <w:rsid w:val="572D0997"/>
    <w:rsid w:val="597A0CF9"/>
    <w:rsid w:val="5BBE24DC"/>
    <w:rsid w:val="5D365FD4"/>
    <w:rsid w:val="5E1E0ACC"/>
    <w:rsid w:val="5E492213"/>
    <w:rsid w:val="5FB64157"/>
    <w:rsid w:val="614B4BC0"/>
    <w:rsid w:val="62A5476F"/>
    <w:rsid w:val="6409526A"/>
    <w:rsid w:val="65233802"/>
    <w:rsid w:val="66A1426F"/>
    <w:rsid w:val="672512E6"/>
    <w:rsid w:val="699E3128"/>
    <w:rsid w:val="6A511A1B"/>
    <w:rsid w:val="6B6443A0"/>
    <w:rsid w:val="6E4861B3"/>
    <w:rsid w:val="73EC233E"/>
    <w:rsid w:val="7D6A7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outlineLvl w:val="0"/>
    </w:pPr>
    <w:rPr>
      <w:rFonts w:eastAsia="黑体"/>
      <w:b/>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Cambria" w:hAnsi="Cambria"/>
      <w:b/>
      <w:bCs/>
      <w:sz w:val="28"/>
      <w:szCs w:val="32"/>
    </w:rPr>
  </w:style>
  <w:style w:type="character" w:default="1" w:styleId="11">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17"/>
    <w:unhideWhenUsed/>
    <w:qFormat/>
    <w:uiPriority w:val="99"/>
    <w:rPr>
      <w:sz w:val="18"/>
      <w:szCs w:val="18"/>
    </w:rPr>
  </w:style>
  <w:style w:type="paragraph" w:styleId="5">
    <w:name w:val="footer"/>
    <w:basedOn w:val="1"/>
    <w:link w:val="16"/>
    <w:unhideWhenUsed/>
    <w:qFormat/>
    <w:uiPriority w:val="99"/>
    <w:pPr>
      <w:tabs>
        <w:tab w:val="center" w:pos="4153"/>
        <w:tab w:val="right" w:pos="8306"/>
      </w:tabs>
      <w:snapToGrid w:val="0"/>
      <w:jc w:val="left"/>
    </w:pPr>
    <w:rPr>
      <w:sz w:val="18"/>
      <w:szCs w:val="18"/>
    </w:rPr>
  </w:style>
  <w:style w:type="paragraph" w:styleId="6">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9170"/>
      </w:tabs>
      <w:spacing w:before="120" w:after="120"/>
      <w:jc w:val="left"/>
    </w:pPr>
    <w:rPr>
      <w:rFonts w:ascii="宋体" w:hAnsi="宋体"/>
      <w:b/>
      <w:bCs/>
      <w:caps/>
      <w:color w:val="000000"/>
      <w:sz w:val="24"/>
      <w:szCs w:val="24"/>
    </w:rPr>
  </w:style>
  <w:style w:type="paragraph" w:styleId="8">
    <w:name w:val="Subtitle"/>
    <w:basedOn w:val="1"/>
    <w:next w:val="1"/>
    <w:link w:val="21"/>
    <w:qFormat/>
    <w:uiPriority w:val="11"/>
    <w:pPr>
      <w:spacing w:before="240" w:after="60" w:line="312" w:lineRule="auto"/>
      <w:jc w:val="center"/>
      <w:outlineLvl w:val="1"/>
    </w:pPr>
    <w:rPr>
      <w:rFonts w:ascii="Cambria" w:hAnsi="Cambria"/>
      <w:b/>
      <w:bCs/>
      <w:kern w:val="28"/>
      <w:sz w:val="32"/>
      <w:szCs w:val="32"/>
    </w:rPr>
  </w:style>
  <w:style w:type="paragraph" w:styleId="9">
    <w:name w:val="toc 2"/>
    <w:basedOn w:val="1"/>
    <w:next w:val="1"/>
    <w:qFormat/>
    <w:uiPriority w:val="39"/>
    <w:pPr>
      <w:tabs>
        <w:tab w:val="right" w:leader="dot" w:pos="9170"/>
      </w:tabs>
      <w:spacing w:line="360" w:lineRule="auto"/>
      <w:ind w:left="210"/>
      <w:jc w:val="left"/>
    </w:pPr>
    <w:rPr>
      <w:rFonts w:ascii="宋体" w:hAnsi="宋体"/>
      <w:b/>
      <w:smallCaps/>
      <w:color w:val="000000"/>
      <w:sz w:val="24"/>
      <w:szCs w:val="24"/>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2">
    <w:name w:val="Strong"/>
    <w:basedOn w:val="11"/>
    <w:qFormat/>
    <w:uiPriority w:val="99"/>
    <w:rPr>
      <w:rFonts w:cs="Times New Roman"/>
      <w:b/>
      <w:bCs/>
    </w:rPr>
  </w:style>
  <w:style w:type="character" w:styleId="13">
    <w:name w:val="Hyperlink"/>
    <w:qFormat/>
    <w:uiPriority w:val="99"/>
    <w:rPr>
      <w:color w:val="0000FF"/>
      <w:u w:val="single"/>
    </w:rPr>
  </w:style>
  <w:style w:type="character" w:customStyle="1" w:styleId="15">
    <w:name w:val="页眉 Char"/>
    <w:link w:val="6"/>
    <w:qFormat/>
    <w:uiPriority w:val="99"/>
    <w:rPr>
      <w:sz w:val="18"/>
      <w:szCs w:val="18"/>
    </w:rPr>
  </w:style>
  <w:style w:type="character" w:customStyle="1" w:styleId="16">
    <w:name w:val="页脚 Char"/>
    <w:link w:val="5"/>
    <w:qFormat/>
    <w:uiPriority w:val="99"/>
    <w:rPr>
      <w:sz w:val="18"/>
      <w:szCs w:val="18"/>
    </w:rPr>
  </w:style>
  <w:style w:type="character" w:customStyle="1" w:styleId="17">
    <w:name w:val="批注框文本 Char"/>
    <w:link w:val="4"/>
    <w:semiHidden/>
    <w:qFormat/>
    <w:uiPriority w:val="99"/>
    <w:rPr>
      <w:sz w:val="18"/>
      <w:szCs w:val="18"/>
    </w:rPr>
  </w:style>
  <w:style w:type="paragraph" w:customStyle="1" w:styleId="18">
    <w:name w:val="Char Char Char"/>
    <w:basedOn w:val="1"/>
    <w:qFormat/>
    <w:uiPriority w:val="99"/>
    <w:pPr>
      <w:widowControl/>
      <w:spacing w:after="160" w:line="240" w:lineRule="exact"/>
      <w:jc w:val="left"/>
    </w:pPr>
    <w:rPr>
      <w:rFonts w:ascii="Verdana" w:hAnsi="Verdana"/>
      <w:kern w:val="0"/>
      <w:sz w:val="20"/>
      <w:szCs w:val="20"/>
      <w:lang w:eastAsia="en-US"/>
    </w:rPr>
  </w:style>
  <w:style w:type="character" w:customStyle="1" w:styleId="19">
    <w:name w:val="标题 1 Char"/>
    <w:link w:val="2"/>
    <w:qFormat/>
    <w:uiPriority w:val="9"/>
    <w:rPr>
      <w:rFonts w:eastAsia="黑体"/>
      <w:b/>
      <w:bCs/>
      <w:kern w:val="44"/>
      <w:sz w:val="32"/>
      <w:szCs w:val="44"/>
    </w:rPr>
  </w:style>
  <w:style w:type="character" w:customStyle="1" w:styleId="20">
    <w:name w:val="标题 2 Char"/>
    <w:link w:val="3"/>
    <w:qFormat/>
    <w:uiPriority w:val="9"/>
    <w:rPr>
      <w:rFonts w:ascii="Cambria" w:hAnsi="Cambria"/>
      <w:b/>
      <w:bCs/>
      <w:kern w:val="2"/>
      <w:sz w:val="28"/>
      <w:szCs w:val="32"/>
    </w:rPr>
  </w:style>
  <w:style w:type="character" w:customStyle="1" w:styleId="21">
    <w:name w:val="副标题 Char"/>
    <w:link w:val="8"/>
    <w:qFormat/>
    <w:uiPriority w:val="11"/>
    <w:rPr>
      <w:rFonts w:ascii="Cambria" w:hAnsi="Cambria" w:cs="Times New Roman"/>
      <w:b/>
      <w:bCs/>
      <w:kern w:val="28"/>
      <w:sz w:val="32"/>
      <w:szCs w:val="32"/>
    </w:rPr>
  </w:style>
  <w:style w:type="character" w:customStyle="1" w:styleId="22">
    <w:name w:val="txt4"/>
    <w:basedOn w:val="11"/>
    <w:qFormat/>
    <w:uiPriority w:val="99"/>
    <w:rPr>
      <w:rFonts w:cs="Times New Roman"/>
    </w:rPr>
  </w:style>
  <w:style w:type="paragraph" w:customStyle="1" w:styleId="23">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AB30E0-ADCC-47EA-89EA-FE6058A689E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9</Pages>
  <Words>821</Words>
  <Characters>4681</Characters>
  <Lines>39</Lines>
  <Paragraphs>10</Paragraphs>
  <ScaleCrop>false</ScaleCrop>
  <LinksUpToDate>false</LinksUpToDate>
  <CharactersWithSpaces>5492</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2017-08-03T06:47:00Z</dcterms:created>
  <dc:creator>AutoBVT</dc:creator>
  <cp:lastModifiedBy>Administrator</cp:lastModifiedBy>
  <dcterms:modified xsi:type="dcterms:W3CDTF">2017-10-13T08:15:44Z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