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B74" w:rsidRDefault="005866D5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B74" w:rsidRDefault="007D7B74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5866D5" w:rsidRDefault="005866D5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5866D5" w:rsidRDefault="005866D5">
                  <w:pPr>
                    <w:pStyle w:val="1"/>
                    <w:rPr>
                      <w:kern w:val="2"/>
                    </w:rPr>
                  </w:pPr>
                  <w:bookmarkStart w:id="0" w:name="_Toc489608581"/>
                  <w:bookmarkStart w:id="1" w:name="_Toc485828984"/>
                  <w:bookmarkStart w:id="2" w:name="_Toc485904810"/>
                  <w:r>
                    <w:rPr>
                      <w:rFonts w:hint="eastAsia"/>
                      <w:kern w:val="2"/>
                    </w:rPr>
                    <w:t>2017.12.</w:t>
                  </w:r>
                  <w:bookmarkEnd w:id="0"/>
                  <w:bookmarkEnd w:id="1"/>
                  <w:bookmarkEnd w:id="2"/>
                  <w:r>
                    <w:rPr>
                      <w:rFonts w:hint="eastAsia"/>
                      <w:kern w:val="2"/>
                    </w:rPr>
                    <w:t>08</w:t>
                  </w:r>
                </w:p>
                <w:p w:rsidR="005866D5" w:rsidRDefault="005866D5"/>
              </w:txbxContent>
            </v:textbox>
          </v:shape>
        </w:pict>
      </w:r>
      <w:r w:rsidR="005866D5">
        <w:br w:type="page"/>
      </w:r>
    </w:p>
    <w:p w:rsidR="007D7B74" w:rsidRDefault="007D7B74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7D7B74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5866D5" w:rsidRDefault="005866D5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5866D5" w:rsidRDefault="005866D5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r w:rsidRPr="007D7B74">
                        <w:fldChar w:fldCharType="begin"/>
                      </w:r>
                      <w:r>
                        <w:instrText xml:space="preserve"> TOC \o "1-3" \h \z \u </w:instrText>
                      </w:r>
                      <w:r w:rsidRPr="007D7B74">
                        <w:fldChar w:fldCharType="separate"/>
                      </w:r>
                      <w:hyperlink r:id="rId10" w:anchor="_Toc489608581" w:history="1">
                        <w:r>
                          <w:rPr>
                            <w:rStyle w:val="a8"/>
                          </w:rPr>
                          <w:t>2017.</w:t>
                        </w:r>
                        <w:r>
                          <w:rPr>
                            <w:rStyle w:val="a8"/>
                            <w:rFonts w:hint="eastAsia"/>
                          </w:rPr>
                          <w:t>12</w:t>
                        </w:r>
                        <w:r>
                          <w:rPr>
                            <w:rStyle w:val="a8"/>
                          </w:rPr>
                          <w:t>.</w:t>
                        </w:r>
                        <w:r>
                          <w:rPr>
                            <w:rStyle w:val="a8"/>
                            <w:rFonts w:hint="eastAsia"/>
                          </w:rPr>
                          <w:t>8</w:t>
                        </w:r>
                        <w:r>
                          <w:tab/>
                        </w:r>
                        <w:r>
                          <w:fldChar w:fldCharType="begin"/>
                        </w:r>
                        <w:r>
                          <w:instrText xml:space="preserve"> PAGEREF _Toc489608581 \h </w:instrText>
                        </w:r>
                        <w:r>
                          <w:fldChar w:fldCharType="separate"/>
                        </w:r>
                        <w:r>
                          <w:t>1</w:t>
                        </w:r>
                        <w:r>
                          <w:fldChar w:fldCharType="end"/>
                        </w:r>
                      </w:hyperlink>
                    </w:p>
                    <w:p w:rsidR="005866D5" w:rsidRDefault="005866D5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2" w:history="1">
                        <w:r>
                          <w:rPr>
                            <w:rStyle w:val="a8"/>
                            <w:rFonts w:hint="eastAsia"/>
                          </w:rPr>
                          <w:t>一．中国国内电石市场</w:t>
                        </w:r>
                        <w:r>
                          <w:tab/>
                        </w:r>
                        <w:r>
                          <w:fldChar w:fldCharType="begin"/>
                        </w:r>
                        <w:r>
                          <w:instrText xml:space="preserve"> PAGEREF _Toc489608582 \h </w:instrText>
                        </w:r>
                        <w:r>
                          <w:fldChar w:fldCharType="separate"/>
                        </w:r>
                        <w:r>
                          <w:t>3</w:t>
                        </w:r>
                        <w:r>
                          <w:fldChar w:fldCharType="end"/>
                        </w:r>
                      </w:hyperlink>
                    </w:p>
                    <w:p w:rsidR="005866D5" w:rsidRDefault="005866D5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3" w:history="1">
                        <w:r>
                          <w:rPr>
                            <w:rStyle w:val="a8"/>
                            <w:rFonts w:hint="eastAsia"/>
                          </w:rPr>
                          <w:t>二、聚氯乙烯市场</w:t>
                        </w: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</w:hyperlink>
                    </w:p>
                    <w:p w:rsidR="005866D5" w:rsidRDefault="005866D5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4" w:history="1">
                        <w:r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2.1 </w:t>
                        </w:r>
                        <w:r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本周行情回顾</w:t>
                        </w: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>6</w:t>
                        </w:r>
                      </w:hyperlink>
                    </w:p>
                    <w:p w:rsidR="005866D5" w:rsidRDefault="005866D5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5" w:history="1">
                        <w:r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2.2</w:t>
                        </w:r>
                        <w:r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大商所</w:t>
                        </w:r>
                        <w:r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PVC</w:t>
                        </w:r>
                        <w:r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期货价格</w:t>
                        </w: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>6</w:t>
                        </w:r>
                      </w:hyperlink>
                    </w:p>
                    <w:p w:rsidR="005866D5" w:rsidRDefault="005866D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6" w:history="1">
                        <w:r>
                          <w:rPr>
                            <w:rStyle w:val="a8"/>
                          </w:rPr>
                          <w:t xml:space="preserve">2.3 </w:t>
                        </w:r>
                        <w:r>
                          <w:rPr>
                            <w:rStyle w:val="a8"/>
                            <w:rFonts w:hint="eastAsia"/>
                          </w:rPr>
                          <w:t>重点</w:t>
                        </w:r>
                        <w:r>
                          <w:rPr>
                            <w:rStyle w:val="a8"/>
                          </w:rPr>
                          <w:t>PVC</w:t>
                        </w:r>
                        <w:r>
                          <w:rPr>
                            <w:rStyle w:val="a8"/>
                            <w:rFonts w:hint="eastAsia"/>
                          </w:rPr>
                          <w:t>厂家价格</w:t>
                        </w: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>7</w:t>
                        </w:r>
                      </w:hyperlink>
                    </w:p>
                    <w:p w:rsidR="005866D5" w:rsidRDefault="005866D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7" w:history="1">
                        <w:r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2.4 </w:t>
                        </w:r>
                        <w:r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国内</w:t>
                        </w:r>
                        <w:r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PVC</w:t>
                        </w:r>
                        <w:r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现货市场价格</w:t>
                        </w: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>8</w:t>
                        </w:r>
                      </w:hyperlink>
                    </w:p>
                    <w:p w:rsidR="005866D5" w:rsidRDefault="005866D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8" w:history="1">
                        <w:r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2.5 </w:t>
                        </w:r>
                        <w:r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国际</w:t>
                        </w:r>
                        <w:r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PVC</w:t>
                        </w:r>
                        <w:r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市场价格</w:t>
                        </w: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>9</w:t>
                        </w:r>
                      </w:hyperlink>
                    </w:p>
                    <w:p w:rsidR="005866D5" w:rsidRDefault="005866D5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9" w:history="1">
                        <w:r>
                          <w:rPr>
                            <w:rStyle w:val="a8"/>
                            <w:rFonts w:hint="eastAsia"/>
                          </w:rPr>
                          <w:t>三、相关产品</w:t>
                        </w: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</w:hyperlink>
                      <w:r>
                        <w:rPr>
                          <w:rFonts w:hint="eastAsia"/>
                        </w:rPr>
                        <w:t>0</w:t>
                      </w:r>
                    </w:p>
                    <w:p w:rsidR="005866D5" w:rsidRDefault="005866D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0" w:history="1">
                        <w:r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3.1 </w:t>
                        </w:r>
                        <w:r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原油</w:t>
                        </w: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</w:hyperlink>
                      <w:r>
                        <w:rPr>
                          <w:rFonts w:hint="eastAsia"/>
                        </w:rPr>
                        <w:t>0</w:t>
                      </w:r>
                    </w:p>
                    <w:p w:rsidR="005866D5" w:rsidRDefault="005866D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1" w:history="1">
                        <w:r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3.2 </w:t>
                        </w:r>
                        <w:r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乙烯</w:t>
                        </w: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</w:hyperlink>
                      <w:r>
                        <w:rPr>
                          <w:rFonts w:hint="eastAsia"/>
                        </w:rPr>
                        <w:t>1</w:t>
                      </w:r>
                    </w:p>
                    <w:p w:rsidR="005866D5" w:rsidRDefault="005866D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2" w:history="1">
                        <w:r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3.3 EDC</w:t>
                        </w:r>
                        <w:r>
                          <w:tab/>
                        </w:r>
                        <w:r>
                          <w:fldChar w:fldCharType="begin"/>
                        </w:r>
                        <w:r>
                          <w:instrText xml:space="preserve"> PAGEREF _Toc489608592 \h </w:instrText>
                        </w:r>
                        <w:r>
                          <w:fldChar w:fldCharType="separate"/>
                        </w: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fldChar w:fldCharType="end"/>
                        </w:r>
                      </w:hyperlink>
                    </w:p>
                    <w:p w:rsidR="005866D5" w:rsidRDefault="005866D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3" w:history="1">
                        <w:r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3.4 VCM</w:t>
                        </w:r>
                        <w:r>
                          <w:tab/>
                        </w:r>
                        <w:r>
                          <w:fldChar w:fldCharType="begin"/>
                        </w:r>
                        <w:r>
                          <w:instrText xml:space="preserve"> PAGEREF _Toc489608593 \h </w:instrText>
                        </w:r>
                        <w:r>
                          <w:fldChar w:fldCharType="separate"/>
                        </w: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3</w:t>
                        </w:r>
                        <w:r>
                          <w:fldChar w:fldCharType="end"/>
                        </w:r>
                      </w:hyperlink>
                    </w:p>
                    <w:p w:rsidR="005866D5" w:rsidRDefault="005866D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4" w:history="1">
                        <w:r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3.5</w:t>
                        </w:r>
                        <w:r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电石</w:t>
                        </w:r>
                        <w:r>
                          <w:tab/>
                        </w:r>
                        <w:r>
                          <w:fldChar w:fldCharType="begin"/>
                        </w:r>
                        <w:r>
                          <w:instrText xml:space="preserve"> PAGEREF _Toc489608594 \h </w:instrText>
                        </w:r>
                        <w:r>
                          <w:fldChar w:fldCharType="separate"/>
                        </w: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  <w:r>
                          <w:fldChar w:fldCharType="end"/>
                        </w:r>
                      </w:hyperlink>
                    </w:p>
                    <w:p w:rsidR="005866D5" w:rsidRDefault="005866D5">
                      <w:pPr>
                        <w:pStyle w:val="10"/>
                        <w:tabs>
                          <w:tab w:val="left" w:pos="840"/>
                        </w:tabs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5" w:history="1">
                        <w:r>
                          <w:rPr>
                            <w:rStyle w:val="a8"/>
                            <w:rFonts w:ascii="Wingdings" w:hAnsi="Wingdings"/>
                          </w:rPr>
                          <w:t></w:t>
                        </w:r>
                        <w:r>
                          <w:rPr>
                            <w:rFonts w:asciiTheme="minorHAnsi" w:eastAsiaTheme="minorEastAsia" w:hAnsiTheme="minorHAnsi" w:cstheme="minorBidi"/>
                            <w:b w:val="0"/>
                            <w:bCs w:val="0"/>
                            <w:caps w:val="0"/>
                            <w:color w:val="auto"/>
                            <w:sz w:val="21"/>
                            <w:szCs w:val="22"/>
                          </w:rPr>
                          <w:tab/>
                        </w:r>
                        <w:r>
                          <w:rPr>
                            <w:rStyle w:val="a8"/>
                            <w:rFonts w:hint="eastAsia"/>
                          </w:rPr>
                          <w:t>专题：宏观统计数据</w:t>
                        </w:r>
                        <w:r>
                          <w:tab/>
                        </w:r>
                        <w:r>
                          <w:fldChar w:fldCharType="begin"/>
                        </w:r>
                        <w:r>
                          <w:instrText xml:space="preserve"> PAGEREF _Toc489608595 \h </w:instrText>
                        </w:r>
                        <w:r>
                          <w:fldChar w:fldCharType="separate"/>
                        </w: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  <w:r>
                          <w:fldChar w:fldCharType="end"/>
                        </w:r>
                      </w:hyperlink>
                    </w:p>
                    <w:p w:rsidR="005866D5" w:rsidRDefault="005866D5">
                      <w:r>
                        <w:fldChar w:fldCharType="end"/>
                      </w:r>
                    </w:p>
                  </w:sdtContent>
                </w:sdt>
                <w:p w:rsidR="005866D5" w:rsidRDefault="005866D5"/>
              </w:txbxContent>
            </v:textbox>
          </v:shape>
        </w:pict>
      </w:r>
      <w:r w:rsidR="005866D5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End w:id="3"/>
      <w:proofErr w:type="gramStart"/>
      <w:r w:rsidR="005866D5">
        <w:rPr>
          <w:rFonts w:hint="eastAsia"/>
          <w:sz w:val="30"/>
          <w:szCs w:val="30"/>
        </w:rPr>
        <w:lastRenderedPageBreak/>
        <w:t>一</w:t>
      </w:r>
      <w:proofErr w:type="gramEnd"/>
      <w:r w:rsidR="005866D5">
        <w:rPr>
          <w:rFonts w:hint="eastAsia"/>
          <w:sz w:val="30"/>
          <w:szCs w:val="30"/>
        </w:rPr>
        <w:t>．中国国内电石市场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7D7B74" w:rsidRDefault="007D7B7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13" w:name="_Toc295460175"/>
    </w:p>
    <w:p w:rsidR="00C40029" w:rsidRPr="00C40029" w:rsidRDefault="005866D5" w:rsidP="00C4002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市场概述：本周</w:t>
      </w:r>
      <w:r w:rsidR="00C40029" w:rsidRPr="00C40029">
        <w:rPr>
          <w:rFonts w:ascii="仿宋" w:eastAsia="仿宋" w:hAnsi="仿宋" w:cs="仿宋" w:hint="eastAsia"/>
          <w:sz w:val="28"/>
          <w:szCs w:val="28"/>
        </w:rPr>
        <w:t>，中国电石市场整体交投重心下移，本周河北，山东，河南地区氯</w:t>
      </w:r>
      <w:proofErr w:type="gramStart"/>
      <w:r w:rsidR="00C40029" w:rsidRPr="00C40029">
        <w:rPr>
          <w:rFonts w:ascii="仿宋" w:eastAsia="仿宋" w:hAnsi="仿宋" w:cs="仿宋" w:hint="eastAsia"/>
          <w:sz w:val="28"/>
          <w:szCs w:val="28"/>
        </w:rPr>
        <w:t>碱企业</w:t>
      </w:r>
      <w:proofErr w:type="gramEnd"/>
      <w:r w:rsidR="00C40029" w:rsidRPr="00C40029">
        <w:rPr>
          <w:rFonts w:ascii="仿宋" w:eastAsia="仿宋" w:hAnsi="仿宋" w:cs="仿宋" w:hint="eastAsia"/>
          <w:sz w:val="28"/>
          <w:szCs w:val="28"/>
        </w:rPr>
        <w:t>采购价格下调50-100元/吨左右，其他地区氯</w:t>
      </w:r>
      <w:proofErr w:type="gramStart"/>
      <w:r w:rsidR="00C40029" w:rsidRPr="00C40029">
        <w:rPr>
          <w:rFonts w:ascii="仿宋" w:eastAsia="仿宋" w:hAnsi="仿宋" w:cs="仿宋" w:hint="eastAsia"/>
          <w:sz w:val="28"/>
          <w:szCs w:val="28"/>
        </w:rPr>
        <w:t>碱企业</w:t>
      </w:r>
      <w:proofErr w:type="gramEnd"/>
      <w:r w:rsidR="00C40029" w:rsidRPr="00C40029">
        <w:rPr>
          <w:rFonts w:ascii="仿宋" w:eastAsia="仿宋" w:hAnsi="仿宋" w:cs="仿宋" w:hint="eastAsia"/>
          <w:sz w:val="28"/>
          <w:szCs w:val="28"/>
        </w:rPr>
        <w:t>接收价格以稳为主，但电石的整体到货量仍然充裕。本周宁夏、内蒙古地区启动环境污染突出问题防治情况调研，进入12月初，政府相关部门责令宁夏中卫县内所有铁合金、电石和碳化</w:t>
      </w:r>
      <w:proofErr w:type="gramStart"/>
      <w:r w:rsidR="00C40029" w:rsidRPr="00C40029">
        <w:rPr>
          <w:rFonts w:ascii="仿宋" w:eastAsia="仿宋" w:hAnsi="仿宋" w:cs="仿宋" w:hint="eastAsia"/>
          <w:sz w:val="28"/>
          <w:szCs w:val="28"/>
        </w:rPr>
        <w:t>硅企业</w:t>
      </w:r>
      <w:proofErr w:type="gramEnd"/>
      <w:r w:rsidR="00C40029" w:rsidRPr="00C40029">
        <w:rPr>
          <w:rFonts w:ascii="仿宋" w:eastAsia="仿宋" w:hAnsi="仿宋" w:cs="仿宋" w:hint="eastAsia"/>
          <w:sz w:val="28"/>
          <w:szCs w:val="28"/>
        </w:rPr>
        <w:t>进行停产整顿，小型电石</w:t>
      </w:r>
      <w:proofErr w:type="gramStart"/>
      <w:r w:rsidR="00C40029" w:rsidRPr="00C40029">
        <w:rPr>
          <w:rFonts w:ascii="仿宋" w:eastAsia="仿宋" w:hAnsi="仿宋" w:cs="仿宋" w:hint="eastAsia"/>
          <w:sz w:val="28"/>
          <w:szCs w:val="28"/>
        </w:rPr>
        <w:t>炉全部</w:t>
      </w:r>
      <w:proofErr w:type="gramEnd"/>
      <w:r w:rsidR="00C40029" w:rsidRPr="00C40029">
        <w:rPr>
          <w:rFonts w:ascii="仿宋" w:eastAsia="仿宋" w:hAnsi="仿宋" w:cs="仿宋" w:hint="eastAsia"/>
          <w:sz w:val="28"/>
          <w:szCs w:val="28"/>
        </w:rPr>
        <w:t>断电关停，具体恢复时间未定。吴忠两家电石厂停产，石嘴山地区20000KVA以下生产硅铁、硅锰电炉全部关停。综合来看宁夏地区电石厂总计关停会达到70%左右。从数据来看，宁夏地区年总产能为493万吨，占全国总产能10-13%左右。月产量最高可达30万吨左右，若宁夏停产达到7成，预计该地区电石月产量仅有不到10万吨左右。目前根据企业生产情况看，电石的总供应量减少尚不明显，河南、四川、陕西等主要采购区域的到货量仍然过剩。12月7日山东、华北、华中、西北地区的电石到货均价是3193元/吨，与上周四的3246元/吨相比，降幅达到1.64%。</w:t>
      </w:r>
    </w:p>
    <w:p w:rsidR="007D7B74" w:rsidRDefault="007D7B74" w:rsidP="00C40029">
      <w:pPr>
        <w:pStyle w:val="a7"/>
        <w:spacing w:line="400" w:lineRule="exact"/>
        <w:ind w:firstLineChars="200" w:firstLine="562"/>
        <w:rPr>
          <w:b/>
          <w:bCs/>
          <w:sz w:val="28"/>
          <w:szCs w:val="28"/>
        </w:rPr>
      </w:pP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7D7B74" w:rsidRDefault="007D7B7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宁夏地区：</w:t>
      </w:r>
      <w:r w:rsidR="00C40029" w:rsidRPr="00C40029">
        <w:rPr>
          <w:rFonts w:ascii="仿宋" w:eastAsia="仿宋" w:hAnsi="仿宋" w:cs="仿宋" w:hint="eastAsia"/>
          <w:sz w:val="28"/>
          <w:szCs w:val="28"/>
        </w:rPr>
        <w:t>电石市场供需关系稍显紧张，成交价格暂维持在原位，企业多因下游市场及运距的不同出厂报价略显差异。据悉，省内部分电石炉已停车或计划停车，供应量减少，企业提价意愿仍存。</w:t>
      </w:r>
      <w:r>
        <w:rPr>
          <w:rFonts w:ascii="仿宋" w:eastAsia="仿宋" w:hAnsi="仿宋" w:cs="仿宋" w:hint="eastAsia"/>
          <w:sz w:val="28"/>
          <w:szCs w:val="28"/>
        </w:rPr>
        <w:t>现一级品电石主流出厂价格在2850-3000元/吨，不同出厂报价略显差异。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陕西地区：</w:t>
      </w:r>
      <w:r w:rsidR="00C40029" w:rsidRPr="00C40029">
        <w:rPr>
          <w:rFonts w:ascii="仿宋" w:eastAsia="仿宋" w:hAnsi="仿宋" w:cs="仿宋" w:hint="eastAsia"/>
          <w:sz w:val="28"/>
          <w:szCs w:val="28"/>
        </w:rPr>
        <w:t>电石市场行情黯淡，成交偏向低端。据了解，当地氯</w:t>
      </w:r>
      <w:proofErr w:type="gramStart"/>
      <w:r w:rsidR="00C40029" w:rsidRPr="00C40029">
        <w:rPr>
          <w:rFonts w:ascii="仿宋" w:eastAsia="仿宋" w:hAnsi="仿宋" w:cs="仿宋" w:hint="eastAsia"/>
          <w:sz w:val="28"/>
          <w:szCs w:val="28"/>
        </w:rPr>
        <w:t>碱企业</w:t>
      </w:r>
      <w:proofErr w:type="gramEnd"/>
      <w:r w:rsidR="00C40029" w:rsidRPr="00C40029">
        <w:rPr>
          <w:rFonts w:ascii="仿宋" w:eastAsia="仿宋" w:hAnsi="仿宋" w:cs="仿宋" w:hint="eastAsia"/>
          <w:sz w:val="28"/>
          <w:szCs w:val="28"/>
        </w:rPr>
        <w:t>开工较高，但电石到货量充裕，导致其对电石企业的压价心理有增无减。而电石企业</w:t>
      </w:r>
      <w:proofErr w:type="gramStart"/>
      <w:r w:rsidR="00C40029" w:rsidRPr="00C40029">
        <w:rPr>
          <w:rFonts w:ascii="仿宋" w:eastAsia="仿宋" w:hAnsi="仿宋" w:cs="仿宋" w:hint="eastAsia"/>
          <w:sz w:val="28"/>
          <w:szCs w:val="28"/>
        </w:rPr>
        <w:t>挺</w:t>
      </w:r>
      <w:proofErr w:type="gramEnd"/>
      <w:r w:rsidR="00C40029" w:rsidRPr="00C40029">
        <w:rPr>
          <w:rFonts w:ascii="仿宋" w:eastAsia="仿宋" w:hAnsi="仿宋" w:cs="仿宋" w:hint="eastAsia"/>
          <w:sz w:val="28"/>
          <w:szCs w:val="28"/>
        </w:rPr>
        <w:t>价意愿强烈，因此市场运行较为僵持。</w:t>
      </w:r>
      <w:r>
        <w:rPr>
          <w:rFonts w:ascii="仿宋" w:eastAsia="仿宋" w:hAnsi="仿宋" w:cs="仿宋" w:hint="eastAsia"/>
          <w:sz w:val="28"/>
          <w:szCs w:val="28"/>
        </w:rPr>
        <w:t>现神木地区一级品电石主流出厂价格在</w:t>
      </w:r>
      <w:r w:rsidR="00C40029">
        <w:rPr>
          <w:rFonts w:ascii="仿宋" w:eastAsia="仿宋" w:hAnsi="仿宋" w:cs="仿宋" w:hint="eastAsia"/>
          <w:sz w:val="28"/>
          <w:szCs w:val="28"/>
        </w:rPr>
        <w:t>2580-300</w:t>
      </w:r>
      <w:r>
        <w:rPr>
          <w:rFonts w:ascii="仿宋" w:eastAsia="仿宋" w:hAnsi="仿宋" w:cs="仿宋" w:hint="eastAsia"/>
          <w:sz w:val="28"/>
          <w:szCs w:val="28"/>
        </w:rPr>
        <w:t>0元/吨，不同出厂报价略显差异。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乌盟地区：</w:t>
      </w:r>
      <w:r w:rsidR="00C40029" w:rsidRPr="00C40029">
        <w:rPr>
          <w:rFonts w:ascii="仿宋" w:eastAsia="仿宋" w:hAnsi="仿宋" w:cs="仿宋" w:hint="eastAsia"/>
          <w:sz w:val="28"/>
          <w:szCs w:val="28"/>
        </w:rPr>
        <w:t>由于宁夏等地电石炉开工下调，乌盟地区厂家出货情况较为顺畅，价格重心维持稳定。据了解，国内电石市场货源偏紧的预期增强，氯</w:t>
      </w:r>
      <w:proofErr w:type="gramStart"/>
      <w:r w:rsidR="00C40029" w:rsidRPr="00C40029">
        <w:rPr>
          <w:rFonts w:ascii="仿宋" w:eastAsia="仿宋" w:hAnsi="仿宋" w:cs="仿宋" w:hint="eastAsia"/>
          <w:sz w:val="28"/>
          <w:szCs w:val="28"/>
        </w:rPr>
        <w:t>碱企业</w:t>
      </w:r>
      <w:proofErr w:type="gramEnd"/>
      <w:r w:rsidR="00C40029" w:rsidRPr="00C40029">
        <w:rPr>
          <w:rFonts w:ascii="仿宋" w:eastAsia="仿宋" w:hAnsi="仿宋" w:cs="仿宋" w:hint="eastAsia"/>
          <w:sz w:val="28"/>
          <w:szCs w:val="28"/>
        </w:rPr>
        <w:t>采购积极性不减，对货源的压价力度减弱，当地</w:t>
      </w:r>
      <w:r w:rsidR="00C40029" w:rsidRPr="00C40029">
        <w:rPr>
          <w:rFonts w:ascii="仿宋" w:eastAsia="仿宋" w:hAnsi="仿宋" w:cs="仿宋" w:hint="eastAsia"/>
          <w:sz w:val="28"/>
          <w:szCs w:val="28"/>
        </w:rPr>
        <w:lastRenderedPageBreak/>
        <w:t>厂家外销情况顺畅，价格重心僵持观望。</w:t>
      </w:r>
      <w:r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>
        <w:rPr>
          <w:rFonts w:ascii="仿宋" w:eastAsia="仿宋" w:hAnsi="仿宋" w:cs="仿宋"/>
          <w:sz w:val="28"/>
          <w:szCs w:val="28"/>
        </w:rPr>
        <w:t>30</w:t>
      </w:r>
      <w:r>
        <w:rPr>
          <w:rFonts w:ascii="仿宋" w:eastAsia="仿宋" w:hAnsi="仿宋" w:cs="仿宋" w:hint="eastAsia"/>
          <w:sz w:val="28"/>
          <w:szCs w:val="28"/>
        </w:rPr>
        <w:t>0</w:t>
      </w:r>
      <w:r w:rsidR="00C40029">
        <w:rPr>
          <w:rFonts w:ascii="仿宋" w:eastAsia="仿宋" w:hAnsi="仿宋" w:cs="仿宋"/>
          <w:sz w:val="28"/>
          <w:szCs w:val="28"/>
        </w:rPr>
        <w:t>0-3</w:t>
      </w:r>
      <w:r w:rsidR="00C40029">
        <w:rPr>
          <w:rFonts w:ascii="仿宋" w:eastAsia="仿宋" w:hAnsi="仿宋" w:cs="仿宋" w:hint="eastAsia"/>
          <w:sz w:val="28"/>
          <w:szCs w:val="28"/>
        </w:rPr>
        <w:t>05</w:t>
      </w:r>
      <w:r>
        <w:rPr>
          <w:rFonts w:ascii="仿宋" w:eastAsia="仿宋" w:hAnsi="仿宋" w:cs="仿宋"/>
          <w:sz w:val="28"/>
          <w:szCs w:val="28"/>
        </w:rPr>
        <w:t>0</w:t>
      </w:r>
      <w:r>
        <w:rPr>
          <w:rFonts w:ascii="仿宋" w:eastAsia="仿宋" w:hAnsi="仿宋" w:cs="仿宋" w:hint="eastAsia"/>
          <w:sz w:val="28"/>
          <w:szCs w:val="28"/>
        </w:rPr>
        <w:t>元/吨，不同出厂报价略显差异。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河北地区：</w:t>
      </w:r>
      <w:r w:rsidR="00C40029" w:rsidRPr="00C40029">
        <w:rPr>
          <w:rFonts w:ascii="仿宋" w:eastAsia="仿宋" w:hAnsi="仿宋" w:cs="仿宋" w:hint="eastAsia"/>
          <w:sz w:val="28"/>
          <w:szCs w:val="28"/>
        </w:rPr>
        <w:t>电石市场走势平稳，主流成交价格未见明显波动。据分析，受电石到货稳定的影响，氯</w:t>
      </w:r>
      <w:proofErr w:type="gramStart"/>
      <w:r w:rsidR="00C40029" w:rsidRPr="00C40029">
        <w:rPr>
          <w:rFonts w:ascii="仿宋" w:eastAsia="仿宋" w:hAnsi="仿宋" w:cs="仿宋" w:hint="eastAsia"/>
          <w:sz w:val="28"/>
          <w:szCs w:val="28"/>
        </w:rPr>
        <w:t>碱企业</w:t>
      </w:r>
      <w:proofErr w:type="gramEnd"/>
      <w:r w:rsidR="00C40029" w:rsidRPr="00C40029">
        <w:rPr>
          <w:rFonts w:ascii="仿宋" w:eastAsia="仿宋" w:hAnsi="仿宋" w:cs="仿宋" w:hint="eastAsia"/>
          <w:sz w:val="28"/>
          <w:szCs w:val="28"/>
        </w:rPr>
        <w:t>对电石采购价格的压力不减，而电石厂家受成本因素支撑，暂不接受采购价格的下调，供需双方僵持态势未改。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山东地区：</w:t>
      </w:r>
      <w:r w:rsidR="00C40029" w:rsidRPr="00C40029">
        <w:rPr>
          <w:rFonts w:ascii="仿宋" w:eastAsia="仿宋" w:hAnsi="仿宋" w:cs="仿宋" w:hint="eastAsia"/>
          <w:sz w:val="28"/>
          <w:szCs w:val="28"/>
        </w:rPr>
        <w:t>电石市场交投低稳，主流成交价格维持不变。据分析，近期电石到货情况稳定，当地氯碱装置开工负荷也未见明显变化，供需关系维持在前期水平，电石厂家虽有意上调报价，但难寻上涨的利好支撑，价格较为僵持。</w:t>
      </w:r>
    </w:p>
    <w:p w:rsidR="007D7B74" w:rsidRDefault="007D7B7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7D7B7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  <w:bookmarkStart w:id="14" w:name="_Toc485904756"/>
      <w:bookmarkStart w:id="15" w:name="_Toc485904789"/>
      <w:bookmarkStart w:id="16" w:name="_Toc485904812"/>
      <w:bookmarkStart w:id="17" w:name="_Toc485914306"/>
      <w:bookmarkStart w:id="18" w:name="_Toc489608583"/>
    </w:p>
    <w:p w:rsidR="007D7B74" w:rsidRDefault="005866D5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1、需求方面：</w:t>
      </w:r>
      <w:r w:rsidRPr="005866D5">
        <w:rPr>
          <w:rFonts w:ascii="仿宋" w:eastAsia="仿宋" w:hAnsi="仿宋" w:cs="仿宋" w:hint="eastAsia"/>
          <w:sz w:val="28"/>
          <w:szCs w:val="28"/>
        </w:rPr>
        <w:t>对于淡季的行情出现反弹的现象也只是短暂的，周四收盘开始大跌，现货市场或将回归合理面。</w:t>
      </w:r>
    </w:p>
    <w:p w:rsidR="007D7B74" w:rsidRDefault="005866D5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2.供应方面：</w:t>
      </w:r>
      <w:r w:rsidRPr="005866D5">
        <w:rPr>
          <w:rFonts w:ascii="仿宋" w:eastAsia="仿宋" w:hAnsi="仿宋" w:cs="仿宋" w:hint="eastAsia"/>
          <w:sz w:val="28"/>
          <w:szCs w:val="28"/>
        </w:rPr>
        <w:t>内蒙古、宁夏地区小型电石</w:t>
      </w:r>
      <w:proofErr w:type="gramStart"/>
      <w:r w:rsidRPr="005866D5">
        <w:rPr>
          <w:rFonts w:ascii="仿宋" w:eastAsia="仿宋" w:hAnsi="仿宋" w:cs="仿宋" w:hint="eastAsia"/>
          <w:sz w:val="28"/>
          <w:szCs w:val="28"/>
        </w:rPr>
        <w:t>炉全部</w:t>
      </w:r>
      <w:proofErr w:type="gramEnd"/>
      <w:r w:rsidRPr="005866D5">
        <w:rPr>
          <w:rFonts w:ascii="仿宋" w:eastAsia="仿宋" w:hAnsi="仿宋" w:cs="仿宋" w:hint="eastAsia"/>
          <w:sz w:val="28"/>
          <w:szCs w:val="28"/>
        </w:rPr>
        <w:t>断电关停，但对电石产量的影响尚不明显，短期内对电石价格的支撑有限。</w:t>
      </w:r>
    </w:p>
    <w:p w:rsidR="007D7B74" w:rsidRDefault="005866D5" w:rsidP="005866D5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>
        <w:rPr>
          <w:rFonts w:ascii="仿宋" w:eastAsia="仿宋" w:hAnsi="仿宋" w:cs="仿宋"/>
          <w:sz w:val="28"/>
          <w:szCs w:val="28"/>
        </w:rPr>
        <w:t>预测：</w:t>
      </w:r>
      <w:r w:rsidRPr="005866D5">
        <w:rPr>
          <w:rFonts w:ascii="仿宋" w:eastAsia="仿宋" w:hAnsi="仿宋" w:cs="仿宋" w:hint="eastAsia"/>
          <w:sz w:val="28"/>
          <w:szCs w:val="28"/>
        </w:rPr>
        <w:t>后期国内电石市场整体交投重心仍有下行空间。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19" w:name="_Toc295460176"/>
      <w:bookmarkEnd w:id="13"/>
      <w:bookmarkEnd w:id="14"/>
      <w:bookmarkEnd w:id="15"/>
      <w:bookmarkEnd w:id="16"/>
      <w:bookmarkEnd w:id="17"/>
      <w:bookmarkEnd w:id="18"/>
    </w:p>
    <w:p w:rsidR="007D7B74" w:rsidRDefault="007D7B74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</w:p>
    <w:p w:rsidR="005866D5" w:rsidRDefault="005866D5" w:rsidP="005866D5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hint="eastAsia"/>
          <w:sz w:val="28"/>
          <w:szCs w:val="28"/>
        </w:rPr>
        <w:t>市场概述：</w:t>
      </w:r>
      <w:r w:rsidRPr="005866D5">
        <w:rPr>
          <w:rFonts w:ascii="仿宋" w:eastAsia="仿宋" w:hAnsi="仿宋" w:cs="仿宋"/>
          <w:sz w:val="28"/>
          <w:szCs w:val="28"/>
        </w:rPr>
        <w:t>本周国内PVC整体市场成交重心上行，部分贸易商惜售封盘惜售，截止今日PVC现货市场指数为6064.4，较上周五5925.1上升2.35%。一方面由于周初开始期货连续大涨，提振现货市场气氛，支撑价格不断上行；另一方面贸易商现货较少，多数厂家也无库存压力，贸易商惜售为主。再加上原料电石局部限产的利好带动下，走支撑现货PVC市场价格上扬，</w:t>
      </w:r>
      <w:proofErr w:type="gramStart"/>
      <w:r w:rsidRPr="005866D5">
        <w:rPr>
          <w:rFonts w:ascii="仿宋" w:eastAsia="仿宋" w:hAnsi="仿宋" w:cs="仿宋"/>
          <w:sz w:val="28"/>
          <w:szCs w:val="28"/>
        </w:rPr>
        <w:t>询单气氛</w:t>
      </w:r>
      <w:proofErr w:type="gramEnd"/>
      <w:r w:rsidRPr="005866D5">
        <w:rPr>
          <w:rFonts w:ascii="仿宋" w:eastAsia="仿宋" w:hAnsi="仿宋" w:cs="仿宋"/>
          <w:sz w:val="28"/>
          <w:szCs w:val="28"/>
        </w:rPr>
        <w:t>良好。</w:t>
      </w:r>
      <w:r>
        <w:rPr>
          <w:rFonts w:ascii="仿宋" w:eastAsia="仿宋" w:hAnsi="仿宋" w:cs="仿宋" w:hint="eastAsia"/>
          <w:sz w:val="28"/>
          <w:szCs w:val="28"/>
        </w:rPr>
        <w:t> </w:t>
      </w:r>
    </w:p>
    <w:p w:rsidR="007D7B74" w:rsidRDefault="005866D5" w:rsidP="005866D5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厂家方面：</w:t>
      </w:r>
      <w:r w:rsidRPr="005866D5">
        <w:rPr>
          <w:rFonts w:ascii="仿宋" w:eastAsia="仿宋" w:hAnsi="仿宋" w:cs="仿宋"/>
          <w:sz w:val="28"/>
          <w:szCs w:val="28"/>
        </w:rPr>
        <w:t>本周昊华宇航旗下企业持续三天价格走高，西南地区受空气指标黄色预警影响，部分厂家降负荷生产，金路开工8成左右，</w:t>
      </w:r>
      <w:proofErr w:type="gramStart"/>
      <w:r w:rsidRPr="005866D5">
        <w:rPr>
          <w:rFonts w:ascii="仿宋" w:eastAsia="仿宋" w:hAnsi="仿宋" w:cs="仿宋"/>
          <w:sz w:val="28"/>
          <w:szCs w:val="28"/>
        </w:rPr>
        <w:t>华融仅</w:t>
      </w:r>
      <w:proofErr w:type="gramEnd"/>
      <w:r w:rsidRPr="005866D5">
        <w:rPr>
          <w:rFonts w:ascii="仿宋" w:eastAsia="仿宋" w:hAnsi="仿宋" w:cs="仿宋"/>
          <w:sz w:val="28"/>
          <w:szCs w:val="28"/>
        </w:rPr>
        <w:t>开一条线。该地区货源偏紧，无库存压力。华东与华南市场受期货的支撑价格不断上扬，</w:t>
      </w:r>
      <w:proofErr w:type="gramStart"/>
      <w:r w:rsidRPr="005866D5">
        <w:rPr>
          <w:rFonts w:ascii="仿宋" w:eastAsia="仿宋" w:hAnsi="仿宋" w:cs="仿宋"/>
          <w:sz w:val="28"/>
          <w:szCs w:val="28"/>
        </w:rPr>
        <w:t>询单气氛</w:t>
      </w:r>
      <w:proofErr w:type="gramEnd"/>
      <w:r w:rsidRPr="005866D5">
        <w:rPr>
          <w:rFonts w:ascii="仿宋" w:eastAsia="仿宋" w:hAnsi="仿宋" w:cs="仿宋"/>
          <w:sz w:val="28"/>
          <w:szCs w:val="28"/>
        </w:rPr>
        <w:t>良好，贸易商出货情况较好。西</w:t>
      </w:r>
      <w:r w:rsidRPr="005866D5">
        <w:rPr>
          <w:rFonts w:ascii="仿宋" w:eastAsia="仿宋" w:hAnsi="仿宋" w:cs="仿宋"/>
          <w:sz w:val="28"/>
          <w:szCs w:val="28"/>
        </w:rPr>
        <w:lastRenderedPageBreak/>
        <w:t>北地区多数厂家仍处于负库存状态，出货紧张，市场气氛活跃，价格上调。乙烯料山东地区厂家报盘走高，气氛良好。天津地区LG本月出口订单接单情况良好，暂无销售压力；大沽开工7成左右。涨</w:t>
      </w:r>
      <w:proofErr w:type="gramStart"/>
      <w:r w:rsidRPr="005866D5">
        <w:rPr>
          <w:rFonts w:ascii="仿宋" w:eastAsia="仿宋" w:hAnsi="仿宋" w:cs="仿宋"/>
          <w:sz w:val="28"/>
          <w:szCs w:val="28"/>
        </w:rPr>
        <w:t>停市场</w:t>
      </w:r>
      <w:proofErr w:type="gramEnd"/>
      <w:r w:rsidRPr="005866D5">
        <w:rPr>
          <w:rFonts w:ascii="仿宋" w:eastAsia="仿宋" w:hAnsi="仿宋" w:cs="仿宋"/>
          <w:sz w:val="28"/>
          <w:szCs w:val="28"/>
        </w:rPr>
        <w:t>货源依旧偏紧，气氛良好。装置方面：本周整体开工较上周稍有下滑，苏州华苏14万吨/年PVC装置13日开始停工检修，时长20-30天。成都</w:t>
      </w:r>
      <w:proofErr w:type="gramStart"/>
      <w:r w:rsidRPr="005866D5">
        <w:rPr>
          <w:rFonts w:ascii="仿宋" w:eastAsia="仿宋" w:hAnsi="仿宋" w:cs="仿宋"/>
          <w:sz w:val="28"/>
          <w:szCs w:val="28"/>
        </w:rPr>
        <w:t>华融仅</w:t>
      </w:r>
      <w:proofErr w:type="gramEnd"/>
      <w:r w:rsidRPr="005866D5">
        <w:rPr>
          <w:rFonts w:ascii="仿宋" w:eastAsia="仿宋" w:hAnsi="仿宋" w:cs="仿宋"/>
          <w:sz w:val="28"/>
          <w:szCs w:val="28"/>
        </w:rPr>
        <w:t>开一条线。期货方面：截止今日主力合约1805期货收盘报6430元/吨，较上周五6300上升1.03%。环保政策方面：“2+26”城市秋冬大气污染巡查工作时间一直持续到明年1月4日。</w:t>
      </w:r>
    </w:p>
    <w:p w:rsidR="007D7B74" w:rsidRDefault="005866D5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5866D5" w:rsidRDefault="005866D5" w:rsidP="005866D5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华南：</w:t>
      </w:r>
      <w:r w:rsidRPr="005866D5">
        <w:rPr>
          <w:rFonts w:ascii="仿宋" w:eastAsia="仿宋" w:hAnsi="仿宋" w:cs="仿宋"/>
          <w:sz w:val="28"/>
          <w:szCs w:val="28"/>
        </w:rPr>
        <w:t>华南PVC市场价格上调，受期货以及贸易商惜售明显的支撑，走势良好。广州地区普通5型电石料主流自提报价6360-6380元/吨。君正6380元/吨、亿利6380元/吨，信发6360元/吨，天湖6360元/吨。汕头地区普通5型电石料主流自提报6380-6410元/吨。参考报价：信发6400元/吨、天湖6400元/吨、盐湖6200元/吨、君正6410元/吨，东方希望6400元/吨。乙烯料市场部分牌号走高，大沽700/1000型报价在6850元/吨，大沽1300型7050元/吨，实际成交商谈。</w:t>
      </w:r>
    </w:p>
    <w:p w:rsidR="007D7B74" w:rsidRDefault="005866D5" w:rsidP="005866D5">
      <w:pPr>
        <w:pStyle w:val="a7"/>
        <w:spacing w:line="400" w:lineRule="exact"/>
        <w:ind w:firstLineChars="200" w:firstLine="560"/>
        <w:rPr>
          <w:b/>
          <w:bCs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华东：</w:t>
      </w:r>
      <w:r w:rsidRPr="005866D5">
        <w:rPr>
          <w:rFonts w:ascii="仿宋" w:eastAsia="仿宋" w:hAnsi="仿宋" w:cs="仿宋"/>
          <w:sz w:val="28"/>
          <w:szCs w:val="28"/>
        </w:rPr>
        <w:t>华东地区PVC市场走势良好，价格走高，下游企业</w:t>
      </w:r>
      <w:proofErr w:type="gramStart"/>
      <w:r w:rsidRPr="005866D5">
        <w:rPr>
          <w:rFonts w:ascii="仿宋" w:eastAsia="仿宋" w:hAnsi="仿宋" w:cs="仿宋"/>
          <w:sz w:val="28"/>
          <w:szCs w:val="28"/>
        </w:rPr>
        <w:t>询单气氛</w:t>
      </w:r>
      <w:proofErr w:type="gramEnd"/>
      <w:r w:rsidRPr="005866D5">
        <w:rPr>
          <w:rFonts w:ascii="仿宋" w:eastAsia="仿宋" w:hAnsi="仿宋" w:cs="仿宋"/>
          <w:sz w:val="28"/>
          <w:szCs w:val="28"/>
        </w:rPr>
        <w:t>良好。常州地区普通5型电石料主流自提6280-6400元/</w:t>
      </w:r>
      <w:proofErr w:type="gramStart"/>
      <w:r w:rsidRPr="005866D5">
        <w:rPr>
          <w:rFonts w:ascii="仿宋" w:eastAsia="仿宋" w:hAnsi="仿宋" w:cs="仿宋"/>
          <w:sz w:val="28"/>
          <w:szCs w:val="28"/>
        </w:rPr>
        <w:t>吨自提</w:t>
      </w:r>
      <w:proofErr w:type="gramEnd"/>
      <w:r w:rsidRPr="005866D5">
        <w:rPr>
          <w:rFonts w:ascii="仿宋" w:eastAsia="仿宋" w:hAnsi="仿宋" w:cs="仿宋"/>
          <w:sz w:val="28"/>
          <w:szCs w:val="28"/>
        </w:rPr>
        <w:t>。参考报价：盐湖6320元/吨、中泰自提报在6350元/吨、天业6400元/吨。杭州地区普通5型电石料主流自</w:t>
      </w:r>
      <w:proofErr w:type="gramStart"/>
      <w:r w:rsidRPr="005866D5">
        <w:rPr>
          <w:rFonts w:ascii="仿宋" w:eastAsia="仿宋" w:hAnsi="仿宋" w:cs="仿宋"/>
          <w:sz w:val="28"/>
          <w:szCs w:val="28"/>
        </w:rPr>
        <w:t>提价格</w:t>
      </w:r>
      <w:proofErr w:type="gramEnd"/>
      <w:r w:rsidRPr="005866D5">
        <w:rPr>
          <w:rFonts w:ascii="仿宋" w:eastAsia="仿宋" w:hAnsi="仿宋" w:cs="仿宋"/>
          <w:sz w:val="28"/>
          <w:szCs w:val="28"/>
        </w:rPr>
        <w:t>在6300-6400元/吨。参考报价：三联6300元/吨，中泰5型6350元/吨，天业6400元/吨，北元6430元/吨、天辰5型6400元/吨提。</w:t>
      </w:r>
    </w:p>
    <w:p w:rsidR="007D7B74" w:rsidRDefault="007D7B74">
      <w:pPr>
        <w:widowControl/>
        <w:spacing w:line="400" w:lineRule="exact"/>
        <w:ind w:firstLineChars="200" w:firstLine="562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</w:p>
    <w:p w:rsidR="007D7B74" w:rsidRDefault="005866D5">
      <w:pPr>
        <w:widowControl/>
        <w:spacing w:line="400" w:lineRule="exact"/>
        <w:ind w:firstLineChars="200" w:firstLine="562"/>
        <w:jc w:val="left"/>
        <w:rPr>
          <w:rFonts w:ascii="宋体" w:hAnsi="宋体" w:cs="宋体"/>
          <w:b/>
          <w:bCs/>
          <w:color w:val="FF0000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影响因素：</w:t>
      </w:r>
    </w:p>
    <w:p w:rsidR="005866D5" w:rsidRDefault="005866D5" w:rsidP="005866D5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5866D5">
        <w:rPr>
          <w:rFonts w:ascii="仿宋" w:eastAsia="仿宋" w:hAnsi="仿宋" w:cs="仿宋"/>
          <w:sz w:val="28"/>
          <w:szCs w:val="28"/>
        </w:rPr>
        <w:t>原料电石方面，国内电石市场看稳心态浓厚，下游到货充裕，部分厂家电石采购价格走低，观望浓厚。</w:t>
      </w:r>
    </w:p>
    <w:p w:rsidR="005866D5" w:rsidRDefault="005866D5" w:rsidP="005866D5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5866D5">
        <w:rPr>
          <w:rFonts w:ascii="仿宋" w:eastAsia="仿宋" w:hAnsi="仿宋" w:cs="仿宋"/>
          <w:sz w:val="28"/>
          <w:szCs w:val="28"/>
        </w:rPr>
        <w:t>供需方面，PVC部分厂家受环保的影响开工不高，但整体仍处高位，供应方面变化不大。12月份随着天气越来月冷，需求或将进一步萎缩。</w:t>
      </w:r>
    </w:p>
    <w:p w:rsidR="005866D5" w:rsidRDefault="005866D5" w:rsidP="005866D5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5866D5">
        <w:rPr>
          <w:rFonts w:ascii="仿宋" w:eastAsia="仿宋" w:hAnsi="仿宋" w:cs="仿宋"/>
          <w:sz w:val="28"/>
          <w:szCs w:val="28"/>
        </w:rPr>
        <w:lastRenderedPageBreak/>
        <w:t>期货方面，本周期货周初开始一直大涨，支撑现货市场价格不断上行。周四收盘大跌，市场涨势受阻，贸易商报盘或将回归合理面。</w:t>
      </w:r>
    </w:p>
    <w:p w:rsidR="007D7B74" w:rsidRDefault="005866D5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后市预测：</w:t>
      </w:r>
      <w:bookmarkStart w:id="20" w:name="_Toc488391995"/>
      <w:bookmarkStart w:id="21" w:name="_Toc488997537"/>
      <w:bookmarkStart w:id="22" w:name="_Toc485904813"/>
      <w:bookmarkStart w:id="23" w:name="_Toc487798662"/>
      <w:bookmarkStart w:id="24" w:name="_Toc485914307"/>
      <w:bookmarkStart w:id="25" w:name="_Toc489608584"/>
      <w:bookmarkStart w:id="26" w:name="_Toc485904757"/>
      <w:bookmarkStart w:id="27" w:name="_Toc485904790"/>
      <w:r w:rsidRPr="005866D5">
        <w:rPr>
          <w:rFonts w:ascii="仿宋" w:eastAsia="仿宋" w:hAnsi="仿宋" w:cs="仿宋"/>
          <w:sz w:val="28"/>
          <w:szCs w:val="28"/>
        </w:rPr>
        <w:t>对于淡季的行情出现反弹的现象也只是短暂的，周四收盘开始大跌，现货市场或将回归合理面。虽部分贸易商有惜售心理，但对于淡季的市场支撑不大，且受烧碱的高利润支撑PVC行业开工高位，供需仍显博弈。预计下周多关注期货市场，若期货不在出现大涨的情况下，国内PVC市场回归弱势，价格弱势整理。</w:t>
      </w:r>
    </w:p>
    <w:p w:rsidR="007D7B74" w:rsidRDefault="007D7B74">
      <w:pPr>
        <w:pStyle w:val="a7"/>
        <w:spacing w:line="400" w:lineRule="exact"/>
        <w:ind w:firstLineChars="200" w:firstLine="602"/>
        <w:rPr>
          <w:b/>
          <w:color w:val="FF0000"/>
          <w:sz w:val="30"/>
          <w:szCs w:val="30"/>
        </w:rPr>
      </w:pPr>
    </w:p>
    <w:p w:rsidR="007D7B74" w:rsidRPr="005866D5" w:rsidRDefault="005866D5" w:rsidP="005866D5">
      <w:pPr>
        <w:pStyle w:val="a7"/>
        <w:spacing w:line="400" w:lineRule="exact"/>
        <w:ind w:firstLineChars="200" w:firstLine="602"/>
        <w:rPr>
          <w:b/>
          <w:color w:val="FF0000"/>
          <w:sz w:val="30"/>
          <w:szCs w:val="30"/>
        </w:rPr>
      </w:pPr>
      <w:r>
        <w:rPr>
          <w:rFonts w:hint="eastAsia"/>
          <w:b/>
          <w:sz w:val="30"/>
          <w:szCs w:val="30"/>
        </w:rPr>
        <w:t>2.1 本周行情回顾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96172A" w:rsidRDefault="0096172A" w:rsidP="005866D5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bookmarkStart w:id="28" w:name="_Toc489608585"/>
      <w:bookmarkStart w:id="29" w:name="_Toc488997538"/>
      <w:bookmarkStart w:id="30" w:name="_Toc488391996"/>
      <w:bookmarkStart w:id="31" w:name="_Toc487798663"/>
      <w:bookmarkStart w:id="32" w:name="_Toc247424466"/>
      <w:bookmarkStart w:id="33" w:name="_Toc485914308"/>
      <w:bookmarkStart w:id="34" w:name="_Toc295460177"/>
    </w:p>
    <w:p w:rsidR="007D7B74" w:rsidRPr="005866D5" w:rsidRDefault="005866D5" w:rsidP="005866D5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866D5">
        <w:rPr>
          <w:rFonts w:ascii="仿宋" w:eastAsia="仿宋" w:hAnsi="仿宋" w:cs="仿宋" w:hint="eastAsia"/>
          <w:sz w:val="28"/>
          <w:szCs w:val="28"/>
        </w:rPr>
        <w:t>本周观察，国内PVC市场弱势运行，价格以窄幅阴跌为主。生产企业方面保持较高的开工负荷，货源供应量增多，但下游需求未见改观，北方地区供暖季开始后，当地塑料加工厂商开工负荷受限，造成市场供需矛盾加剧；另一方面，国内电石价格松动面放大，对PVC的成本支撑力降低。由于华东、华南等消费地贸易商库存量较大，且后期货源集中到达，PVC市场难寻回暖支撑。</w:t>
      </w:r>
    </w:p>
    <w:p w:rsidR="0096172A" w:rsidRDefault="0096172A">
      <w:pPr>
        <w:pStyle w:val="1"/>
        <w:spacing w:line="579" w:lineRule="auto"/>
        <w:ind w:firstLineChars="200" w:firstLine="602"/>
        <w:rPr>
          <w:rFonts w:ascii="宋体" w:eastAsia="宋体" w:hAnsi="宋体" w:cs="宋体" w:hint="eastAsia"/>
          <w:sz w:val="30"/>
          <w:szCs w:val="30"/>
        </w:rPr>
      </w:pPr>
    </w:p>
    <w:p w:rsidR="0096172A" w:rsidRDefault="0096172A">
      <w:pPr>
        <w:pStyle w:val="1"/>
        <w:spacing w:line="579" w:lineRule="auto"/>
        <w:ind w:firstLineChars="200" w:firstLine="602"/>
        <w:rPr>
          <w:rFonts w:ascii="宋体" w:eastAsia="宋体" w:hAnsi="宋体" w:cs="宋体" w:hint="eastAsia"/>
          <w:sz w:val="30"/>
          <w:szCs w:val="30"/>
        </w:rPr>
      </w:pPr>
    </w:p>
    <w:p w:rsidR="007D7B74" w:rsidRDefault="005866D5">
      <w:pPr>
        <w:pStyle w:val="1"/>
        <w:spacing w:line="579" w:lineRule="auto"/>
        <w:ind w:firstLineChars="200" w:firstLine="602"/>
        <w:rPr>
          <w:rFonts w:asciiTheme="majorEastAsia" w:eastAsiaTheme="majorEastAsia" w:hAnsiTheme="majorEastAsia"/>
          <w:sz w:val="28"/>
          <w:szCs w:val="28"/>
        </w:rPr>
      </w:pPr>
      <w:r>
        <w:rPr>
          <w:rFonts w:ascii="宋体" w:eastAsia="宋体" w:hAnsi="宋体" w:cs="宋体" w:hint="eastAsia"/>
          <w:sz w:val="30"/>
          <w:szCs w:val="30"/>
        </w:rPr>
        <w:t>2.2大商所PVC期货价格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 w:rsidRPr="0096172A">
        <w:rPr>
          <w:rFonts w:ascii="宋体" w:hAnsi="宋体" w:cs="宋体" w:hint="eastAsia"/>
          <w:b/>
          <w:sz w:val="28"/>
          <w:szCs w:val="28"/>
        </w:rPr>
        <w:t>2017年大商所PVC主力合约收盘价格</w:t>
      </w:r>
    </w:p>
    <w:p w:rsidR="007D7B74" w:rsidRDefault="002F230B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2F230B">
        <w:rPr>
          <w:rFonts w:ascii="仿宋" w:eastAsia="仿宋" w:hAnsi="仿宋"/>
          <w:sz w:val="28"/>
          <w:szCs w:val="28"/>
        </w:rPr>
        <w:lastRenderedPageBreak/>
        <w:drawing>
          <wp:inline distT="0" distB="0" distL="0" distR="0">
            <wp:extent cx="5400040" cy="3057523"/>
            <wp:effectExtent l="19050" t="0" r="10160" b="0"/>
            <wp:docPr id="12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D7B74" w:rsidRDefault="007D7B74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47.6pt;margin-top:14.25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>
              <w:txbxContent>
                <w:p w:rsidR="005866D5" w:rsidRDefault="005866D5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7D7B74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35" w:name="_Toc483664856"/>
            <w:bookmarkStart w:id="36" w:name="_Toc489608586"/>
            <w:bookmarkStart w:id="37" w:name="_Toc485914309"/>
            <w:bookmarkStart w:id="38" w:name="_Toc487798664"/>
            <w:bookmarkStart w:id="39" w:name="_Toc488391997"/>
            <w:bookmarkStart w:id="40" w:name="_Toc488997539"/>
            <w:bookmarkStart w:id="41" w:name="_Toc295460178"/>
            <w:bookmarkStart w:id="42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2F230B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6320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6395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6250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6315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130848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84926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-20276</w:t>
            </w:r>
          </w:p>
        </w:tc>
      </w:tr>
      <w:tr w:rsidR="002F230B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6395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6455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6305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6325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6395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79076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68402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-16524</w:t>
            </w:r>
          </w:p>
        </w:tc>
      </w:tr>
      <w:tr w:rsidR="002F230B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6310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6495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6300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6495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55436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61260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-7142</w:t>
            </w:r>
          </w:p>
        </w:tc>
      </w:tr>
      <w:tr w:rsidR="002F230B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6520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6270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6420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77232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50186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-11074</w:t>
            </w:r>
          </w:p>
        </w:tc>
      </w:tr>
      <w:tr w:rsidR="002F230B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6395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6710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6370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6635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6575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76762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50846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230B" w:rsidRPr="002F230B" w:rsidRDefault="002F230B" w:rsidP="002F23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F230B">
              <w:rPr>
                <w:rFonts w:asciiTheme="minorEastAsia" w:eastAsiaTheme="minorEastAsia" w:hAnsiTheme="minorEastAsia" w:hint="eastAsia"/>
                <w:sz w:val="20"/>
                <w:szCs w:val="20"/>
              </w:rPr>
              <w:t>660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7D7B74" w:rsidRDefault="005866D5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2017年国内PVC厂家价格走势图</w:t>
      </w:r>
    </w:p>
    <w:p w:rsidR="007D7B74" w:rsidRDefault="007D7B74">
      <w:pPr>
        <w:rPr>
          <w:szCs w:val="21"/>
        </w:rPr>
      </w:pPr>
    </w:p>
    <w:p w:rsidR="007D7B74" w:rsidRDefault="004B7B29">
      <w:pPr>
        <w:rPr>
          <w:szCs w:val="21"/>
        </w:rPr>
      </w:pPr>
      <w:r w:rsidRPr="004B7B29">
        <w:rPr>
          <w:szCs w:val="21"/>
        </w:rPr>
        <w:lastRenderedPageBreak/>
        <w:drawing>
          <wp:inline distT="0" distB="0" distL="0" distR="0">
            <wp:extent cx="5400040" cy="3445829"/>
            <wp:effectExtent l="19050" t="0" r="10160" b="2221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D7B74" w:rsidRDefault="007D7B74">
      <w:pPr>
        <w:rPr>
          <w:szCs w:val="21"/>
        </w:rPr>
      </w:pPr>
      <w:r w:rsidRPr="007D7B74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>
              <w:txbxContent>
                <w:p w:rsidR="005866D5" w:rsidRDefault="005866D5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5866D5" w:rsidRDefault="005866D5"/>
              </w:txbxContent>
            </v:textbox>
            <w10:wrap type="square"/>
          </v:shape>
        </w:pict>
      </w:r>
    </w:p>
    <w:p w:rsidR="007D7B74" w:rsidRDefault="007D7B74"/>
    <w:p w:rsidR="007D7B74" w:rsidRDefault="007D7B74"/>
    <w:p w:rsidR="007D7B74" w:rsidRDefault="007D7B74">
      <w:pPr>
        <w:jc w:val="center"/>
      </w:pPr>
    </w:p>
    <w:p w:rsidR="007D7B74" w:rsidRDefault="005866D5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3"/>
        <w:gridCol w:w="1692"/>
        <w:gridCol w:w="1693"/>
      </w:tblGrid>
      <w:tr w:rsidR="007D7B74">
        <w:trPr>
          <w:trHeight w:val="315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3" w:name="_Toc483664857"/>
            <w:bookmarkStart w:id="44" w:name="_Toc489608587"/>
            <w:bookmarkStart w:id="45" w:name="_Toc485914310"/>
            <w:bookmarkStart w:id="46" w:name="_Toc247424468"/>
            <w:bookmarkStart w:id="47" w:name="_Toc295460179"/>
            <w:bookmarkStart w:id="48" w:name="_Toc488997540"/>
            <w:bookmarkStart w:id="49" w:name="_Toc488391998"/>
            <w:bookmarkStart w:id="50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上海氯碱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7D7B74">
        <w:trPr>
          <w:trHeight w:val="312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7D7B74">
        <w:trPr>
          <w:trHeight w:val="285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WS1000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4B7B29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4B7B29">
              <w:rPr>
                <w:rFonts w:ascii="宋体" w:hAnsi="宋体" w:hint="eastAsia"/>
                <w:sz w:val="20"/>
                <w:szCs w:val="20"/>
              </w:rPr>
              <w:t>17/12/04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4B7B29">
              <w:rPr>
                <w:rFonts w:ascii="宋体" w:hAnsi="宋体" w:hint="eastAsia"/>
                <w:sz w:val="20"/>
                <w:szCs w:val="20"/>
              </w:rPr>
              <w:t>6450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Default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6150</w:t>
            </w:r>
          </w:p>
        </w:tc>
      </w:tr>
      <w:tr w:rsidR="004B7B29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4B7B29">
              <w:rPr>
                <w:rFonts w:ascii="宋体" w:hAnsi="宋体" w:hint="eastAsia"/>
                <w:sz w:val="20"/>
                <w:szCs w:val="20"/>
              </w:rPr>
              <w:t>17/12/05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4B7B29">
              <w:rPr>
                <w:rFonts w:ascii="宋体" w:hAnsi="宋体" w:hint="eastAsia"/>
                <w:sz w:val="20"/>
                <w:szCs w:val="20"/>
              </w:rPr>
              <w:t>6450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Default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6300</w:t>
            </w:r>
          </w:p>
        </w:tc>
      </w:tr>
      <w:tr w:rsidR="004B7B29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4B7B29">
              <w:rPr>
                <w:rFonts w:ascii="宋体" w:hAnsi="宋体" w:hint="eastAsia"/>
                <w:sz w:val="20"/>
                <w:szCs w:val="20"/>
              </w:rPr>
              <w:t>17/12/06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4B7B29">
              <w:rPr>
                <w:rFonts w:ascii="宋体" w:hAnsi="宋体" w:hint="eastAsia"/>
                <w:sz w:val="20"/>
                <w:szCs w:val="20"/>
              </w:rPr>
              <w:t>6550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Default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6300</w:t>
            </w:r>
          </w:p>
        </w:tc>
      </w:tr>
      <w:tr w:rsidR="004B7B29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4B7B29">
              <w:rPr>
                <w:rFonts w:ascii="宋体" w:hAnsi="宋体" w:hint="eastAsia"/>
                <w:sz w:val="20"/>
                <w:szCs w:val="20"/>
              </w:rPr>
              <w:t>17/12/07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4B7B29">
              <w:rPr>
                <w:rFonts w:ascii="宋体" w:hAnsi="宋体" w:hint="eastAsia"/>
                <w:sz w:val="20"/>
                <w:szCs w:val="20"/>
              </w:rPr>
              <w:t>6550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Default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6350</w:t>
            </w:r>
          </w:p>
        </w:tc>
      </w:tr>
      <w:tr w:rsidR="004B7B29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4B7B29">
              <w:rPr>
                <w:rFonts w:ascii="宋体" w:hAnsi="宋体" w:hint="eastAsia"/>
                <w:sz w:val="20"/>
                <w:szCs w:val="20"/>
              </w:rPr>
              <w:t>17/12/08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4B7B29">
              <w:rPr>
                <w:rFonts w:ascii="宋体" w:hAnsi="宋体" w:hint="eastAsia"/>
                <w:sz w:val="20"/>
                <w:szCs w:val="20"/>
              </w:rPr>
              <w:t>6550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Default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6350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2017年国内PVC市场价格走势图</w:t>
      </w:r>
    </w:p>
    <w:p w:rsidR="007D7B74" w:rsidRDefault="007D7B74">
      <w:pPr>
        <w:jc w:val="center"/>
        <w:rPr>
          <w:rFonts w:ascii="宋体" w:hAnsi="宋体" w:cs="宋体"/>
          <w:b/>
          <w:sz w:val="28"/>
          <w:szCs w:val="28"/>
        </w:rPr>
      </w:pPr>
    </w:p>
    <w:p w:rsidR="007D7B74" w:rsidRDefault="007D7B74"/>
    <w:p w:rsidR="007D7B74" w:rsidRDefault="004B7B29">
      <w:r w:rsidRPr="004B7B29">
        <w:lastRenderedPageBreak/>
        <w:drawing>
          <wp:inline distT="0" distB="0" distL="0" distR="0">
            <wp:extent cx="5400040" cy="3031272"/>
            <wp:effectExtent l="19050" t="0" r="10160" b="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D7B74" w:rsidRDefault="007D7B74">
      <w:pPr>
        <w:rPr>
          <w:rFonts w:ascii="宋体"/>
          <w:b/>
        </w:rPr>
      </w:pPr>
      <w:r w:rsidRPr="007D7B74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</w:t>
                  </w: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7D7B74" w:rsidRDefault="007D7B74">
      <w:pPr>
        <w:rPr>
          <w:rFonts w:ascii="宋体"/>
          <w:b/>
        </w:rPr>
      </w:pPr>
    </w:p>
    <w:p w:rsidR="007D7B74" w:rsidRDefault="007D7B74">
      <w:pPr>
        <w:rPr>
          <w:rFonts w:ascii="宋体"/>
          <w:b/>
        </w:rPr>
      </w:pPr>
    </w:p>
    <w:p w:rsidR="007D7B74" w:rsidRDefault="005866D5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51" w:name="_Toc247424469"/>
      <w:bookmarkStart w:id="52" w:name="_Toc295460180"/>
      <w:bookmarkStart w:id="53" w:name="_Toc488997541"/>
      <w:bookmarkStart w:id="54" w:name="_Toc488391999"/>
      <w:bookmarkStart w:id="55" w:name="_Toc483664858"/>
      <w:bookmarkStart w:id="56" w:name="_Toc489608588"/>
      <w:bookmarkStart w:id="57" w:name="_Toc487798666"/>
      <w:bookmarkStart w:id="58" w:name="_Toc485914311"/>
    </w:p>
    <w:p w:rsidR="007D7B74" w:rsidRDefault="007D7B74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7D7B74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4B7B2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6150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6080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5700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6250</w:t>
            </w:r>
          </w:p>
        </w:tc>
      </w:tr>
      <w:tr w:rsidR="004B7B29">
        <w:trPr>
          <w:trHeight w:val="90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5700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6100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6300</w:t>
            </w:r>
          </w:p>
        </w:tc>
      </w:tr>
      <w:tr w:rsidR="004B7B2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5700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6100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6300</w:t>
            </w:r>
          </w:p>
        </w:tc>
      </w:tr>
      <w:tr w:rsidR="004B7B2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5700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6160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</w:tr>
      <w:tr w:rsidR="004B7B2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6470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5800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6260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B29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</w:tr>
    </w:tbl>
    <w:p w:rsidR="007D7B74" w:rsidRDefault="007D7B74">
      <w:pPr>
        <w:rPr>
          <w:rFonts w:asciiTheme="majorEastAsia" w:eastAsiaTheme="majorEastAsia" w:hAnsiTheme="majorEastAsia"/>
          <w:szCs w:val="28"/>
        </w:rPr>
      </w:pPr>
    </w:p>
    <w:p w:rsidR="007D7B74" w:rsidRDefault="007D7B74">
      <w:pPr>
        <w:pStyle w:val="2"/>
        <w:rPr>
          <w:rFonts w:ascii="宋体" w:hAnsi="宋体" w:cs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2.5国际PVC市场价格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7D7B74" w:rsidRDefault="005866D5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2017</w:t>
      </w:r>
      <w:r>
        <w:rPr>
          <w:rFonts w:ascii="仿宋" w:eastAsia="仿宋" w:hAnsi="仿宋" w:hint="eastAsia"/>
          <w:b/>
          <w:sz w:val="28"/>
          <w:szCs w:val="28"/>
        </w:rPr>
        <w:t>年国际</w:t>
      </w:r>
      <w:r>
        <w:rPr>
          <w:rFonts w:ascii="仿宋" w:eastAsia="仿宋" w:hAnsi="仿宋"/>
          <w:b/>
          <w:sz w:val="28"/>
          <w:szCs w:val="28"/>
        </w:rPr>
        <w:t>PVC</w:t>
      </w:r>
      <w:r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7D7B74" w:rsidRDefault="004B7B29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4B7B29">
        <w:rPr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4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D7B74" w:rsidRDefault="007D7B74">
      <w:r w:rsidRPr="007D7B74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  <w:r w:rsidR="005866D5">
        <w:rPr>
          <w:rFonts w:ascii="宋体" w:hAnsi="宋体" w:hint="eastAsia"/>
        </w:rPr>
        <w:t xml:space="preserve">　　</w:t>
      </w:r>
    </w:p>
    <w:p w:rsidR="007D7B74" w:rsidRDefault="007D7B74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7D7B74" w:rsidRDefault="005866D5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7D7B74" w:rsidRDefault="007D7B74">
      <w:pPr>
        <w:rPr>
          <w:sz w:val="18"/>
          <w:szCs w:val="18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0"/>
        <w:gridCol w:w="2771"/>
        <w:gridCol w:w="3153"/>
      </w:tblGrid>
      <w:tr w:rsidR="007D7B74">
        <w:trPr>
          <w:trHeight w:val="28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4B7B29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17/11/17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765</w:t>
            </w:r>
          </w:p>
        </w:tc>
      </w:tr>
      <w:tr w:rsidR="004B7B29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17/11/23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765</w:t>
            </w:r>
          </w:p>
        </w:tc>
      </w:tr>
      <w:tr w:rsidR="004B7B29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17/11/30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760</w:t>
            </w:r>
          </w:p>
        </w:tc>
      </w:tr>
      <w:tr w:rsidR="004B7B29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17/12/07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865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B29" w:rsidRPr="004B7B29" w:rsidRDefault="004B7B29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780</w:t>
            </w:r>
          </w:p>
        </w:tc>
      </w:tr>
    </w:tbl>
    <w:p w:rsidR="007D7B74" w:rsidRDefault="007D7B74">
      <w:pPr>
        <w:rPr>
          <w:sz w:val="18"/>
          <w:szCs w:val="18"/>
        </w:rPr>
      </w:pPr>
    </w:p>
    <w:p w:rsidR="007D7B74" w:rsidRDefault="005866D5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59" w:name="_Toc485914312"/>
      <w:bookmarkStart w:id="60" w:name="_Toc488997542"/>
      <w:bookmarkStart w:id="61" w:name="_Toc487798667"/>
      <w:bookmarkStart w:id="62" w:name="_Toc489608589"/>
      <w:bookmarkStart w:id="63" w:name="_Toc488392000"/>
      <w:bookmarkStart w:id="64" w:name="_Toc295460181"/>
      <w:bookmarkStart w:id="65" w:name="_Toc247424474"/>
      <w:bookmarkStart w:id="66" w:name="_Toc483664859"/>
      <w:r>
        <w:rPr>
          <w:rFonts w:ascii="宋体" w:hAnsi="宋体" w:hint="eastAsia"/>
          <w:sz w:val="30"/>
          <w:szCs w:val="30"/>
        </w:rPr>
        <w:t>三、相关产品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7D7B74" w:rsidRDefault="005866D5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67" w:name="_Toc483664860"/>
      <w:bookmarkStart w:id="68" w:name="_Toc295460182"/>
      <w:bookmarkStart w:id="69" w:name="_Toc488392001"/>
      <w:bookmarkStart w:id="70" w:name="_Toc487798668"/>
      <w:bookmarkStart w:id="71" w:name="_Toc489608590"/>
      <w:bookmarkStart w:id="72" w:name="_Toc485914313"/>
      <w:bookmarkStart w:id="73" w:name="_Toc247424475"/>
      <w:bookmarkStart w:id="74" w:name="_Toc488997543"/>
      <w:r>
        <w:rPr>
          <w:rFonts w:ascii="宋体" w:hAnsi="宋体" w:cs="宋体" w:hint="eastAsia"/>
          <w:sz w:val="30"/>
          <w:szCs w:val="30"/>
        </w:rPr>
        <w:t>3.1原油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 w:rsidRPr="003D6775">
        <w:rPr>
          <w:rFonts w:ascii="宋体" w:hAnsi="宋体" w:cs="宋体" w:hint="eastAsia"/>
          <w:b/>
          <w:sz w:val="28"/>
          <w:szCs w:val="28"/>
        </w:rPr>
        <w:t>2017年国际原油期货价格走势图</w:t>
      </w:r>
    </w:p>
    <w:p w:rsidR="007D7B74" w:rsidRDefault="00EB5F32">
      <w:pPr>
        <w:jc w:val="center"/>
      </w:pPr>
      <w:r w:rsidRPr="00EB5F32">
        <w:lastRenderedPageBreak/>
        <w:drawing>
          <wp:inline distT="0" distB="0" distL="0" distR="0">
            <wp:extent cx="5086350" cy="3457575"/>
            <wp:effectExtent l="19050" t="0" r="19050" b="0"/>
            <wp:docPr id="10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D7B74" w:rsidRDefault="007D7B74"/>
    <w:p w:rsidR="007D7B74" w:rsidRDefault="007D7B74">
      <w:pPr>
        <w:rPr>
          <w:szCs w:val="21"/>
        </w:rPr>
      </w:pPr>
    </w:p>
    <w:p w:rsidR="007D7B74" w:rsidRDefault="005866D5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7D7B74" w:rsidRDefault="005866D5" w:rsidP="00272CA8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</w:t>
      </w:r>
      <w:proofErr w:type="gramStart"/>
      <w:r>
        <w:rPr>
          <w:rFonts w:ascii="宋体" w:hAnsi="宋体" w:cs="宋体" w:hint="eastAsia"/>
          <w:sz w:val="18"/>
          <w:szCs w:val="18"/>
        </w:rPr>
        <w:t>特</w:t>
      </w:r>
      <w:proofErr w:type="gramEnd"/>
      <w:r>
        <w:rPr>
          <w:rFonts w:ascii="宋体" w:hAnsi="宋体" w:cs="宋体" w:hint="eastAsia"/>
          <w:sz w:val="18"/>
          <w:szCs w:val="18"/>
        </w:rPr>
        <w:t>原油期货价格</w:t>
      </w:r>
    </w:p>
    <w:p w:rsidR="007D7B74" w:rsidRDefault="007D7B74">
      <w:pPr>
        <w:ind w:leftChars="412" w:left="865"/>
        <w:rPr>
          <w:rFonts w:ascii="宋体" w:hAnsi="宋体" w:cs="宋体"/>
          <w:sz w:val="18"/>
          <w:szCs w:val="18"/>
        </w:rPr>
      </w:pPr>
    </w:p>
    <w:p w:rsidR="007D7B74" w:rsidRDefault="007D7B74">
      <w:pPr>
        <w:ind w:leftChars="100" w:left="210" w:firstLineChars="312" w:firstLine="655"/>
        <w:rPr>
          <w:rFonts w:ascii="宋体"/>
          <w:szCs w:val="21"/>
        </w:rPr>
      </w:pPr>
    </w:p>
    <w:p w:rsidR="007D7B74" w:rsidRDefault="007D7B74">
      <w:pPr>
        <w:ind w:leftChars="100" w:left="210" w:firstLineChars="312" w:firstLine="655"/>
        <w:rPr>
          <w:rFonts w:ascii="宋体"/>
          <w:szCs w:val="21"/>
        </w:rPr>
      </w:pPr>
      <w:r w:rsidRPr="007D7B74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ind w:leftChars="100" w:left="210" w:firstLineChars="312" w:firstLine="655"/>
        <w:rPr>
          <w:szCs w:val="21"/>
        </w:rPr>
      </w:pPr>
    </w:p>
    <w:p w:rsidR="007D7B74" w:rsidRDefault="007D7B74">
      <w:pPr>
        <w:ind w:leftChars="100" w:left="210" w:firstLineChars="312" w:firstLine="655"/>
        <w:rPr>
          <w:szCs w:val="21"/>
        </w:rPr>
      </w:pPr>
    </w:p>
    <w:p w:rsidR="007D7B74" w:rsidRDefault="007D7B74">
      <w:pPr>
        <w:ind w:leftChars="100" w:left="210" w:firstLineChars="312" w:firstLine="655"/>
        <w:rPr>
          <w:szCs w:val="21"/>
        </w:rPr>
      </w:pPr>
    </w:p>
    <w:p w:rsidR="007D7B74" w:rsidRDefault="007D7B74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7D7B7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75" w:name="_Toc295460183"/>
            <w:bookmarkStart w:id="76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EB5F32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17/12/01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58.36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63.73</w:t>
            </w:r>
          </w:p>
        </w:tc>
      </w:tr>
      <w:tr w:rsidR="00EB5F32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57.47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62.45</w:t>
            </w:r>
          </w:p>
        </w:tc>
      </w:tr>
      <w:tr w:rsidR="00EB5F32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17/12/05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57.62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62.86</w:t>
            </w:r>
          </w:p>
        </w:tc>
      </w:tr>
      <w:tr w:rsidR="00EB5F32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55.96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61.22</w:t>
            </w:r>
          </w:p>
        </w:tc>
      </w:tr>
      <w:tr w:rsidR="00EB5F32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56.69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B5F32" w:rsidRPr="00EB5F32" w:rsidRDefault="00EB5F32" w:rsidP="00EB5F3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B5F32">
              <w:rPr>
                <w:rFonts w:asciiTheme="minorEastAsia" w:eastAsiaTheme="minorEastAsia" w:hAnsiTheme="minorEastAsia" w:hint="eastAsia"/>
                <w:sz w:val="20"/>
                <w:szCs w:val="20"/>
              </w:rPr>
              <w:t>62.2</w:t>
            </w:r>
          </w:p>
        </w:tc>
      </w:tr>
    </w:tbl>
    <w:p w:rsidR="007D7B74" w:rsidRDefault="005866D5">
      <w:pPr>
        <w:pStyle w:val="2"/>
        <w:spacing w:line="415" w:lineRule="auto"/>
      </w:pPr>
      <w:r>
        <w:rPr>
          <w:rFonts w:hint="eastAsia"/>
        </w:rPr>
        <w:t xml:space="preserve">　</w:t>
      </w:r>
      <w:bookmarkStart w:id="77" w:name="_Toc487798669"/>
      <w:bookmarkStart w:id="78" w:name="_Toc488392002"/>
      <w:bookmarkStart w:id="79" w:name="_Toc483664861"/>
      <w:bookmarkStart w:id="80" w:name="_Toc489608591"/>
      <w:bookmarkStart w:id="81" w:name="_Toc485914314"/>
      <w:bookmarkStart w:id="82" w:name="_Toc488997544"/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3.2 乙烯</w:t>
      </w:r>
      <w:bookmarkEnd w:id="77"/>
      <w:bookmarkEnd w:id="78"/>
      <w:bookmarkEnd w:id="79"/>
      <w:bookmarkEnd w:id="80"/>
      <w:bookmarkEnd w:id="81"/>
      <w:bookmarkEnd w:id="82"/>
    </w:p>
    <w:p w:rsidR="007D7B74" w:rsidRDefault="005866D5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2017年国际乙烯单体市场价格走势图</w:t>
      </w:r>
    </w:p>
    <w:p w:rsidR="007D7B74" w:rsidRDefault="00EA21F5">
      <w:pPr>
        <w:widowControl/>
        <w:spacing w:beforeAutospacing="1" w:after="375" w:line="420" w:lineRule="atLeast"/>
        <w:ind w:firstLine="420"/>
        <w:jc w:val="center"/>
      </w:pPr>
      <w:r w:rsidRPr="00EA21F5">
        <w:lastRenderedPageBreak/>
        <w:drawing>
          <wp:inline distT="0" distB="0" distL="0" distR="0">
            <wp:extent cx="5353050" cy="3209925"/>
            <wp:effectExtent l="19050" t="0" r="19050" b="0"/>
            <wp:docPr id="6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D7B74" w:rsidRDefault="007D7B74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rPr>
          <w:rFonts w:ascii="仿宋" w:eastAsia="仿宋" w:hAnsi="仿宋"/>
          <w:szCs w:val="21"/>
        </w:rPr>
      </w:pPr>
    </w:p>
    <w:p w:rsidR="007D7B74" w:rsidRDefault="005866D5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83" w:name="_Toc487798670"/>
      <w:bookmarkStart w:id="84" w:name="_Toc489608592"/>
      <w:bookmarkStart w:id="85" w:name="_Toc483664862"/>
      <w:bookmarkStart w:id="86" w:name="_Toc485914315"/>
      <w:bookmarkStart w:id="87" w:name="_Toc488392003"/>
      <w:bookmarkStart w:id="88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7D7B74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EA21F5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1310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1180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1135.5</w:t>
            </w:r>
          </w:p>
        </w:tc>
      </w:tr>
      <w:tr w:rsidR="00EA21F5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1310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1180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1128</w:t>
            </w:r>
          </w:p>
        </w:tc>
      </w:tr>
      <w:tr w:rsidR="00EA21F5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1310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1180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1112.5</w:t>
            </w:r>
          </w:p>
        </w:tc>
      </w:tr>
      <w:tr w:rsidR="00EA21F5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1310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1180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1108</w:t>
            </w:r>
          </w:p>
        </w:tc>
      </w:tr>
      <w:tr w:rsidR="00EA21F5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1310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1180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 w:hint="eastAsia"/>
                <w:sz w:val="20"/>
                <w:szCs w:val="20"/>
              </w:rPr>
              <w:t>1109.5</w:t>
            </w:r>
          </w:p>
        </w:tc>
      </w:tr>
    </w:tbl>
    <w:p w:rsidR="007D7B74" w:rsidRDefault="005866D5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7D7B74" w:rsidRDefault="005866D5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3.3 EDC</w:t>
      </w:r>
      <w:bookmarkEnd w:id="83"/>
      <w:bookmarkEnd w:id="84"/>
      <w:bookmarkEnd w:id="85"/>
      <w:bookmarkEnd w:id="86"/>
      <w:bookmarkEnd w:id="87"/>
      <w:bookmarkEnd w:id="88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2017年国际EDC市场价格走势图</w:t>
      </w:r>
    </w:p>
    <w:p w:rsidR="007D7B74" w:rsidRDefault="007D7B74">
      <w:pPr>
        <w:jc w:val="center"/>
        <w:rPr>
          <w:rFonts w:ascii="宋体" w:hAnsi="宋体" w:cs="宋体"/>
          <w:b/>
          <w:sz w:val="28"/>
          <w:szCs w:val="28"/>
        </w:rPr>
      </w:pPr>
    </w:p>
    <w:p w:rsidR="007D7B74" w:rsidRDefault="00EA21F5">
      <w:r w:rsidRPr="00EA21F5">
        <w:lastRenderedPageBreak/>
        <w:drawing>
          <wp:inline distT="0" distB="0" distL="0" distR="0">
            <wp:extent cx="5400040" cy="3180649"/>
            <wp:effectExtent l="19050" t="0" r="10160" b="701"/>
            <wp:docPr id="7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D7B74" w:rsidRDefault="007D7B74"/>
    <w:p w:rsidR="007D7B74" w:rsidRDefault="007D7B74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>
              <w:txbxContent>
                <w:p w:rsidR="005866D5" w:rsidRDefault="005866D5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7D7B74" w:rsidRDefault="005866D5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7D7B74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EA21F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17/11/17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215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130</w:t>
            </w:r>
          </w:p>
        </w:tc>
      </w:tr>
      <w:tr w:rsidR="00EA21F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17/11/24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170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120</w:t>
            </w:r>
          </w:p>
        </w:tc>
      </w:tr>
      <w:tr w:rsidR="00EA21F5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17/12/01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115</w:t>
            </w:r>
          </w:p>
        </w:tc>
      </w:tr>
      <w:tr w:rsidR="00EA21F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17/12/08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1F5" w:rsidRPr="00EA21F5" w:rsidRDefault="00EA21F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115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89" w:name="_Toc487798671"/>
      <w:bookmarkStart w:id="90" w:name="_Toc489608593"/>
      <w:bookmarkStart w:id="91" w:name="_Toc488997546"/>
      <w:bookmarkStart w:id="92" w:name="_Toc322078441"/>
      <w:bookmarkStart w:id="93" w:name="_Toc247424478"/>
      <w:bookmarkStart w:id="94" w:name="_Toc286647029"/>
      <w:bookmarkStart w:id="95" w:name="_Toc488392004"/>
      <w:bookmarkStart w:id="96" w:name="_Toc485914316"/>
      <w:bookmarkStart w:id="97" w:name="_Toc283391557"/>
      <w:bookmarkStart w:id="98" w:name="_Toc295460185"/>
      <w:bookmarkStart w:id="99" w:name="_Toc292436437"/>
      <w:bookmarkStart w:id="100" w:name="_Toc483664863"/>
      <w:bookmarkStart w:id="101" w:name="_Toc291835541"/>
    </w:p>
    <w:p w:rsidR="007D7B74" w:rsidRDefault="005866D5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3.4 VCM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2017年国际VCM市场价格走势图</w:t>
      </w:r>
    </w:p>
    <w:p w:rsidR="007D7B74" w:rsidRDefault="002E08B2">
      <w:r w:rsidRPr="002E08B2">
        <w:lastRenderedPageBreak/>
        <w:drawing>
          <wp:inline distT="0" distB="0" distL="0" distR="0">
            <wp:extent cx="5400040" cy="3140023"/>
            <wp:effectExtent l="19050" t="0" r="10160" b="3227"/>
            <wp:docPr id="8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D7B74" w:rsidRDefault="007D7B74">
      <w:pPr>
        <w:spacing w:line="360" w:lineRule="auto"/>
        <w:rPr>
          <w:sz w:val="18"/>
          <w:szCs w:val="18"/>
        </w:rPr>
      </w:pPr>
    </w:p>
    <w:p w:rsidR="007D7B74" w:rsidRDefault="007D7B74">
      <w:pPr>
        <w:spacing w:line="360" w:lineRule="auto"/>
        <w:rPr>
          <w:sz w:val="18"/>
          <w:szCs w:val="18"/>
        </w:rPr>
      </w:pPr>
      <w:r w:rsidRPr="007D7B74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>
              <w:txbxContent>
                <w:p w:rsidR="005866D5" w:rsidRDefault="005866D5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7D7B74" w:rsidRDefault="005866D5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7D7B74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2E08B2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710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570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655</w:t>
            </w:r>
          </w:p>
        </w:tc>
      </w:tr>
      <w:tr w:rsidR="002E08B2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17/11/24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710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545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655</w:t>
            </w:r>
          </w:p>
        </w:tc>
      </w:tr>
      <w:tr w:rsidR="002E08B2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545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</w:tr>
      <w:tr w:rsidR="002E08B2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545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8B2" w:rsidRPr="002E08B2" w:rsidRDefault="002E08B2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</w:tr>
    </w:tbl>
    <w:p w:rsidR="007D7B74" w:rsidRDefault="007D7B74">
      <w:pPr>
        <w:pStyle w:val="2"/>
        <w:rPr>
          <w:rFonts w:ascii="宋体" w:hAnsi="宋体" w:cs="宋体"/>
          <w:sz w:val="30"/>
          <w:szCs w:val="30"/>
        </w:rPr>
      </w:pPr>
      <w:bookmarkStart w:id="102" w:name="_Toc488392005"/>
      <w:bookmarkStart w:id="103" w:name="_Toc489608594"/>
      <w:bookmarkStart w:id="104" w:name="_Toc295460186"/>
      <w:bookmarkStart w:id="105" w:name="_Toc247424479"/>
      <w:bookmarkStart w:id="106" w:name="_Toc485914317"/>
      <w:bookmarkStart w:id="107" w:name="_Toc483664864"/>
      <w:bookmarkStart w:id="108" w:name="_Toc488997547"/>
      <w:bookmarkStart w:id="109" w:name="_Toc487798672"/>
      <w:bookmarkEnd w:id="75"/>
      <w:bookmarkEnd w:id="76"/>
    </w:p>
    <w:p w:rsidR="007D7B74" w:rsidRDefault="007D7B74"/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3.5电石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:rsidR="007D7B74" w:rsidRDefault="007D7B74"/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2017年国内电石市场价格走势图</w:t>
      </w:r>
    </w:p>
    <w:p w:rsidR="00743F73" w:rsidRPr="00743F73" w:rsidRDefault="00743F73" w:rsidP="00743F7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95975" cy="3257550"/>
            <wp:effectExtent l="19050" t="0" r="9525" b="0"/>
            <wp:docPr id="13" name="图片 1" descr="C:\Users\Administrator\AppData\Roaming\Tencent\Users\1093169847\QQ\WinTemp\RichOle\BV33LM$H`XAWLNU6})AC(G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093169847\QQ\WinTemp\RichOle\BV33LM$H`XAWLNU6})AC(G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74" w:rsidRDefault="007D7B7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D7B74" w:rsidRDefault="007D7B7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D7B74" w:rsidRDefault="007D7B7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D7B74" w:rsidRDefault="007D7B74">
      <w:pPr>
        <w:widowControl/>
        <w:spacing w:beforeAutospacing="1" w:after="375" w:line="420" w:lineRule="atLeast"/>
        <w:ind w:firstLine="420"/>
        <w:jc w:val="left"/>
        <w:rPr>
          <w:szCs w:val="21"/>
        </w:rPr>
      </w:pPr>
    </w:p>
    <w:p w:rsidR="007D7B74" w:rsidRDefault="005866D5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110" w:name="_GoBack"/>
      <w:bookmarkEnd w:id="110"/>
      <w:r w:rsidR="007D7B74" w:rsidRPr="007D7B74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5866D5" w:rsidRDefault="005866D5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7D7B74" w:rsidRDefault="007D7B74">
      <w:pPr>
        <w:wordWrap w:val="0"/>
        <w:jc w:val="right"/>
        <w:rPr>
          <w:rFonts w:ascii="仿宋" w:eastAsia="仿宋" w:hAnsi="仿宋"/>
          <w:szCs w:val="21"/>
        </w:rPr>
      </w:pPr>
    </w:p>
    <w:p w:rsidR="007D7B74" w:rsidRDefault="005866D5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7D7B74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D16CB4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D16CB4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D16CB4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D16CB4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D16CB4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6CB4" w:rsidRPr="00D16CB4" w:rsidRDefault="00D16CB4" w:rsidP="00D16CB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6CB4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</w:tbl>
    <w:p w:rsidR="007D7B74" w:rsidRDefault="007D7B74">
      <w:pPr>
        <w:jc w:val="right"/>
        <w:rPr>
          <w:rFonts w:ascii="宋体" w:hAnsi="宋体" w:cs="宋体"/>
          <w:sz w:val="18"/>
          <w:szCs w:val="18"/>
        </w:rPr>
      </w:pPr>
    </w:p>
    <w:p w:rsidR="007D7B74" w:rsidRDefault="005866D5">
      <w:pPr>
        <w:pStyle w:val="1"/>
        <w:widowControl/>
        <w:numPr>
          <w:ilvl w:val="0"/>
          <w:numId w:val="2"/>
        </w:numPr>
        <w:jc w:val="left"/>
        <w:rPr>
          <w:rFonts w:ascii="宋体" w:eastAsia="宋体" w:hAnsi="宋体" w:cs="宋体"/>
          <w:sz w:val="30"/>
          <w:szCs w:val="30"/>
        </w:rPr>
      </w:pPr>
      <w:bookmarkStart w:id="111" w:name="_Toc260227055"/>
      <w:bookmarkStart w:id="112" w:name="_Toc260229009"/>
      <w:bookmarkStart w:id="113" w:name="_Toc262550199"/>
      <w:bookmarkStart w:id="114" w:name="_Toc261616908"/>
      <w:bookmarkStart w:id="115" w:name="_Toc401302144"/>
      <w:bookmarkStart w:id="116" w:name="_Toc488997548"/>
      <w:bookmarkStart w:id="117" w:name="_Toc487798673"/>
      <w:bookmarkStart w:id="118" w:name="_Toc483664865"/>
      <w:bookmarkStart w:id="119" w:name="_Toc488392006"/>
      <w:bookmarkStart w:id="120" w:name="_Toc489608595"/>
      <w:bookmarkStart w:id="121" w:name="_Toc485914318"/>
      <w:bookmarkStart w:id="122" w:name="_Toc295460173"/>
      <w:bookmarkStart w:id="123" w:name="_Toc262826500"/>
      <w:r>
        <w:rPr>
          <w:rFonts w:hint="eastAsia"/>
          <w:sz w:val="30"/>
          <w:szCs w:val="30"/>
        </w:rPr>
        <w:t>专题：</w:t>
      </w:r>
      <w:bookmarkEnd w:id="111"/>
      <w:bookmarkEnd w:id="112"/>
      <w:bookmarkEnd w:id="113"/>
      <w:r>
        <w:rPr>
          <w:rFonts w:hint="eastAsia"/>
          <w:sz w:val="30"/>
          <w:szCs w:val="30"/>
        </w:rPr>
        <w:t>宏观统计数据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2017年</w:t>
      </w:r>
      <w:r>
        <w:rPr>
          <w:rFonts w:ascii="仿宋" w:eastAsia="仿宋" w:hAnsi="仿宋" w:cs="仿宋"/>
          <w:sz w:val="28"/>
          <w:szCs w:val="28"/>
        </w:rPr>
        <w:t>1-10</w:t>
      </w:r>
      <w:r>
        <w:rPr>
          <w:rFonts w:ascii="仿宋" w:eastAsia="仿宋" w:hAnsi="仿宋" w:cs="仿宋" w:hint="eastAsia"/>
          <w:sz w:val="28"/>
          <w:szCs w:val="28"/>
        </w:rPr>
        <w:t>月份，商品房销售面积</w:t>
      </w:r>
      <w:r>
        <w:rPr>
          <w:rFonts w:ascii="仿宋" w:eastAsia="仿宋" w:hAnsi="仿宋" w:cs="仿宋"/>
          <w:sz w:val="28"/>
          <w:szCs w:val="28"/>
        </w:rPr>
        <w:t>130254</w:t>
      </w:r>
      <w:r>
        <w:rPr>
          <w:rFonts w:ascii="仿宋" w:eastAsia="仿宋" w:hAnsi="仿宋" w:cs="仿宋" w:hint="eastAsia"/>
          <w:sz w:val="28"/>
          <w:szCs w:val="28"/>
        </w:rPr>
        <w:t>万平方米，同比增长</w:t>
      </w:r>
      <w:r>
        <w:rPr>
          <w:rFonts w:ascii="仿宋" w:eastAsia="仿宋" w:hAnsi="仿宋" w:cs="仿宋"/>
          <w:sz w:val="28"/>
          <w:szCs w:val="28"/>
        </w:rPr>
        <w:t>8.2%</w:t>
      </w:r>
      <w:r>
        <w:rPr>
          <w:rFonts w:ascii="仿宋" w:eastAsia="仿宋" w:hAnsi="仿宋" w:cs="仿宋" w:hint="eastAsia"/>
          <w:sz w:val="28"/>
          <w:szCs w:val="28"/>
        </w:rPr>
        <w:t>，增速比</w:t>
      </w:r>
      <w:r>
        <w:rPr>
          <w:rFonts w:ascii="仿宋" w:eastAsia="仿宋" w:hAnsi="仿宋" w:cs="仿宋"/>
          <w:sz w:val="28"/>
          <w:szCs w:val="28"/>
        </w:rPr>
        <w:t>1-9</w:t>
      </w:r>
      <w:r>
        <w:rPr>
          <w:rFonts w:ascii="仿宋" w:eastAsia="仿宋" w:hAnsi="仿宋" w:cs="仿宋" w:hint="eastAsia"/>
          <w:sz w:val="28"/>
          <w:szCs w:val="28"/>
        </w:rPr>
        <w:t>月份回落</w:t>
      </w:r>
      <w:r>
        <w:rPr>
          <w:rFonts w:ascii="仿宋" w:eastAsia="仿宋" w:hAnsi="仿宋" w:cs="仿宋"/>
          <w:sz w:val="28"/>
          <w:szCs w:val="28"/>
        </w:rPr>
        <w:t>2.1</w:t>
      </w:r>
      <w:r>
        <w:rPr>
          <w:rFonts w:ascii="仿宋" w:eastAsia="仿宋" w:hAnsi="仿宋" w:cs="仿宋" w:hint="eastAsia"/>
          <w:sz w:val="28"/>
          <w:szCs w:val="28"/>
        </w:rPr>
        <w:t>个百分点。其中，住宅销售面积增长</w:t>
      </w:r>
      <w:r>
        <w:rPr>
          <w:rFonts w:ascii="仿宋" w:eastAsia="仿宋" w:hAnsi="仿宋" w:cs="仿宋"/>
          <w:sz w:val="28"/>
          <w:szCs w:val="28"/>
        </w:rPr>
        <w:t>5.6%</w:t>
      </w:r>
      <w:r>
        <w:rPr>
          <w:rFonts w:ascii="仿宋" w:eastAsia="仿宋" w:hAnsi="仿宋" w:cs="仿宋" w:hint="eastAsia"/>
          <w:sz w:val="28"/>
          <w:szCs w:val="28"/>
        </w:rPr>
        <w:t>，办公楼销售面积增长</w:t>
      </w:r>
      <w:r>
        <w:rPr>
          <w:rFonts w:ascii="仿宋" w:eastAsia="仿宋" w:hAnsi="仿宋" w:cs="仿宋"/>
          <w:sz w:val="28"/>
          <w:szCs w:val="28"/>
        </w:rPr>
        <w:t>28.2%</w:t>
      </w:r>
      <w:r>
        <w:rPr>
          <w:rFonts w:ascii="仿宋" w:eastAsia="仿宋" w:hAnsi="仿宋" w:cs="仿宋" w:hint="eastAsia"/>
          <w:sz w:val="28"/>
          <w:szCs w:val="28"/>
        </w:rPr>
        <w:t>，商业营业用房销售面积增长</w:t>
      </w:r>
      <w:r>
        <w:rPr>
          <w:rFonts w:ascii="仿宋" w:eastAsia="仿宋" w:hAnsi="仿宋" w:cs="仿宋"/>
          <w:sz w:val="28"/>
          <w:szCs w:val="28"/>
        </w:rPr>
        <w:t>21.4%</w:t>
      </w:r>
      <w:r>
        <w:rPr>
          <w:rFonts w:ascii="仿宋" w:eastAsia="仿宋" w:hAnsi="仿宋" w:cs="仿宋" w:hint="eastAsia"/>
          <w:sz w:val="28"/>
          <w:szCs w:val="28"/>
        </w:rPr>
        <w:t>。商品房销售额</w:t>
      </w:r>
      <w:r>
        <w:rPr>
          <w:rFonts w:ascii="仿宋" w:eastAsia="仿宋" w:hAnsi="仿宋" w:cs="仿宋"/>
          <w:sz w:val="28"/>
          <w:szCs w:val="28"/>
        </w:rPr>
        <w:t>102990</w:t>
      </w:r>
      <w:r>
        <w:rPr>
          <w:rFonts w:ascii="仿宋" w:eastAsia="仿宋" w:hAnsi="仿宋" w:cs="仿宋" w:hint="eastAsia"/>
          <w:sz w:val="28"/>
          <w:szCs w:val="28"/>
        </w:rPr>
        <w:t>亿元，增长</w:t>
      </w:r>
      <w:r>
        <w:rPr>
          <w:rFonts w:ascii="仿宋" w:eastAsia="仿宋" w:hAnsi="仿宋" w:cs="仿宋"/>
          <w:sz w:val="28"/>
          <w:szCs w:val="28"/>
        </w:rPr>
        <w:t>12.6%</w:t>
      </w:r>
      <w:r>
        <w:rPr>
          <w:rFonts w:ascii="仿宋" w:eastAsia="仿宋" w:hAnsi="仿宋" w:cs="仿宋" w:hint="eastAsia"/>
          <w:sz w:val="28"/>
          <w:szCs w:val="28"/>
        </w:rPr>
        <w:t>，增速回落</w:t>
      </w:r>
      <w:r>
        <w:rPr>
          <w:rFonts w:ascii="仿宋" w:eastAsia="仿宋" w:hAnsi="仿宋" w:cs="仿宋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个百分点。其中，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住宅销售额增长</w:t>
      </w:r>
      <w:r>
        <w:rPr>
          <w:rFonts w:ascii="仿宋" w:eastAsia="仿宋" w:hAnsi="仿宋" w:cs="仿宋"/>
          <w:sz w:val="28"/>
          <w:szCs w:val="28"/>
        </w:rPr>
        <w:t>9.6%</w:t>
      </w:r>
      <w:r>
        <w:rPr>
          <w:rFonts w:ascii="仿宋" w:eastAsia="仿宋" w:hAnsi="仿宋" w:cs="仿宋" w:hint="eastAsia"/>
          <w:sz w:val="28"/>
          <w:szCs w:val="28"/>
        </w:rPr>
        <w:t>，办公楼销售额增长</w:t>
      </w:r>
      <w:r>
        <w:rPr>
          <w:rFonts w:ascii="仿宋" w:eastAsia="仿宋" w:hAnsi="仿宋" w:cs="仿宋"/>
          <w:sz w:val="28"/>
          <w:szCs w:val="28"/>
        </w:rPr>
        <w:t>20.2%</w:t>
      </w:r>
      <w:r>
        <w:rPr>
          <w:rFonts w:ascii="仿宋" w:eastAsia="仿宋" w:hAnsi="仿宋" w:cs="仿宋" w:hint="eastAsia"/>
          <w:sz w:val="28"/>
          <w:szCs w:val="28"/>
        </w:rPr>
        <w:t>，商业营业用房销售额增长</w:t>
      </w:r>
      <w:r>
        <w:rPr>
          <w:rFonts w:ascii="仿宋" w:eastAsia="仿宋" w:hAnsi="仿宋" w:cs="仿宋"/>
          <w:sz w:val="28"/>
          <w:szCs w:val="28"/>
        </w:rPr>
        <w:t>27.9%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2017年10月份，全国居民消费价格同比上涨1.9%。其中，城市上涨1.9%，农村上涨1.7%；食品价格下降0.4%，非食品价格上涨2.4%；消费品价格上涨1.1%，服务价格上涨3.2%。1-10月平均，全国居民消费价格总水平比去年同期上涨1.5%。10月份，全国居民消费价格环比上涨0.1%。其中，城市上涨0.1%，农村上涨0.2%；食品价格持平，非食品价格上涨0.1%；消费品价格上涨0.2%，服务价格下降0.1%。</w:t>
      </w:r>
    </w:p>
    <w:p w:rsidR="007D7B74" w:rsidRDefault="005866D5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2017年1-10月份，全国固定资产投资（不含农户）517818亿元，同比增长7.3%，增速比1-9月份回落0.2个百分点。从环比速度看，10月份比9月份增长0.52%。</w:t>
      </w:r>
    </w:p>
    <w:p w:rsidR="007D7B74" w:rsidRDefault="007D7B7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7D7B7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7D7B74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7D7B74" w:rsidRDefault="005866D5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7D7B74" w:rsidRDefault="005866D5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7D7B74" w:rsidRDefault="007D7B74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7D7B74" w:rsidSect="007D7B74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FD7" w:rsidRDefault="00B65FD7" w:rsidP="007D7B74">
      <w:r>
        <w:separator/>
      </w:r>
    </w:p>
  </w:endnote>
  <w:endnote w:type="continuationSeparator" w:id="0">
    <w:p w:rsidR="00B65FD7" w:rsidRDefault="00B65FD7" w:rsidP="007D7B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6D5" w:rsidRDefault="005866D5">
    <w:pPr>
      <w:pStyle w:val="a4"/>
      <w:jc w:val="center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A724EB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</w:t>
    </w:r>
    <w:r>
      <w:rPr>
        <w:lang w:val="zh-CN"/>
      </w:rPr>
      <w:t xml:space="preserve">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A724EB">
      <w:rPr>
        <w:b/>
        <w:bCs/>
        <w:noProof/>
      </w:rPr>
      <w:t>16</w:t>
    </w:r>
    <w:r>
      <w:rPr>
        <w:b/>
        <w:bCs/>
        <w:sz w:val="24"/>
        <w:szCs w:val="24"/>
      </w:rPr>
      <w:fldChar w:fldCharType="end"/>
    </w:r>
  </w:p>
  <w:p w:rsidR="005866D5" w:rsidRDefault="005866D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FD7" w:rsidRDefault="00B65FD7" w:rsidP="007D7B74">
      <w:r>
        <w:separator/>
      </w:r>
    </w:p>
  </w:footnote>
  <w:footnote w:type="continuationSeparator" w:id="0">
    <w:p w:rsidR="00B65FD7" w:rsidRDefault="00B65FD7" w:rsidP="007D7B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6D5" w:rsidRDefault="005866D5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866D5" w:rsidRDefault="005866D5">
    <w:pPr>
      <w:pStyle w:val="a5"/>
      <w:pBdr>
        <w:bottom w:val="none" w:sz="0" w:space="0" w:color="auto"/>
      </w:pBdr>
    </w:pPr>
  </w:p>
  <w:p w:rsidR="005866D5" w:rsidRDefault="005866D5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4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7DFB"/>
    <w:rsid w:val="000133F2"/>
    <w:rsid w:val="00025F3A"/>
    <w:rsid w:val="000308BA"/>
    <w:rsid w:val="00034D91"/>
    <w:rsid w:val="00035EF6"/>
    <w:rsid w:val="0004312A"/>
    <w:rsid w:val="00043BD5"/>
    <w:rsid w:val="000538D5"/>
    <w:rsid w:val="0006271A"/>
    <w:rsid w:val="0007451C"/>
    <w:rsid w:val="00083CF6"/>
    <w:rsid w:val="00085917"/>
    <w:rsid w:val="00085939"/>
    <w:rsid w:val="00096A95"/>
    <w:rsid w:val="00096CEE"/>
    <w:rsid w:val="000B0FBD"/>
    <w:rsid w:val="000C2753"/>
    <w:rsid w:val="000C5BD8"/>
    <w:rsid w:val="000C6A76"/>
    <w:rsid w:val="000D3807"/>
    <w:rsid w:val="000D7161"/>
    <w:rsid w:val="000E75D7"/>
    <w:rsid w:val="000F5020"/>
    <w:rsid w:val="001006E5"/>
    <w:rsid w:val="0010493A"/>
    <w:rsid w:val="001076A7"/>
    <w:rsid w:val="001128DB"/>
    <w:rsid w:val="001209C8"/>
    <w:rsid w:val="00134A19"/>
    <w:rsid w:val="00135602"/>
    <w:rsid w:val="00140694"/>
    <w:rsid w:val="0014454E"/>
    <w:rsid w:val="001470D3"/>
    <w:rsid w:val="00193843"/>
    <w:rsid w:val="001944C7"/>
    <w:rsid w:val="001A611D"/>
    <w:rsid w:val="001B0566"/>
    <w:rsid w:val="001C20CD"/>
    <w:rsid w:val="001D3943"/>
    <w:rsid w:val="001D51C3"/>
    <w:rsid w:val="001D66C9"/>
    <w:rsid w:val="001E436A"/>
    <w:rsid w:val="001E44DF"/>
    <w:rsid w:val="001F5133"/>
    <w:rsid w:val="001F53BC"/>
    <w:rsid w:val="0020375C"/>
    <w:rsid w:val="0021248D"/>
    <w:rsid w:val="002153A3"/>
    <w:rsid w:val="00215CC5"/>
    <w:rsid w:val="0022723B"/>
    <w:rsid w:val="00233C66"/>
    <w:rsid w:val="0023654D"/>
    <w:rsid w:val="002432F1"/>
    <w:rsid w:val="00254B8C"/>
    <w:rsid w:val="0026357C"/>
    <w:rsid w:val="0027222D"/>
    <w:rsid w:val="00272CA8"/>
    <w:rsid w:val="00277D2C"/>
    <w:rsid w:val="00284A3C"/>
    <w:rsid w:val="00294308"/>
    <w:rsid w:val="00294BF0"/>
    <w:rsid w:val="002B1650"/>
    <w:rsid w:val="002B4374"/>
    <w:rsid w:val="002B7E00"/>
    <w:rsid w:val="002C1E4D"/>
    <w:rsid w:val="002C5A7C"/>
    <w:rsid w:val="002D2965"/>
    <w:rsid w:val="002D67FA"/>
    <w:rsid w:val="002E08B2"/>
    <w:rsid w:val="002F230B"/>
    <w:rsid w:val="0030370A"/>
    <w:rsid w:val="00330140"/>
    <w:rsid w:val="00351054"/>
    <w:rsid w:val="00361079"/>
    <w:rsid w:val="00363A5A"/>
    <w:rsid w:val="003C03BF"/>
    <w:rsid w:val="003D6775"/>
    <w:rsid w:val="003E5A2D"/>
    <w:rsid w:val="003F534D"/>
    <w:rsid w:val="00400BB7"/>
    <w:rsid w:val="00403EAD"/>
    <w:rsid w:val="00404F29"/>
    <w:rsid w:val="004240C3"/>
    <w:rsid w:val="004438D9"/>
    <w:rsid w:val="004468EC"/>
    <w:rsid w:val="00447A7E"/>
    <w:rsid w:val="00455424"/>
    <w:rsid w:val="00460727"/>
    <w:rsid w:val="0048213C"/>
    <w:rsid w:val="00487D2C"/>
    <w:rsid w:val="00491A4E"/>
    <w:rsid w:val="00491FD8"/>
    <w:rsid w:val="0049544D"/>
    <w:rsid w:val="00497981"/>
    <w:rsid w:val="004A325A"/>
    <w:rsid w:val="004B3F10"/>
    <w:rsid w:val="004B7B29"/>
    <w:rsid w:val="004C4D15"/>
    <w:rsid w:val="004E5F2C"/>
    <w:rsid w:val="005000A9"/>
    <w:rsid w:val="005027CA"/>
    <w:rsid w:val="00514F38"/>
    <w:rsid w:val="005369A0"/>
    <w:rsid w:val="00537871"/>
    <w:rsid w:val="00562C5F"/>
    <w:rsid w:val="00564DD0"/>
    <w:rsid w:val="005728D8"/>
    <w:rsid w:val="00583127"/>
    <w:rsid w:val="005866D5"/>
    <w:rsid w:val="00587A17"/>
    <w:rsid w:val="0059522B"/>
    <w:rsid w:val="005A0041"/>
    <w:rsid w:val="005B2422"/>
    <w:rsid w:val="005C0E51"/>
    <w:rsid w:val="005C27BC"/>
    <w:rsid w:val="005D7BFA"/>
    <w:rsid w:val="005E152A"/>
    <w:rsid w:val="005E5645"/>
    <w:rsid w:val="005E6DA3"/>
    <w:rsid w:val="005F185E"/>
    <w:rsid w:val="005F335A"/>
    <w:rsid w:val="005F4661"/>
    <w:rsid w:val="00612B48"/>
    <w:rsid w:val="006349D1"/>
    <w:rsid w:val="00635DE9"/>
    <w:rsid w:val="006456B0"/>
    <w:rsid w:val="00645CD6"/>
    <w:rsid w:val="00655213"/>
    <w:rsid w:val="0066117C"/>
    <w:rsid w:val="006653C3"/>
    <w:rsid w:val="0068419C"/>
    <w:rsid w:val="00687DFE"/>
    <w:rsid w:val="00695DC6"/>
    <w:rsid w:val="0069612A"/>
    <w:rsid w:val="006A5CC5"/>
    <w:rsid w:val="006B00C4"/>
    <w:rsid w:val="006B780F"/>
    <w:rsid w:val="006E3F43"/>
    <w:rsid w:val="007116AF"/>
    <w:rsid w:val="007274C1"/>
    <w:rsid w:val="00735CCE"/>
    <w:rsid w:val="007419C8"/>
    <w:rsid w:val="00743F73"/>
    <w:rsid w:val="007441A5"/>
    <w:rsid w:val="00746C71"/>
    <w:rsid w:val="007510DA"/>
    <w:rsid w:val="007545F7"/>
    <w:rsid w:val="00760F98"/>
    <w:rsid w:val="00761DA8"/>
    <w:rsid w:val="00762659"/>
    <w:rsid w:val="00764161"/>
    <w:rsid w:val="00777E3C"/>
    <w:rsid w:val="00791197"/>
    <w:rsid w:val="007A2906"/>
    <w:rsid w:val="007A4701"/>
    <w:rsid w:val="007B48CA"/>
    <w:rsid w:val="007B50FD"/>
    <w:rsid w:val="007B63DD"/>
    <w:rsid w:val="007B6C15"/>
    <w:rsid w:val="007C32F6"/>
    <w:rsid w:val="007C4414"/>
    <w:rsid w:val="007C68D1"/>
    <w:rsid w:val="007D1289"/>
    <w:rsid w:val="007D496F"/>
    <w:rsid w:val="007D61D1"/>
    <w:rsid w:val="007D7B74"/>
    <w:rsid w:val="007E15A8"/>
    <w:rsid w:val="007E325A"/>
    <w:rsid w:val="007E3D63"/>
    <w:rsid w:val="007E47F0"/>
    <w:rsid w:val="007E65C9"/>
    <w:rsid w:val="00800CDB"/>
    <w:rsid w:val="0080544C"/>
    <w:rsid w:val="0081768D"/>
    <w:rsid w:val="00823AC9"/>
    <w:rsid w:val="00824F69"/>
    <w:rsid w:val="008253ED"/>
    <w:rsid w:val="008322E6"/>
    <w:rsid w:val="00851423"/>
    <w:rsid w:val="008567F6"/>
    <w:rsid w:val="00857BA3"/>
    <w:rsid w:val="00872209"/>
    <w:rsid w:val="0087364C"/>
    <w:rsid w:val="00884C52"/>
    <w:rsid w:val="00885481"/>
    <w:rsid w:val="00891E12"/>
    <w:rsid w:val="008A13F1"/>
    <w:rsid w:val="008A16F4"/>
    <w:rsid w:val="008A4ADF"/>
    <w:rsid w:val="008D0BC3"/>
    <w:rsid w:val="008F0C22"/>
    <w:rsid w:val="008F0EA6"/>
    <w:rsid w:val="009067E8"/>
    <w:rsid w:val="00910F41"/>
    <w:rsid w:val="00911C20"/>
    <w:rsid w:val="00914E5F"/>
    <w:rsid w:val="009373E9"/>
    <w:rsid w:val="00953D05"/>
    <w:rsid w:val="0096172A"/>
    <w:rsid w:val="00965694"/>
    <w:rsid w:val="009714AB"/>
    <w:rsid w:val="00981905"/>
    <w:rsid w:val="00990AE6"/>
    <w:rsid w:val="00993180"/>
    <w:rsid w:val="00993879"/>
    <w:rsid w:val="0099657D"/>
    <w:rsid w:val="009A6423"/>
    <w:rsid w:val="009B2B0B"/>
    <w:rsid w:val="009B4DE2"/>
    <w:rsid w:val="009B6896"/>
    <w:rsid w:val="009D4C30"/>
    <w:rsid w:val="009D59ED"/>
    <w:rsid w:val="009D5BA1"/>
    <w:rsid w:val="009E1398"/>
    <w:rsid w:val="00A039D4"/>
    <w:rsid w:val="00A05943"/>
    <w:rsid w:val="00A0658F"/>
    <w:rsid w:val="00A11BB0"/>
    <w:rsid w:val="00A13F55"/>
    <w:rsid w:val="00A31F3B"/>
    <w:rsid w:val="00A3381B"/>
    <w:rsid w:val="00A431A7"/>
    <w:rsid w:val="00A45A0A"/>
    <w:rsid w:val="00A47797"/>
    <w:rsid w:val="00A54A17"/>
    <w:rsid w:val="00A564D5"/>
    <w:rsid w:val="00A70333"/>
    <w:rsid w:val="00A724EB"/>
    <w:rsid w:val="00A7553D"/>
    <w:rsid w:val="00A77016"/>
    <w:rsid w:val="00A86414"/>
    <w:rsid w:val="00A9016F"/>
    <w:rsid w:val="00AA2B10"/>
    <w:rsid w:val="00AA726E"/>
    <w:rsid w:val="00AB77E9"/>
    <w:rsid w:val="00AC0BBE"/>
    <w:rsid w:val="00AD0D88"/>
    <w:rsid w:val="00AD4A90"/>
    <w:rsid w:val="00AD545F"/>
    <w:rsid w:val="00AD5D7D"/>
    <w:rsid w:val="00AE5627"/>
    <w:rsid w:val="00AF48E9"/>
    <w:rsid w:val="00B048E7"/>
    <w:rsid w:val="00B10BC4"/>
    <w:rsid w:val="00B306B3"/>
    <w:rsid w:val="00B31CA8"/>
    <w:rsid w:val="00B36608"/>
    <w:rsid w:val="00B4232A"/>
    <w:rsid w:val="00B42350"/>
    <w:rsid w:val="00B42DF1"/>
    <w:rsid w:val="00B44411"/>
    <w:rsid w:val="00B57551"/>
    <w:rsid w:val="00B62BC8"/>
    <w:rsid w:val="00B65FD7"/>
    <w:rsid w:val="00B76376"/>
    <w:rsid w:val="00B779AB"/>
    <w:rsid w:val="00BA72F0"/>
    <w:rsid w:val="00BA7BA1"/>
    <w:rsid w:val="00BB56DD"/>
    <w:rsid w:val="00BD5E1E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40029"/>
    <w:rsid w:val="00C50B6A"/>
    <w:rsid w:val="00C641DD"/>
    <w:rsid w:val="00C64DB3"/>
    <w:rsid w:val="00C70A39"/>
    <w:rsid w:val="00C92DB0"/>
    <w:rsid w:val="00C92F00"/>
    <w:rsid w:val="00CA2500"/>
    <w:rsid w:val="00CB48B7"/>
    <w:rsid w:val="00CC67C0"/>
    <w:rsid w:val="00CC7472"/>
    <w:rsid w:val="00CD2145"/>
    <w:rsid w:val="00CD2B03"/>
    <w:rsid w:val="00CD3B11"/>
    <w:rsid w:val="00CD7279"/>
    <w:rsid w:val="00CE3D30"/>
    <w:rsid w:val="00CE4B61"/>
    <w:rsid w:val="00CF01D1"/>
    <w:rsid w:val="00CF6D64"/>
    <w:rsid w:val="00D013C8"/>
    <w:rsid w:val="00D14616"/>
    <w:rsid w:val="00D1688D"/>
    <w:rsid w:val="00D16CB4"/>
    <w:rsid w:val="00D241EB"/>
    <w:rsid w:val="00D436F2"/>
    <w:rsid w:val="00D56D51"/>
    <w:rsid w:val="00D70F3A"/>
    <w:rsid w:val="00D9274F"/>
    <w:rsid w:val="00D9634D"/>
    <w:rsid w:val="00DA010F"/>
    <w:rsid w:val="00DA113E"/>
    <w:rsid w:val="00DB121A"/>
    <w:rsid w:val="00DD14F8"/>
    <w:rsid w:val="00DD3ECF"/>
    <w:rsid w:val="00DF738C"/>
    <w:rsid w:val="00E21C2B"/>
    <w:rsid w:val="00E22F7D"/>
    <w:rsid w:val="00E30E69"/>
    <w:rsid w:val="00E50622"/>
    <w:rsid w:val="00E551D3"/>
    <w:rsid w:val="00E5577A"/>
    <w:rsid w:val="00E57FC7"/>
    <w:rsid w:val="00E6031F"/>
    <w:rsid w:val="00E70F83"/>
    <w:rsid w:val="00E71AEA"/>
    <w:rsid w:val="00E71B40"/>
    <w:rsid w:val="00E90BA4"/>
    <w:rsid w:val="00E94998"/>
    <w:rsid w:val="00E960D1"/>
    <w:rsid w:val="00E97139"/>
    <w:rsid w:val="00EA21F5"/>
    <w:rsid w:val="00EB41F5"/>
    <w:rsid w:val="00EB5F32"/>
    <w:rsid w:val="00EC1596"/>
    <w:rsid w:val="00EC6EDD"/>
    <w:rsid w:val="00EC7A75"/>
    <w:rsid w:val="00ED4E0B"/>
    <w:rsid w:val="00EE240D"/>
    <w:rsid w:val="00EE5CEB"/>
    <w:rsid w:val="00EF2763"/>
    <w:rsid w:val="00F07379"/>
    <w:rsid w:val="00F15674"/>
    <w:rsid w:val="00F16010"/>
    <w:rsid w:val="00F267F7"/>
    <w:rsid w:val="00F27154"/>
    <w:rsid w:val="00F36DE5"/>
    <w:rsid w:val="00F51A12"/>
    <w:rsid w:val="00F6141E"/>
    <w:rsid w:val="00F63B59"/>
    <w:rsid w:val="00F72F1C"/>
    <w:rsid w:val="00F90807"/>
    <w:rsid w:val="00F913D1"/>
    <w:rsid w:val="00FA620A"/>
    <w:rsid w:val="00FA6990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768A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B7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D7B74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D7B7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7D7B74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7D7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D7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D7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7D7B74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7D7B74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7D7B74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7D7B7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7D7B74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7D7B74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7D7B74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7D7B74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7D7B74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7D7B74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7D7B74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7D7B7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7D7B7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7D7B74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7D7B74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7D7B74"/>
    <w:rPr>
      <w:rFonts w:ascii="Calibri" w:hAnsi="Calibri" w:cs="Calibri"/>
      <w:color w:val="0000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9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D:\PVC%20&#20840;\PVC%20&#20840;\PVC&#21608;&#25253;\&#20013;&#21326;&#21830;&#21153;&#32593;VIP&#26381;&#21153;&#21608;&#25253;&#65306;&#30005;&#30707;-PVC&#21608;&#25253;20170803.docx" TargetMode="External"/><Relationship Id="rId19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6032;&#24314;&#25991;&#20214;&#22841;%20(3)\&#21270;&#24037;&#34920;&#26684;\05pvc&#26399;&#36135;&#30701;&#2044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6032;&#24314;&#25991;&#20214;&#22841;%20(3)\&#21270;&#24037;&#34920;&#26684;\01-22-18-21pvc&#20986;&#21378;&#20215;&#26684;&#34920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6032;&#24314;&#25991;&#20214;&#22841;%20(3)\&#21270;&#24037;&#34920;&#26684;\&#24066;&#22330;&#20215;&#26684;&#36208;&#21183;&#22270;&#22270;%20(1)%20(1)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6032;&#24314;&#25991;&#20214;&#22841;%20(3)\&#21270;&#24037;&#34920;&#26684;\01-22-18-21pvc&#20986;&#21378;&#20215;&#26684;&#3492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6032;&#24314;&#25991;&#20214;&#22841;%20(3)\&#21608;&#25253;\&#21608;&#25253;&#29992;-&#22269;&#38469;&#21407;&#27833;&#20215;&#26684;170424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6032;&#24314;&#25991;&#20214;&#22841;%20(3)\&#21270;&#24037;&#34920;&#26684;\01-22-18-21pvc&#20986;&#21378;&#20215;&#26684;&#34920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6032;&#24314;&#25991;&#20214;&#22841;%20(3)\&#21270;&#24037;&#34920;&#26684;\01-22-18-21pvc&#20986;&#21378;&#20215;&#26684;&#34920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6032;&#24314;&#25991;&#20214;&#22841;%20(3)\&#21270;&#24037;&#34920;&#26684;\01-22-18-21pvc&#20986;&#21378;&#20215;&#26684;&#3492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774937594464601"/>
          <c:y val="4.885070248571871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29665"/>
          <c:h val="0.67241568004580565"/>
        </c:manualLayout>
      </c:layout>
      <c:lineChart>
        <c:grouping val="standard"/>
        <c:ser>
          <c:idx val="3"/>
          <c:order val="0"/>
          <c:tx>
            <c:strRef>
              <c:f>'pvc期货  '!$H$3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'!$B$9:$C$2088</c:f>
              <c:numCache>
                <c:formatCode>yy/mm/dd</c:formatCode>
                <c:ptCount val="2072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</c:numCache>
            </c:numRef>
          </c:cat>
          <c:val>
            <c:numRef>
              <c:f>'pvc期货  '!$H$9:$H$2088</c:f>
              <c:numCache>
                <c:formatCode>0_);[Red]\(0\)</c:formatCode>
                <c:ptCount val="2072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</c:numCache>
            </c:numRef>
          </c:val>
        </c:ser>
        <c:marker val="1"/>
        <c:axId val="180131328"/>
        <c:axId val="181978240"/>
      </c:lineChart>
      <c:dateAx>
        <c:axId val="180131328"/>
        <c:scaling>
          <c:orientation val="minMax"/>
          <c:max val="43077"/>
          <c:min val="42377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1978240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1978240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0131328"/>
        <c:crossesAt val="39958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804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3697514851558934E-2"/>
          <c:y val="0.21764737139156604"/>
          <c:w val="0.863866255142343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重点PVC厂家价格!$A$16:$A$2160</c:f>
              <c:numCache>
                <c:formatCode>yy/mm/dd</c:formatCode>
                <c:ptCount val="2145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</c:numCache>
            </c:numRef>
          </c:cat>
          <c:val>
            <c:numRef>
              <c:f>重点PVC厂家价格!$B$16:$B$2160</c:f>
              <c:numCache>
                <c:formatCode>General</c:formatCode>
                <c:ptCount val="2145"/>
                <c:pt idx="0">
                  <c:v>6700</c:v>
                </c:pt>
                <c:pt idx="1">
                  <c:v>6850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6950</c:v>
                </c:pt>
                <c:pt idx="6">
                  <c:v>7050</c:v>
                </c:pt>
                <c:pt idx="7">
                  <c:v>7150</c:v>
                </c:pt>
                <c:pt idx="8">
                  <c:v>7200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7600</c:v>
                </c:pt>
                <c:pt idx="13">
                  <c:v>7750</c:v>
                </c:pt>
                <c:pt idx="14">
                  <c:v>7850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7950</c:v>
                </c:pt>
                <c:pt idx="19">
                  <c:v>7650</c:v>
                </c:pt>
                <c:pt idx="20">
                  <c:v>7700</c:v>
                </c:pt>
                <c:pt idx="21">
                  <c:v>7700</c:v>
                </c:pt>
                <c:pt idx="22">
                  <c:v>7800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8000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7800</c:v>
                </c:pt>
                <c:pt idx="32">
                  <c:v>7650</c:v>
                </c:pt>
                <c:pt idx="33">
                  <c:v>7650</c:v>
                </c:pt>
                <c:pt idx="34">
                  <c:v>7650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7300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7350</c:v>
                </c:pt>
                <c:pt idx="46">
                  <c:v>7450</c:v>
                </c:pt>
                <c:pt idx="47">
                  <c:v>7450</c:v>
                </c:pt>
                <c:pt idx="48">
                  <c:v>7450</c:v>
                </c:pt>
                <c:pt idx="49">
                  <c:v>7650</c:v>
                </c:pt>
                <c:pt idx="50">
                  <c:v>7750</c:v>
                </c:pt>
                <c:pt idx="51">
                  <c:v>7750</c:v>
                </c:pt>
                <c:pt idx="52">
                  <c:v>7850</c:v>
                </c:pt>
                <c:pt idx="53">
                  <c:v>7950</c:v>
                </c:pt>
                <c:pt idx="54">
                  <c:v>8050</c:v>
                </c:pt>
                <c:pt idx="55">
                  <c:v>8250</c:v>
                </c:pt>
                <c:pt idx="56">
                  <c:v>8250</c:v>
                </c:pt>
                <c:pt idx="57">
                  <c:v>8400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8600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8800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8900</c:v>
                </c:pt>
                <c:pt idx="74">
                  <c:v>8700</c:v>
                </c:pt>
                <c:pt idx="75">
                  <c:v>8500</c:v>
                </c:pt>
                <c:pt idx="76">
                  <c:v>8250</c:v>
                </c:pt>
                <c:pt idx="77">
                  <c:v>8000</c:v>
                </c:pt>
                <c:pt idx="78">
                  <c:v>8000</c:v>
                </c:pt>
                <c:pt idx="79">
                  <c:v>8000</c:v>
                </c:pt>
                <c:pt idx="80">
                  <c:v>7350</c:v>
                </c:pt>
                <c:pt idx="81">
                  <c:v>6600</c:v>
                </c:pt>
                <c:pt idx="82">
                  <c:v>6600</c:v>
                </c:pt>
                <c:pt idx="83">
                  <c:v>6400</c:v>
                </c:pt>
                <c:pt idx="84">
                  <c:v>6300</c:v>
                </c:pt>
                <c:pt idx="85">
                  <c:v>6000</c:v>
                </c:pt>
                <c:pt idx="86">
                  <c:v>5500</c:v>
                </c:pt>
                <c:pt idx="87">
                  <c:v>5500</c:v>
                </c:pt>
                <c:pt idx="88">
                  <c:v>6150</c:v>
                </c:pt>
                <c:pt idx="89">
                  <c:v>6150</c:v>
                </c:pt>
                <c:pt idx="90">
                  <c:v>6250</c:v>
                </c:pt>
                <c:pt idx="91">
                  <c:v>6250</c:v>
                </c:pt>
                <c:pt idx="92">
                  <c:v>6500</c:v>
                </c:pt>
                <c:pt idx="93">
                  <c:v>6500</c:v>
                </c:pt>
                <c:pt idx="94">
                  <c:v>6500</c:v>
                </c:pt>
                <c:pt idx="95">
                  <c:v>6350</c:v>
                </c:pt>
                <c:pt idx="96">
                  <c:v>6350</c:v>
                </c:pt>
                <c:pt idx="97">
                  <c:v>6400</c:v>
                </c:pt>
                <c:pt idx="98">
                  <c:v>6550</c:v>
                </c:pt>
                <c:pt idx="99">
                  <c:v>6550</c:v>
                </c:pt>
                <c:pt idx="100">
                  <c:v>6500</c:v>
                </c:pt>
                <c:pt idx="101">
                  <c:v>6200</c:v>
                </c:pt>
                <c:pt idx="102">
                  <c:v>5900</c:v>
                </c:pt>
                <c:pt idx="103">
                  <c:v>6200</c:v>
                </c:pt>
                <c:pt idx="104">
                  <c:v>6350</c:v>
                </c:pt>
                <c:pt idx="105">
                  <c:v>6350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6850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6500</c:v>
                </c:pt>
                <c:pt idx="115">
                  <c:v>6250</c:v>
                </c:pt>
                <c:pt idx="116">
                  <c:v>6500</c:v>
                </c:pt>
                <c:pt idx="117">
                  <c:v>6650</c:v>
                </c:pt>
                <c:pt idx="118">
                  <c:v>6650</c:v>
                </c:pt>
                <c:pt idx="119">
                  <c:v>6650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6750</c:v>
                </c:pt>
                <c:pt idx="124">
                  <c:v>6900</c:v>
                </c:pt>
                <c:pt idx="125">
                  <c:v>6900</c:v>
                </c:pt>
                <c:pt idx="126">
                  <c:v>6900</c:v>
                </c:pt>
                <c:pt idx="127">
                  <c:v>6750</c:v>
                </c:pt>
                <c:pt idx="128">
                  <c:v>6750</c:v>
                </c:pt>
                <c:pt idx="129">
                  <c:v>6750</c:v>
                </c:pt>
                <c:pt idx="130">
                  <c:v>6700</c:v>
                </c:pt>
                <c:pt idx="131">
                  <c:v>6700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6550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6750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7100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7200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7600</c:v>
                </c:pt>
                <c:pt idx="197">
                  <c:v>7450</c:v>
                </c:pt>
                <c:pt idx="198">
                  <c:v>7450</c:v>
                </c:pt>
                <c:pt idx="199">
                  <c:v>7450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7550</c:v>
                </c:pt>
                <c:pt idx="213">
                  <c:v>7420</c:v>
                </c:pt>
                <c:pt idx="214">
                  <c:v>7420</c:v>
                </c:pt>
                <c:pt idx="215">
                  <c:v>7420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7550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7350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7400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7500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7550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7400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7350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7400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7300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7250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7150</c:v>
                </c:pt>
                <c:pt idx="321">
                  <c:v>7000</c:v>
                </c:pt>
                <c:pt idx="322">
                  <c:v>7000</c:v>
                </c:pt>
                <c:pt idx="323">
                  <c:v>7000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7100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7300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7400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7550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7650</c:v>
                </c:pt>
                <c:pt idx="359">
                  <c:v>7750</c:v>
                </c:pt>
                <c:pt idx="360">
                  <c:v>7750</c:v>
                </c:pt>
                <c:pt idx="361">
                  <c:v>7750</c:v>
                </c:pt>
                <c:pt idx="362">
                  <c:v>7900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8000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8200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8150</c:v>
                </c:pt>
                <c:pt idx="378">
                  <c:v>8250</c:v>
                </c:pt>
                <c:pt idx="379">
                  <c:v>8250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8150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8200</c:v>
                </c:pt>
                <c:pt idx="389">
                  <c:v>8400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8900</c:v>
                </c:pt>
                <c:pt idx="405">
                  <c:v>8800</c:v>
                </c:pt>
                <c:pt idx="406">
                  <c:v>8800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8700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8300</c:v>
                </c:pt>
                <c:pt idx="428">
                  <c:v>8100</c:v>
                </c:pt>
                <c:pt idx="429">
                  <c:v>8100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8200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8050</c:v>
                </c:pt>
                <c:pt idx="446">
                  <c:v>7900</c:v>
                </c:pt>
                <c:pt idx="447">
                  <c:v>7900</c:v>
                </c:pt>
                <c:pt idx="448">
                  <c:v>7900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7950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8000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8100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8050</c:v>
                </c:pt>
                <c:pt idx="477">
                  <c:v>7900</c:v>
                </c:pt>
                <c:pt idx="478">
                  <c:v>7900</c:v>
                </c:pt>
                <c:pt idx="479">
                  <c:v>7900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7950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8300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8200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8400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8050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8200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8150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8200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8400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8100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8200</c:v>
                </c:pt>
                <c:pt idx="577">
                  <c:v>8100</c:v>
                </c:pt>
                <c:pt idx="578">
                  <c:v>8100</c:v>
                </c:pt>
                <c:pt idx="579">
                  <c:v>8100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8150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7950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7900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7550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6950</c:v>
                </c:pt>
                <c:pt idx="626">
                  <c:v>6850</c:v>
                </c:pt>
                <c:pt idx="627">
                  <c:v>6850</c:v>
                </c:pt>
                <c:pt idx="628">
                  <c:v>6850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6750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6700</c:v>
                </c:pt>
                <c:pt idx="652">
                  <c:v>6750</c:v>
                </c:pt>
                <c:pt idx="653">
                  <c:v>6750</c:v>
                </c:pt>
                <c:pt idx="654">
                  <c:v>6700</c:v>
                </c:pt>
                <c:pt idx="655">
                  <c:v>6700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6700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6650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6700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6600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6750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6850</c:v>
                </c:pt>
                <c:pt idx="711">
                  <c:v>6700</c:v>
                </c:pt>
                <c:pt idx="712">
                  <c:v>6700</c:v>
                </c:pt>
                <c:pt idx="713">
                  <c:v>6700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6750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6800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6800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7000</c:v>
                </c:pt>
                <c:pt idx="754">
                  <c:v>6850</c:v>
                </c:pt>
                <c:pt idx="755">
                  <c:v>6850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6950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6850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6800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6650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6700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6650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6750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6800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6850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6950</c:v>
                </c:pt>
                <c:pt idx="863">
                  <c:v>6900</c:v>
                </c:pt>
                <c:pt idx="864">
                  <c:v>6950</c:v>
                </c:pt>
                <c:pt idx="865">
                  <c:v>6950</c:v>
                </c:pt>
                <c:pt idx="866">
                  <c:v>6850</c:v>
                </c:pt>
                <c:pt idx="867">
                  <c:v>6850</c:v>
                </c:pt>
                <c:pt idx="868">
                  <c:v>6850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6750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6600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6450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6400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6450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6500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6650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6700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6750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7050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7400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7500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7200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7000</c:v>
                </c:pt>
                <c:pt idx="1030">
                  <c:v>6850</c:v>
                </c:pt>
                <c:pt idx="1031">
                  <c:v>6850</c:v>
                </c:pt>
                <c:pt idx="1032">
                  <c:v>6850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6800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6750</c:v>
                </c:pt>
                <c:pt idx="1058">
                  <c:v>6850</c:v>
                </c:pt>
                <c:pt idx="1059">
                  <c:v>6850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6950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7050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7150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7080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6900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6800</c:v>
                </c:pt>
                <c:pt idx="1219">
                  <c:v>6750</c:v>
                </c:pt>
                <c:pt idx="1220">
                  <c:v>6750</c:v>
                </c:pt>
                <c:pt idx="1221">
                  <c:v>6750</c:v>
                </c:pt>
                <c:pt idx="1222">
                  <c:v>6600</c:v>
                </c:pt>
                <c:pt idx="1223">
                  <c:v>6600</c:v>
                </c:pt>
                <c:pt idx="1224">
                  <c:v>6600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6500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6600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6550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6580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6550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6490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6470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6400</c:v>
                </c:pt>
                <c:pt idx="1391">
                  <c:v>6300</c:v>
                </c:pt>
                <c:pt idx="1392">
                  <c:v>6300</c:v>
                </c:pt>
                <c:pt idx="1393">
                  <c:v>6300</c:v>
                </c:pt>
                <c:pt idx="1394">
                  <c:v>6200</c:v>
                </c:pt>
                <c:pt idx="1395">
                  <c:v>6200</c:v>
                </c:pt>
                <c:pt idx="1396">
                  <c:v>6200</c:v>
                </c:pt>
                <c:pt idx="1397">
                  <c:v>6150</c:v>
                </c:pt>
                <c:pt idx="1398">
                  <c:v>6150</c:v>
                </c:pt>
                <c:pt idx="1399">
                  <c:v>6150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5900</c:v>
                </c:pt>
                <c:pt idx="1410">
                  <c:v>5900</c:v>
                </c:pt>
                <c:pt idx="1411">
                  <c:v>5900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5850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5800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5700</c:v>
                </c:pt>
                <c:pt idx="1432">
                  <c:v>5650</c:v>
                </c:pt>
                <c:pt idx="1433">
                  <c:v>5650</c:v>
                </c:pt>
                <c:pt idx="1434">
                  <c:v>5650</c:v>
                </c:pt>
                <c:pt idx="1435">
                  <c:v>5500</c:v>
                </c:pt>
                <c:pt idx="1436">
                  <c:v>5500</c:v>
                </c:pt>
                <c:pt idx="1437">
                  <c:v>5500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5420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5500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5600</c:v>
                </c:pt>
                <c:pt idx="1479">
                  <c:v>5800</c:v>
                </c:pt>
                <c:pt idx="1480">
                  <c:v>5900</c:v>
                </c:pt>
                <c:pt idx="1481">
                  <c:v>5900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5950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5950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5750</c:v>
                </c:pt>
                <c:pt idx="1539">
                  <c:v>5750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5550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5500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5420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5400</c:v>
                </c:pt>
                <c:pt idx="1637">
                  <c:v>5350</c:v>
                </c:pt>
                <c:pt idx="1638">
                  <c:v>5350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5300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5370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5400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5500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5470</c:v>
                </c:pt>
                <c:pt idx="1712">
                  <c:v>5500</c:v>
                </c:pt>
                <c:pt idx="1713">
                  <c:v>5500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5580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5540</c:v>
                </c:pt>
                <c:pt idx="1735">
                  <c:v>5530</c:v>
                </c:pt>
                <c:pt idx="1736">
                  <c:v>5530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5520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5550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5650</c:v>
                </c:pt>
                <c:pt idx="1803">
                  <c:v>5650</c:v>
                </c:pt>
                <c:pt idx="1804">
                  <c:v>5650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5700</c:v>
                </c:pt>
                <c:pt idx="1809">
                  <c:v>5750</c:v>
                </c:pt>
                <c:pt idx="1810">
                  <c:v>5750</c:v>
                </c:pt>
                <c:pt idx="1811">
                  <c:v>5800</c:v>
                </c:pt>
                <c:pt idx="1812">
                  <c:v>5800</c:v>
                </c:pt>
                <c:pt idx="1813">
                  <c:v>5800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5850</c:v>
                </c:pt>
                <c:pt idx="1818">
                  <c:v>5950</c:v>
                </c:pt>
                <c:pt idx="1819">
                  <c:v>6050</c:v>
                </c:pt>
                <c:pt idx="1820">
                  <c:v>6150</c:v>
                </c:pt>
                <c:pt idx="1821">
                  <c:v>6150</c:v>
                </c:pt>
                <c:pt idx="1822">
                  <c:v>6150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6250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6300</c:v>
                </c:pt>
                <c:pt idx="1839">
                  <c:v>6350</c:v>
                </c:pt>
                <c:pt idx="1840">
                  <c:v>6400</c:v>
                </c:pt>
                <c:pt idx="1841">
                  <c:v>6400</c:v>
                </c:pt>
                <c:pt idx="1842">
                  <c:v>6400</c:v>
                </c:pt>
                <c:pt idx="1843">
                  <c:v>6500</c:v>
                </c:pt>
                <c:pt idx="1844">
                  <c:v>6500</c:v>
                </c:pt>
                <c:pt idx="1845">
                  <c:v>6500</c:v>
                </c:pt>
                <c:pt idx="1846">
                  <c:v>6600</c:v>
                </c:pt>
                <c:pt idx="1847">
                  <c:v>6600</c:v>
                </c:pt>
                <c:pt idx="1848">
                  <c:v>6600</c:v>
                </c:pt>
                <c:pt idx="1849">
                  <c:v>6850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6950</c:v>
                </c:pt>
                <c:pt idx="1858">
                  <c:v>7100</c:v>
                </c:pt>
                <c:pt idx="1859">
                  <c:v>7100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7250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7300</c:v>
                </c:pt>
                <c:pt idx="1873">
                  <c:v>7450</c:v>
                </c:pt>
                <c:pt idx="1874">
                  <c:v>7450</c:v>
                </c:pt>
                <c:pt idx="1875">
                  <c:v>7500</c:v>
                </c:pt>
                <c:pt idx="1876">
                  <c:v>7500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7600</c:v>
                </c:pt>
                <c:pt idx="1881">
                  <c:v>8000</c:v>
                </c:pt>
                <c:pt idx="1882">
                  <c:v>8000</c:v>
                </c:pt>
                <c:pt idx="1883">
                  <c:v>8000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8200</c:v>
                </c:pt>
                <c:pt idx="1894">
                  <c:v>8000</c:v>
                </c:pt>
                <c:pt idx="1895">
                  <c:v>8000</c:v>
                </c:pt>
                <c:pt idx="1896">
                  <c:v>7950</c:v>
                </c:pt>
                <c:pt idx="1897">
                  <c:v>7950</c:v>
                </c:pt>
                <c:pt idx="1898">
                  <c:v>7850</c:v>
                </c:pt>
                <c:pt idx="1899">
                  <c:v>7850</c:v>
                </c:pt>
                <c:pt idx="1900">
                  <c:v>7750</c:v>
                </c:pt>
                <c:pt idx="1901">
                  <c:v>7750</c:v>
                </c:pt>
                <c:pt idx="1902">
                  <c:v>7650</c:v>
                </c:pt>
                <c:pt idx="1903">
                  <c:v>7650</c:v>
                </c:pt>
                <c:pt idx="1904">
                  <c:v>7550</c:v>
                </c:pt>
                <c:pt idx="1905">
                  <c:v>7550</c:v>
                </c:pt>
                <c:pt idx="1906">
                  <c:v>7550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7350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6850</c:v>
                </c:pt>
                <c:pt idx="1916">
                  <c:v>6800</c:v>
                </c:pt>
                <c:pt idx="1917">
                  <c:v>6700</c:v>
                </c:pt>
                <c:pt idx="1918">
                  <c:v>6700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6600</c:v>
                </c:pt>
                <c:pt idx="1923">
                  <c:v>6700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6600</c:v>
                </c:pt>
                <c:pt idx="1935">
                  <c:v>6750</c:v>
                </c:pt>
                <c:pt idx="1936">
                  <c:v>6800</c:v>
                </c:pt>
                <c:pt idx="1937">
                  <c:v>6900</c:v>
                </c:pt>
                <c:pt idx="1938">
                  <c:v>6900</c:v>
                </c:pt>
                <c:pt idx="1939">
                  <c:v>6900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6950</c:v>
                </c:pt>
                <c:pt idx="1949">
                  <c:v>6850</c:v>
                </c:pt>
                <c:pt idx="1950">
                  <c:v>6850</c:v>
                </c:pt>
                <c:pt idx="1951">
                  <c:v>6850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6800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6650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6600</c:v>
                </c:pt>
                <c:pt idx="1976">
                  <c:v>6500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6450</c:v>
                </c:pt>
                <c:pt idx="1983">
                  <c:v>6300</c:v>
                </c:pt>
                <c:pt idx="1984">
                  <c:v>6200</c:v>
                </c:pt>
                <c:pt idx="1985">
                  <c:v>6150</c:v>
                </c:pt>
                <c:pt idx="1986">
                  <c:v>6150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6050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1998">
                  <c:v>6300</c:v>
                </c:pt>
                <c:pt idx="2040">
                  <c:v>6400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6800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6900</c:v>
                </c:pt>
                <c:pt idx="2060">
                  <c:v>7000</c:v>
                </c:pt>
                <c:pt idx="2061">
                  <c:v>7200</c:v>
                </c:pt>
                <c:pt idx="2062">
                  <c:v>7200</c:v>
                </c:pt>
                <c:pt idx="2063">
                  <c:v>7300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7400</c:v>
                </c:pt>
                <c:pt idx="2070">
                  <c:v>7300</c:v>
                </c:pt>
                <c:pt idx="2071">
                  <c:v>7300</c:v>
                </c:pt>
                <c:pt idx="2072">
                  <c:v>7300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7400</c:v>
                </c:pt>
                <c:pt idx="2080">
                  <c:v>7500</c:v>
                </c:pt>
                <c:pt idx="2081">
                  <c:v>7650</c:v>
                </c:pt>
                <c:pt idx="2082">
                  <c:v>7650</c:v>
                </c:pt>
                <c:pt idx="2083">
                  <c:v>7650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7750</c:v>
                </c:pt>
                <c:pt idx="2095">
                  <c:v>7550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7400</c:v>
                </c:pt>
                <c:pt idx="2100">
                  <c:v>7200</c:v>
                </c:pt>
                <c:pt idx="2101">
                  <c:v>7200</c:v>
                </c:pt>
                <c:pt idx="2102">
                  <c:v>7100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6850</c:v>
                </c:pt>
                <c:pt idx="2108">
                  <c:v>6850</c:v>
                </c:pt>
                <c:pt idx="2109">
                  <c:v>6750</c:v>
                </c:pt>
                <c:pt idx="2110">
                  <c:v>6750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6670</c:v>
                </c:pt>
                <c:pt idx="2121">
                  <c:v>6670</c:v>
                </c:pt>
                <c:pt idx="2122">
                  <c:v>6670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6600</c:v>
                </c:pt>
                <c:pt idx="2127">
                  <c:v>6500</c:v>
                </c:pt>
                <c:pt idx="2128">
                  <c:v>6500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6400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6450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重点PVC厂家价格!$A$16:$A$2160</c:f>
              <c:numCache>
                <c:formatCode>yy/mm/dd</c:formatCode>
                <c:ptCount val="2145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</c:numCache>
            </c:numRef>
          </c:cat>
          <c:val>
            <c:numRef>
              <c:f>重点PVC厂家价格!$D$16:$D$2160</c:f>
              <c:numCache>
                <c:formatCode>General</c:formatCode>
                <c:ptCount val="2145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重点PVC厂家价格!$A$16:$A$2160</c:f>
              <c:numCache>
                <c:formatCode>yy/mm/dd</c:formatCode>
                <c:ptCount val="2145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</c:numCache>
            </c:numRef>
          </c:cat>
          <c:val>
            <c:numRef>
              <c:f>重点PVC厂家价格!$E$16:$E$2160</c:f>
              <c:numCache>
                <c:formatCode>General</c:formatCode>
                <c:ptCount val="2145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</c:numCache>
            </c:numRef>
          </c:val>
        </c:ser>
        <c:marker val="1"/>
        <c:axId val="188125184"/>
        <c:axId val="188127488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重点PVC厂家价格!$A$16:$A$2123</c15:sqref>
                        </c15:formulaRef>
                      </c:ext>
                    </c:extLst>
                    <c:numCache>
                      <c:formatCode>yy/mm/dd</c:formatCode>
                      <c:ptCount val="2108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重点PVC厂家价格!$A$16:$A$2123</c15:sqref>
                        </c15:formulaRef>
                      </c:ext>
                    </c:extLst>
                    <c:numCache>
                      <c:formatCode>yy/mm/dd</c:formatCode>
                      <c:ptCount val="2108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88125184"/>
        <c:scaling>
          <c:orientation val="minMax"/>
          <c:max val="43077"/>
          <c:min val="42377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8127488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8127488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8125184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6976"/>
          <c:w val="0.30756320165862233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-2017</a:t>
            </a:r>
            <a:r>
              <a:rPr lang="zh-CN" altLang="en-US"/>
              <a:t>年</a:t>
            </a:r>
            <a:r>
              <a:rPr lang="en-US" altLang="zh-CN"/>
              <a:t>12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476449052684247"/>
          <c:y val="3.874719948325561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229"/>
          <c:w val="0.81708579531006897"/>
          <c:h val="0.667020069461027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'!$B$21:$B$2096</c:f>
              <c:numCache>
                <c:formatCode>yy/mm/dd</c:formatCode>
                <c:ptCount val="207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</c:numCache>
            </c:numRef>
          </c:cat>
          <c:val>
            <c:numRef>
              <c:f>'国内电石法PVC市场价格 '!$C$21:$C$2096</c:f>
              <c:numCache>
                <c:formatCode>General</c:formatCode>
                <c:ptCount val="2076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'!$B$21:$B$2096</c:f>
              <c:numCache>
                <c:formatCode>yy/mm/dd</c:formatCode>
                <c:ptCount val="207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</c:numCache>
            </c:numRef>
          </c:cat>
          <c:val>
            <c:numRef>
              <c:f>'国内电石法PVC市场价格 '!$D$21:$D$2096</c:f>
              <c:numCache>
                <c:formatCode>General</c:formatCode>
                <c:ptCount val="2076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'!$B$21:$B$2096</c:f>
              <c:numCache>
                <c:formatCode>yy/mm/dd</c:formatCode>
                <c:ptCount val="207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</c:numCache>
            </c:numRef>
          </c:cat>
          <c:val>
            <c:numRef>
              <c:f>'国内电石法PVC市场价格 '!$E$21:$E$2096</c:f>
              <c:numCache>
                <c:formatCode>General</c:formatCode>
                <c:ptCount val="2076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'!$B$21:$B$2096</c:f>
              <c:numCache>
                <c:formatCode>yy/mm/dd</c:formatCode>
                <c:ptCount val="207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</c:numCache>
            </c:numRef>
          </c:cat>
          <c:val>
            <c:numRef>
              <c:f>'国内电石法PVC市场价格 '!$F$21:$F$2096</c:f>
              <c:numCache>
                <c:formatCode>General</c:formatCode>
                <c:ptCount val="2076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'!$B$21:$B$2096</c:f>
              <c:numCache>
                <c:formatCode>yy/mm/dd</c:formatCode>
                <c:ptCount val="207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</c:numCache>
            </c:numRef>
          </c:cat>
          <c:val>
            <c:numRef>
              <c:f>'国内电石法PVC市场价格 '!$G$21:$G$2096</c:f>
              <c:numCache>
                <c:formatCode>General</c:formatCode>
                <c:ptCount val="2076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6411.7647058823522</c:v>
                </c:pt>
                <c:pt idx="91">
                  <c:v>6632.1428571428569</c:v>
                </c:pt>
                <c:pt idx="114">
                  <c:v>7056.521739130435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</c:numCache>
            </c:numRef>
          </c:val>
        </c:ser>
        <c:marker val="1"/>
        <c:axId val="227933184"/>
        <c:axId val="228070144"/>
      </c:lineChart>
      <c:dateAx>
        <c:axId val="227933184"/>
        <c:scaling>
          <c:orientation val="minMax"/>
          <c:min val="4237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8070144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28070144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7933184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0.121342912943963"/>
          <c:y val="0.17997726356285432"/>
          <c:w val="0.10666666666666814"/>
          <c:h val="0.21204150077124229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09904"/>
          <c:h val="0.650569084263312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PVC外盘'!$A$7:$A$568</c:f>
              <c:numCache>
                <c:formatCode>yy/mm/dd</c:formatCode>
                <c:ptCount val="445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</c:numCache>
            </c:numRef>
          </c:cat>
          <c:val>
            <c:numRef>
              <c:f>'乙烯法PVC国际价格表  周四 PVC外盘'!$B$7:$B$568</c:f>
              <c:numCache>
                <c:formatCode>0_ </c:formatCode>
                <c:ptCount val="445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PVC外盘'!$A$7:$A$568</c:f>
              <c:numCache>
                <c:formatCode>yy/mm/dd</c:formatCode>
                <c:ptCount val="445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</c:numCache>
            </c:numRef>
          </c:cat>
          <c:val>
            <c:numRef>
              <c:f>'乙烯法PVC国际价格表  周四 PVC外盘'!$C$7:$C$568</c:f>
              <c:numCache>
                <c:formatCode>0_ </c:formatCode>
                <c:ptCount val="445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</c:numCache>
            </c:numRef>
          </c:val>
        </c:ser>
        <c:marker val="1"/>
        <c:axId val="234361216"/>
        <c:axId val="234363520"/>
      </c:lineChart>
      <c:dateAx>
        <c:axId val="234361216"/>
        <c:scaling>
          <c:orientation val="minMax"/>
          <c:min val="4237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4363520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34363520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4361216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2017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12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16"/>
          <c:y val="3.448275862068973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16"/>
          <c:w val="0.87182892814450996"/>
          <c:h val="0.65798707294552394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Sheet1!$B$4:$B$499</c:f>
              <c:numCache>
                <c:formatCode>yy/mm/dd</c:formatCode>
                <c:ptCount val="496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</c:numCache>
            </c:numRef>
          </c:cat>
          <c:val>
            <c:numRef>
              <c:f>Sheet1!$C$4:$C$499</c:f>
              <c:numCache>
                <c:formatCode>General</c:formatCode>
                <c:ptCount val="496"/>
                <c:pt idx="0">
                  <c:v>36.760000000000005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33.160000000000004</c:v>
                </c:pt>
                <c:pt idx="4">
                  <c:v>31.41</c:v>
                </c:pt>
                <c:pt idx="5">
                  <c:v>30.439999999999998</c:v>
                </c:pt>
                <c:pt idx="6">
                  <c:v>30.479999999999997</c:v>
                </c:pt>
                <c:pt idx="7">
                  <c:v>31.2</c:v>
                </c:pt>
                <c:pt idx="8">
                  <c:v>29.419999999999998</c:v>
                </c:pt>
                <c:pt idx="10">
                  <c:v>28.459999999999997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32.190000000000005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32.300000000000011</c:v>
                </c:pt>
                <c:pt idx="17">
                  <c:v>33.220000000000006</c:v>
                </c:pt>
                <c:pt idx="18">
                  <c:v>33.620000000000005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27.939999999999998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29.439999999999998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31.479999999999997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34.660000000000004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39.790000000000006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37.260000000000005</c:v>
                </c:pt>
                <c:pt idx="68">
                  <c:v>39.720000000000006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41.760000000000005</c:v>
                </c:pt>
                <c:pt idx="72">
                  <c:v>41.760000000000005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43.730000000000004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44.660000000000004</c:v>
                </c:pt>
                <c:pt idx="89">
                  <c:v>43.44</c:v>
                </c:pt>
                <c:pt idx="90">
                  <c:v>44.660000000000004</c:v>
                </c:pt>
                <c:pt idx="91">
                  <c:v>46.230000000000004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47.720000000000006</c:v>
                </c:pt>
                <c:pt idx="95">
                  <c:v>48.309999999999995</c:v>
                </c:pt>
                <c:pt idx="96">
                  <c:v>48.190000000000005</c:v>
                </c:pt>
                <c:pt idx="97">
                  <c:v>48.160000000000004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48.620000000000005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48.620000000000005</c:v>
                </c:pt>
                <c:pt idx="109" formatCode="0.00_);[Red]\(0.00\)">
                  <c:v>49.690000000000005</c:v>
                </c:pt>
                <c:pt idx="110" formatCode="0.00_);[Red]\(0.00\)">
                  <c:v>50.36</c:v>
                </c:pt>
                <c:pt idx="111" formatCode="0.00_);[Red]\(0.00\)">
                  <c:v>51.230000000000004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48.760000000000005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44.760000000000005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44.190000000000005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46.790000000000006</c:v>
                </c:pt>
                <c:pt idx="162" formatCode="0.00_);[Red]\(0.00\)">
                  <c:v>48.220000000000006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43.160000000000004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47.620000000000005</c:v>
                </c:pt>
                <c:pt idx="178" formatCode="0.00_);[Red]\(0.00\)">
                  <c:v>45.879999999999995</c:v>
                </c:pt>
                <c:pt idx="179" formatCode="0.00_);[Red]\(0.00\)">
                  <c:v>46.290000000000006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48.690000000000005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50.790000000000006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50.290000000000006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49.720000000000006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44.660000000000004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44.660000000000004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45.690000000000005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45.230000000000004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51.790000000000006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52.120000000000005</c:v>
                </c:pt>
                <c:pt idx="249" formatCode="0.00_);[Red]\(0.00\)">
                  <c:v>52.230000000000004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53.720000000000006</c:v>
                </c:pt>
                <c:pt idx="259" formatCode="0.00_);[Red]\(0.00\)">
                  <c:v>52.33</c:v>
                </c:pt>
                <c:pt idx="260" formatCode="0.00_);[Red]\(0.00\)">
                  <c:v>53.260000000000005</c:v>
                </c:pt>
                <c:pt idx="261" formatCode="0.00_);[Red]\(0.00\)">
                  <c:v>53.760000000000005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47.720000000000006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48.220000000000006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47.730000000000004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49.620000000000005</c:v>
                </c:pt>
                <c:pt idx="337" formatCode="0.00_);[Red]\(0.00\)">
                  <c:v>49.230000000000004</c:v>
                </c:pt>
                <c:pt idx="338" formatCode="0.00_);[Red]\(0.00\)">
                  <c:v>49.56</c:v>
                </c:pt>
                <c:pt idx="339" formatCode="0.00_);[Red]\(0.00\)">
                  <c:v>49.620000000000005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47.660000000000004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46.220000000000006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48.660000000000004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50.730000000000004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49.660000000000004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47.660000000000004</c:v>
                </c:pt>
                <c:pt idx="367">
                  <c:v>47.4</c:v>
                </c:pt>
                <c:pt idx="368">
                  <c:v>48.190000000000005</c:v>
                </c:pt>
                <c:pt idx="369">
                  <c:v>45.720000000000006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44.730000000000004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43.230000000000004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44.230000000000004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47.120000000000005</c:v>
                </c:pt>
                <c:pt idx="400">
                  <c:v>46.790000000000006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49.160000000000004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47.230000000000004</c:v>
                </c:pt>
                <c:pt idx="431">
                  <c:v>47.290000000000006</c:v>
                </c:pt>
                <c:pt idx="432">
                  <c:v>0</c:v>
                </c:pt>
                <c:pt idx="433">
                  <c:v>48.660000000000004</c:v>
                </c:pt>
                <c:pt idx="434">
                  <c:v>49.160000000000004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48.230000000000004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50.660000000000004</c:v>
                </c:pt>
                <c:pt idx="447">
                  <c:v>52.220000000000006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49.290000000000006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51.290000000000006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56.760000000000005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57.620000000000005</c:v>
                </c:pt>
                <c:pt idx="494">
                  <c:v>55.96</c:v>
                </c:pt>
                <c:pt idx="495">
                  <c:v>56.690000000000005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Sheet1!$B$4:$B$499</c:f>
              <c:numCache>
                <c:formatCode>yy/mm/dd</c:formatCode>
                <c:ptCount val="496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</c:numCache>
            </c:numRef>
          </c:cat>
          <c:val>
            <c:numRef>
              <c:f>Sheet1!$D$4:$D$499</c:f>
              <c:numCache>
                <c:formatCode>General</c:formatCode>
                <c:ptCount val="496"/>
                <c:pt idx="0">
                  <c:v>37.220000000000006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30.310000000000002</c:v>
                </c:pt>
                <c:pt idx="7">
                  <c:v>31.03</c:v>
                </c:pt>
                <c:pt idx="8">
                  <c:v>28.939999999999998</c:v>
                </c:pt>
                <c:pt idx="9">
                  <c:v>28.55</c:v>
                </c:pt>
                <c:pt idx="10">
                  <c:v>28.759999999999998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32.720000000000006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34.690000000000005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35.290000000000006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38.720000000000006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41.790000000000006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39.260000000000005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37.690000000000005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44.690000000000005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44.620000000000005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48.720000000000006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49.690000000000005</c:v>
                </c:pt>
                <c:pt idx="106" formatCode="0.00_);[Red]\(0.00\)">
                  <c:v>49.720000000000006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47.190000000000005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50.620000000000005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47.160000000000004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46.760000000000005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46.260000000000005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46.660000000000004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45.690000000000005</c:v>
                </c:pt>
                <c:pt idx="144" formatCode="0.00_);[Red]\(0.00\)">
                  <c:v>44.720000000000006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44.290000000000006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49.230000000000004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49.160000000000004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49.260000000000005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47.260000000000005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48.690000000000005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50.790000000000006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49.120000000000005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55.690000000000005</c:v>
                </c:pt>
                <c:pt idx="244" formatCode="0.00_);[Red]\(0.00\)">
                  <c:v>55.720000000000006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55.160000000000004</c:v>
                </c:pt>
                <c:pt idx="254" formatCode="0.00_);[Red]\(0.00\)">
                  <c:v>56.09</c:v>
                </c:pt>
                <c:pt idx="255" formatCode="0.00_);[Red]\(0.00\)">
                  <c:v>56.220000000000006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54.160000000000004</c:v>
                </c:pt>
                <c:pt idx="272" formatCode="0.00_);[Red]\(0.00\)">
                  <c:v>55.49</c:v>
                </c:pt>
                <c:pt idx="273" formatCode="0.00_);[Red]\(0.00\)">
                  <c:v>55.230000000000004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55.230000000000004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55.720000000000006</c:v>
                </c:pt>
                <c:pt idx="284" formatCode="0.00_);[Red]\(0.00\)">
                  <c:v>55.05</c:v>
                </c:pt>
                <c:pt idx="285" formatCode="0.00_);[Red]\(0.00\)">
                  <c:v>55.120000000000005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56.660000000000004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52.190000000000005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51.760000000000005</c:v>
                </c:pt>
                <c:pt idx="313" formatCode="0.00_);[Red]\(0.00\)">
                  <c:v>51.620000000000005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53.120000000000005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56.230000000000004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51.730000000000004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50.790000000000006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48.730000000000004</c:v>
                </c:pt>
                <c:pt idx="349">
                  <c:v>50.220000000000006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52.290000000000006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50.120000000000005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48.290000000000006</c:v>
                </c:pt>
                <c:pt idx="373">
                  <c:v>48.720000000000006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45.220000000000006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47.790000000000006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50.730000000000004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52.720000000000006</c:v>
                </c:pt>
                <c:pt idx="422">
                  <c:v>51.660000000000004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55.160000000000004</c:v>
                </c:pt>
                <c:pt idx="440">
                  <c:v>55.47</c:v>
                </c:pt>
                <c:pt idx="441">
                  <c:v>55.620000000000005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56.290000000000006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55.620000000000005</c:v>
                </c:pt>
                <c:pt idx="453" formatCode="0.00_ ">
                  <c:v>55.790000000000006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57.230000000000004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60.620000000000005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63.690000000000005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63.160000000000004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62.720000000000006</c:v>
                </c:pt>
                <c:pt idx="483">
                  <c:v>62.220000000000006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63.730000000000004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61.220000000000006</c:v>
                </c:pt>
                <c:pt idx="495">
                  <c:v>62.2</c:v>
                </c:pt>
              </c:numCache>
            </c:numRef>
          </c:val>
        </c:ser>
        <c:marker val="1"/>
        <c:axId val="236052480"/>
        <c:axId val="236054016"/>
      </c:lineChart>
      <c:dateAx>
        <c:axId val="236052480"/>
        <c:scaling>
          <c:orientation val="minMax"/>
          <c:max val="43077"/>
          <c:min val="42377"/>
        </c:scaling>
        <c:axPos val="b"/>
        <c:numFmt formatCode="yy/mm/dd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36054016"/>
        <c:crosses val="autoZero"/>
        <c:auto val="1"/>
        <c:lblOffset val="100"/>
        <c:baseTimeUnit val="days"/>
      </c:dateAx>
      <c:valAx>
        <c:axId val="236054016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36052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033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44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65383"/>
          <c:h val="0.66959255526019368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每日外盘1'!$A$7:$A$2288</c:f>
              <c:numCache>
                <c:formatCode>yy/mm/dd</c:formatCode>
                <c:ptCount val="227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每日外盘1'!$A$7:$A$2288</c:f>
              <c:numCache>
                <c:formatCode>yy/mm/dd</c:formatCode>
                <c:ptCount val="227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每日外盘1'!$A$7:$A$2325</c:f>
              <c:numCache>
                <c:formatCode>yy/mm/dd</c:formatCode>
                <c:ptCount val="2315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</c:numCache>
            </c:numRef>
          </c:cat>
          <c:val>
            <c:numRef>
              <c:f>'乙烯单体价格表  每日外盘1'!$D$7:$D$2325</c:f>
              <c:numCache>
                <c:formatCode>General</c:formatCode>
                <c:ptCount val="2315"/>
                <c:pt idx="0">
                  <c:v>925</c:v>
                </c:pt>
                <c:pt idx="1">
                  <c:v>985</c:v>
                </c:pt>
                <c:pt idx="2">
                  <c:v>1095</c:v>
                </c:pt>
                <c:pt idx="3">
                  <c:v>1090</c:v>
                </c:pt>
                <c:pt idx="4">
                  <c:v>1135</c:v>
                </c:pt>
                <c:pt idx="5">
                  <c:v>1135</c:v>
                </c:pt>
                <c:pt idx="6">
                  <c:v>1135</c:v>
                </c:pt>
                <c:pt idx="7">
                  <c:v>1135</c:v>
                </c:pt>
                <c:pt idx="8">
                  <c:v>1150</c:v>
                </c:pt>
                <c:pt idx="9">
                  <c:v>1185</c:v>
                </c:pt>
                <c:pt idx="10">
                  <c:v>1205</c:v>
                </c:pt>
                <c:pt idx="11">
                  <c:v>1215</c:v>
                </c:pt>
                <c:pt idx="12">
                  <c:v>1210</c:v>
                </c:pt>
                <c:pt idx="13">
                  <c:v>1230</c:v>
                </c:pt>
                <c:pt idx="14">
                  <c:v>1275</c:v>
                </c:pt>
                <c:pt idx="15">
                  <c:v>1275</c:v>
                </c:pt>
                <c:pt idx="16">
                  <c:v>1305</c:v>
                </c:pt>
                <c:pt idx="17">
                  <c:v>1315</c:v>
                </c:pt>
                <c:pt idx="18">
                  <c:v>1425</c:v>
                </c:pt>
                <c:pt idx="19">
                  <c:v>1465</c:v>
                </c:pt>
                <c:pt idx="20">
                  <c:v>1485</c:v>
                </c:pt>
                <c:pt idx="21">
                  <c:v>1465</c:v>
                </c:pt>
                <c:pt idx="22">
                  <c:v>1385</c:v>
                </c:pt>
                <c:pt idx="23">
                  <c:v>1335</c:v>
                </c:pt>
                <c:pt idx="24">
                  <c:v>1175</c:v>
                </c:pt>
                <c:pt idx="25">
                  <c:v>1125</c:v>
                </c:pt>
                <c:pt idx="26">
                  <c:v>1120</c:v>
                </c:pt>
                <c:pt idx="27">
                  <c:v>1110</c:v>
                </c:pt>
                <c:pt idx="28">
                  <c:v>1110</c:v>
                </c:pt>
                <c:pt idx="29">
                  <c:v>1060</c:v>
                </c:pt>
                <c:pt idx="30">
                  <c:v>1060</c:v>
                </c:pt>
                <c:pt idx="31">
                  <c:v>1060</c:v>
                </c:pt>
                <c:pt idx="32">
                  <c:v>1125</c:v>
                </c:pt>
                <c:pt idx="33">
                  <c:v>1125</c:v>
                </c:pt>
                <c:pt idx="34">
                  <c:v>1200</c:v>
                </c:pt>
                <c:pt idx="35">
                  <c:v>1205</c:v>
                </c:pt>
                <c:pt idx="36">
                  <c:v>1215</c:v>
                </c:pt>
                <c:pt idx="37">
                  <c:v>1225</c:v>
                </c:pt>
                <c:pt idx="38">
                  <c:v>1285</c:v>
                </c:pt>
                <c:pt idx="39">
                  <c:v>1325</c:v>
                </c:pt>
                <c:pt idx="40">
                  <c:v>1285</c:v>
                </c:pt>
                <c:pt idx="41">
                  <c:v>1205</c:v>
                </c:pt>
                <c:pt idx="42">
                  <c:v>1200</c:v>
                </c:pt>
                <c:pt idx="43">
                  <c:v>1120</c:v>
                </c:pt>
                <c:pt idx="44">
                  <c:v>1095</c:v>
                </c:pt>
                <c:pt idx="45">
                  <c:v>1045</c:v>
                </c:pt>
                <c:pt idx="46">
                  <c:v>1015</c:v>
                </c:pt>
                <c:pt idx="47">
                  <c:v>945</c:v>
                </c:pt>
                <c:pt idx="48">
                  <c:v>945</c:v>
                </c:pt>
                <c:pt idx="49">
                  <c:v>925</c:v>
                </c:pt>
                <c:pt idx="50">
                  <c:v>925</c:v>
                </c:pt>
                <c:pt idx="51">
                  <c:v>965</c:v>
                </c:pt>
                <c:pt idx="52">
                  <c:v>1045</c:v>
                </c:pt>
                <c:pt idx="53">
                  <c:v>1055</c:v>
                </c:pt>
                <c:pt idx="54">
                  <c:v>1195</c:v>
                </c:pt>
                <c:pt idx="55">
                  <c:v>1195</c:v>
                </c:pt>
                <c:pt idx="56">
                  <c:v>1195</c:v>
                </c:pt>
                <c:pt idx="57">
                  <c:v>1085</c:v>
                </c:pt>
                <c:pt idx="58">
                  <c:v>1050</c:v>
                </c:pt>
                <c:pt idx="59">
                  <c:v>1035</c:v>
                </c:pt>
                <c:pt idx="60">
                  <c:v>1025</c:v>
                </c:pt>
                <c:pt idx="61">
                  <c:v>1025</c:v>
                </c:pt>
                <c:pt idx="62">
                  <c:v>1040</c:v>
                </c:pt>
                <c:pt idx="63">
                  <c:v>1085</c:v>
                </c:pt>
                <c:pt idx="64">
                  <c:v>1175</c:v>
                </c:pt>
                <c:pt idx="65">
                  <c:v>1235</c:v>
                </c:pt>
                <c:pt idx="66">
                  <c:v>1295</c:v>
                </c:pt>
                <c:pt idx="67">
                  <c:v>1325</c:v>
                </c:pt>
                <c:pt idx="68">
                  <c:v>1305</c:v>
                </c:pt>
                <c:pt idx="69">
                  <c:v>1265</c:v>
                </c:pt>
                <c:pt idx="70">
                  <c:v>1255</c:v>
                </c:pt>
                <c:pt idx="71">
                  <c:v>1235</c:v>
                </c:pt>
                <c:pt idx="72">
                  <c:v>1235</c:v>
                </c:pt>
                <c:pt idx="73">
                  <c:v>1210</c:v>
                </c:pt>
                <c:pt idx="74">
                  <c:v>1205</c:v>
                </c:pt>
                <c:pt idx="75">
                  <c:v>1197.5</c:v>
                </c:pt>
                <c:pt idx="76">
                  <c:v>1197.5</c:v>
                </c:pt>
                <c:pt idx="77">
                  <c:v>1125</c:v>
                </c:pt>
                <c:pt idx="78">
                  <c:v>1115</c:v>
                </c:pt>
                <c:pt idx="80">
                  <c:v>1215</c:v>
                </c:pt>
                <c:pt idx="81">
                  <c:v>1205</c:v>
                </c:pt>
                <c:pt idx="82">
                  <c:v>1205</c:v>
                </c:pt>
                <c:pt idx="83">
                  <c:v>1255</c:v>
                </c:pt>
                <c:pt idx="84">
                  <c:v>1260</c:v>
                </c:pt>
                <c:pt idx="85">
                  <c:v>1265</c:v>
                </c:pt>
                <c:pt idx="86">
                  <c:v>1199.5</c:v>
                </c:pt>
                <c:pt idx="87">
                  <c:v>1245</c:v>
                </c:pt>
                <c:pt idx="88">
                  <c:v>1347.5</c:v>
                </c:pt>
                <c:pt idx="89">
                  <c:v>1392.5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1422.5</c:v>
                </c:pt>
                <c:pt idx="94">
                  <c:v>1422.5</c:v>
                </c:pt>
                <c:pt idx="95">
                  <c:v>1315</c:v>
                </c:pt>
                <c:pt idx="96">
                  <c:v>1295</c:v>
                </c:pt>
                <c:pt idx="97">
                  <c:v>1245</c:v>
                </c:pt>
                <c:pt idx="98">
                  <c:v>1185</c:v>
                </c:pt>
                <c:pt idx="99">
                  <c:v>1195</c:v>
                </c:pt>
                <c:pt idx="100">
                  <c:v>1195</c:v>
                </c:pt>
                <c:pt idx="101">
                  <c:v>1235</c:v>
                </c:pt>
                <c:pt idx="102">
                  <c:v>1305</c:v>
                </c:pt>
                <c:pt idx="103">
                  <c:v>1355</c:v>
                </c:pt>
                <c:pt idx="104">
                  <c:v>1405</c:v>
                </c:pt>
                <c:pt idx="105">
                  <c:v>1445</c:v>
                </c:pt>
                <c:pt idx="106">
                  <c:v>1445</c:v>
                </c:pt>
                <c:pt idx="107">
                  <c:v>1455</c:v>
                </c:pt>
                <c:pt idx="108">
                  <c:v>1455</c:v>
                </c:pt>
                <c:pt idx="109">
                  <c:v>1455</c:v>
                </c:pt>
                <c:pt idx="110">
                  <c:v>1485</c:v>
                </c:pt>
                <c:pt idx="111">
                  <c:v>1555</c:v>
                </c:pt>
                <c:pt idx="112">
                  <c:v>1635</c:v>
                </c:pt>
                <c:pt idx="113">
                  <c:v>1645</c:v>
                </c:pt>
                <c:pt idx="114">
                  <c:v>1645</c:v>
                </c:pt>
                <c:pt idx="115">
                  <c:v>1695</c:v>
                </c:pt>
                <c:pt idx="116">
                  <c:v>1655</c:v>
                </c:pt>
                <c:pt idx="117">
                  <c:v>1595</c:v>
                </c:pt>
                <c:pt idx="118">
                  <c:v>1555</c:v>
                </c:pt>
                <c:pt idx="119">
                  <c:v>1495</c:v>
                </c:pt>
                <c:pt idx="120">
                  <c:v>1405</c:v>
                </c:pt>
                <c:pt idx="121">
                  <c:v>1345</c:v>
                </c:pt>
                <c:pt idx="122">
                  <c:v>1345</c:v>
                </c:pt>
                <c:pt idx="123">
                  <c:v>1275</c:v>
                </c:pt>
                <c:pt idx="124">
                  <c:v>1225</c:v>
                </c:pt>
                <c:pt idx="125">
                  <c:v>1110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570</c:v>
                </c:pt>
                <c:pt idx="139">
                  <c:v>605</c:v>
                </c:pt>
                <c:pt idx="140">
                  <c:v>665</c:v>
                </c:pt>
                <c:pt idx="141">
                  <c:v>675</c:v>
                </c:pt>
                <c:pt idx="142">
                  <c:v>675</c:v>
                </c:pt>
                <c:pt idx="143">
                  <c:v>705</c:v>
                </c:pt>
                <c:pt idx="144">
                  <c:v>705</c:v>
                </c:pt>
                <c:pt idx="145">
                  <c:v>685</c:v>
                </c:pt>
                <c:pt idx="146">
                  <c:v>675</c:v>
                </c:pt>
                <c:pt idx="147">
                  <c:v>635</c:v>
                </c:pt>
                <c:pt idx="148">
                  <c:v>637.5</c:v>
                </c:pt>
                <c:pt idx="149">
                  <c:v>645</c:v>
                </c:pt>
                <c:pt idx="150">
                  <c:v>682.5</c:v>
                </c:pt>
                <c:pt idx="151">
                  <c:v>700</c:v>
                </c:pt>
                <c:pt idx="152">
                  <c:v>755</c:v>
                </c:pt>
                <c:pt idx="153">
                  <c:v>735</c:v>
                </c:pt>
                <c:pt idx="154">
                  <c:v>725</c:v>
                </c:pt>
                <c:pt idx="155">
                  <c:v>707.5</c:v>
                </c:pt>
                <c:pt idx="156">
                  <c:v>665</c:v>
                </c:pt>
                <c:pt idx="157">
                  <c:v>705</c:v>
                </c:pt>
                <c:pt idx="158">
                  <c:v>755</c:v>
                </c:pt>
                <c:pt idx="159">
                  <c:v>786</c:v>
                </c:pt>
                <c:pt idx="160">
                  <c:v>831</c:v>
                </c:pt>
                <c:pt idx="161">
                  <c:v>852</c:v>
                </c:pt>
                <c:pt idx="162">
                  <c:v>875</c:v>
                </c:pt>
                <c:pt idx="163">
                  <c:v>891</c:v>
                </c:pt>
                <c:pt idx="164">
                  <c:v>985</c:v>
                </c:pt>
                <c:pt idx="165">
                  <c:v>1075</c:v>
                </c:pt>
                <c:pt idx="166">
                  <c:v>1080</c:v>
                </c:pt>
                <c:pt idx="167">
                  <c:v>1040</c:v>
                </c:pt>
                <c:pt idx="168">
                  <c:v>1027</c:v>
                </c:pt>
                <c:pt idx="169">
                  <c:v>997</c:v>
                </c:pt>
                <c:pt idx="170">
                  <c:v>941</c:v>
                </c:pt>
                <c:pt idx="171">
                  <c:v>950</c:v>
                </c:pt>
                <c:pt idx="172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965</c:v>
                </c:pt>
                <c:pt idx="176" formatCode="0_ ">
                  <c:v>965</c:v>
                </c:pt>
                <c:pt idx="177" formatCode="0_ ">
                  <c:v>960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987.5</c:v>
                </c:pt>
                <c:pt idx="182" formatCode="0_ ">
                  <c:v>987.5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950</c:v>
                </c:pt>
                <c:pt idx="186" formatCode="0_ ">
                  <c:v>950</c:v>
                </c:pt>
                <c:pt idx="187" formatCode="0_ ">
                  <c:v>947.5</c:v>
                </c:pt>
                <c:pt idx="188" formatCode="0_ ">
                  <c:v>947.5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915</c:v>
                </c:pt>
                <c:pt idx="192" formatCode="0_ ">
                  <c:v>915</c:v>
                </c:pt>
                <c:pt idx="193" formatCode="0_ ">
                  <c:v>875</c:v>
                </c:pt>
                <c:pt idx="194" formatCode="0_ ">
                  <c:v>855</c:v>
                </c:pt>
                <c:pt idx="195" formatCode="0_ ">
                  <c:v>851</c:v>
                </c:pt>
                <c:pt idx="196" formatCode="0_ ">
                  <c:v>781</c:v>
                </c:pt>
                <c:pt idx="197" formatCode="0_ ">
                  <c:v>795</c:v>
                </c:pt>
                <c:pt idx="198" formatCode="0_ ">
                  <c:v>775</c:v>
                </c:pt>
                <c:pt idx="199" formatCode="0_ ">
                  <c:v>765</c:v>
                </c:pt>
                <c:pt idx="200" formatCode="0_ ">
                  <c:v>765</c:v>
                </c:pt>
                <c:pt idx="201" formatCode="0_ ">
                  <c:v>775</c:v>
                </c:pt>
                <c:pt idx="202" formatCode="0_ ">
                  <c:v>775</c:v>
                </c:pt>
                <c:pt idx="203" formatCode="0_ ">
                  <c:v>845</c:v>
                </c:pt>
                <c:pt idx="204" formatCode="0_ ">
                  <c:v>865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885</c:v>
                </c:pt>
                <c:pt idx="209" formatCode="0_ ">
                  <c:v>885</c:v>
                </c:pt>
                <c:pt idx="210" formatCode="0_ ">
                  <c:v>875</c:v>
                </c:pt>
                <c:pt idx="211" formatCode="0_ ">
                  <c:v>870</c:v>
                </c:pt>
                <c:pt idx="212" formatCode="0_ ">
                  <c:v>870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965</c:v>
                </c:pt>
                <c:pt idx="220" formatCode="0_ ">
                  <c:v>965</c:v>
                </c:pt>
                <c:pt idx="221" formatCode="0_ ">
                  <c:v>970</c:v>
                </c:pt>
                <c:pt idx="222" formatCode="0_ ">
                  <c:v>975</c:v>
                </c:pt>
                <c:pt idx="223" formatCode="0_ ">
                  <c:v>997.5</c:v>
                </c:pt>
                <c:pt idx="224" formatCode="0_ ">
                  <c:v>1010</c:v>
                </c:pt>
                <c:pt idx="225" formatCode="0_ ">
                  <c:v>1010</c:v>
                </c:pt>
                <c:pt idx="226" formatCode="0_ ">
                  <c:v>1025</c:v>
                </c:pt>
                <c:pt idx="227" formatCode="0_ ">
                  <c:v>1045</c:v>
                </c:pt>
                <c:pt idx="228" formatCode="0_ ">
                  <c:v>1055</c:v>
                </c:pt>
                <c:pt idx="229" formatCode="0_ ">
                  <c:v>1055</c:v>
                </c:pt>
                <c:pt idx="230" formatCode="0_ ">
                  <c:v>1055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1065</c:v>
                </c:pt>
                <c:pt idx="234" formatCode="0_ ">
                  <c:v>1065</c:v>
                </c:pt>
                <c:pt idx="235" formatCode="0_ ">
                  <c:v>1062.5</c:v>
                </c:pt>
                <c:pt idx="236" formatCode="0_ ">
                  <c:v>1062.5</c:v>
                </c:pt>
                <c:pt idx="237" formatCode="0_ ">
                  <c:v>1072.5</c:v>
                </c:pt>
                <c:pt idx="238" formatCode="0_ ">
                  <c:v>1135</c:v>
                </c:pt>
                <c:pt idx="239" formatCode="0_ ">
                  <c:v>1137.5</c:v>
                </c:pt>
                <c:pt idx="240" formatCode="0_ ">
                  <c:v>1137.5</c:v>
                </c:pt>
                <c:pt idx="241" formatCode="0_ ">
                  <c:v>1147.5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1150</c:v>
                </c:pt>
                <c:pt idx="247" formatCode="0_ ">
                  <c:v>1150</c:v>
                </c:pt>
                <c:pt idx="248" formatCode="0_ ">
                  <c:v>1152.5</c:v>
                </c:pt>
                <c:pt idx="249" formatCode="0_ ">
                  <c:v>1152.5</c:v>
                </c:pt>
                <c:pt idx="250" formatCode="0_ ">
                  <c:v>1150</c:v>
                </c:pt>
                <c:pt idx="251" formatCode="0_ ">
                  <c:v>1150</c:v>
                </c:pt>
                <c:pt idx="252" formatCode="0_ ">
                  <c:v>1150</c:v>
                </c:pt>
                <c:pt idx="253" formatCode="0_ ">
                  <c:v>1151</c:v>
                </c:pt>
                <c:pt idx="254" formatCode="0_ ">
                  <c:v>1151</c:v>
                </c:pt>
                <c:pt idx="255" formatCode="0_ ">
                  <c:v>1156</c:v>
                </c:pt>
                <c:pt idx="256" formatCode="0_ ">
                  <c:v>1156</c:v>
                </c:pt>
                <c:pt idx="257" formatCode="0_ ">
                  <c:v>1157.5</c:v>
                </c:pt>
                <c:pt idx="258" formatCode="0_ ">
                  <c:v>1157.5</c:v>
                </c:pt>
                <c:pt idx="259" formatCode="0_ ">
                  <c:v>1167.5</c:v>
                </c:pt>
                <c:pt idx="260" formatCode="0_ ">
                  <c:v>1207.5</c:v>
                </c:pt>
                <c:pt idx="261" formatCode="0_ ">
                  <c:v>1243.5</c:v>
                </c:pt>
                <c:pt idx="262" formatCode="0_ ">
                  <c:v>1249</c:v>
                </c:pt>
                <c:pt idx="263" formatCode="0_ ">
                  <c:v>1254</c:v>
                </c:pt>
                <c:pt idx="264" formatCode="0_ ">
                  <c:v>1301</c:v>
                </c:pt>
                <c:pt idx="265" formatCode="0_ ">
                  <c:v>1300</c:v>
                </c:pt>
                <c:pt idx="266" formatCode="0_ ">
                  <c:v>1345</c:v>
                </c:pt>
                <c:pt idx="267" formatCode="0_ ">
                  <c:v>1301.5</c:v>
                </c:pt>
                <c:pt idx="268" formatCode="0_ ">
                  <c:v>1351</c:v>
                </c:pt>
                <c:pt idx="269" formatCode="0_ ">
                  <c:v>1352</c:v>
                </c:pt>
                <c:pt idx="270" formatCode="0_ ">
                  <c:v>1351</c:v>
                </c:pt>
                <c:pt idx="271" formatCode="0_ ">
                  <c:v>1355</c:v>
                </c:pt>
                <c:pt idx="272" formatCode="0_ ">
                  <c:v>1345</c:v>
                </c:pt>
                <c:pt idx="273" formatCode="0_ ">
                  <c:v>1345</c:v>
                </c:pt>
                <c:pt idx="274" formatCode="0_ ">
                  <c:v>1365</c:v>
                </c:pt>
                <c:pt idx="275" formatCode="0_ ">
                  <c:v>1365</c:v>
                </c:pt>
                <c:pt idx="276" formatCode="0_ ">
                  <c:v>1365</c:v>
                </c:pt>
                <c:pt idx="277" formatCode="0_ ">
                  <c:v>1361</c:v>
                </c:pt>
                <c:pt idx="278" formatCode="0_ ">
                  <c:v>1361</c:v>
                </c:pt>
                <c:pt idx="279" formatCode="0_ ">
                  <c:v>1356</c:v>
                </c:pt>
                <c:pt idx="280" formatCode="0_ ">
                  <c:v>1356</c:v>
                </c:pt>
                <c:pt idx="281" formatCode="0_ ">
                  <c:v>1335</c:v>
                </c:pt>
                <c:pt idx="282" formatCode="0_ ">
                  <c:v>1332.5</c:v>
                </c:pt>
                <c:pt idx="283" formatCode="0_ ">
                  <c:v>1332.5</c:v>
                </c:pt>
                <c:pt idx="284" formatCode="0_ ">
                  <c:v>1332.5</c:v>
                </c:pt>
                <c:pt idx="285" formatCode="0_ ">
                  <c:v>1315</c:v>
                </c:pt>
                <c:pt idx="286" formatCode="0_ ">
                  <c:v>1290</c:v>
                </c:pt>
                <c:pt idx="287" formatCode="0_ ">
                  <c:v>1265</c:v>
                </c:pt>
                <c:pt idx="288" formatCode="0_ ">
                  <c:v>1265</c:v>
                </c:pt>
                <c:pt idx="289" formatCode="0_ ">
                  <c:v>1255</c:v>
                </c:pt>
                <c:pt idx="290" formatCode="0_ ">
                  <c:v>1242.5</c:v>
                </c:pt>
                <c:pt idx="291" formatCode="0_ ">
                  <c:v>1225</c:v>
                </c:pt>
                <c:pt idx="292" formatCode="0_ ">
                  <c:v>1225</c:v>
                </c:pt>
                <c:pt idx="293" formatCode="0_ ">
                  <c:v>1225</c:v>
                </c:pt>
                <c:pt idx="294" formatCode="0_ ">
                  <c:v>1185</c:v>
                </c:pt>
                <c:pt idx="295" formatCode="0_ ">
                  <c:v>1185</c:v>
                </c:pt>
                <c:pt idx="296" formatCode="0_ ">
                  <c:v>1173</c:v>
                </c:pt>
                <c:pt idx="297" formatCode="0_ ">
                  <c:v>1173</c:v>
                </c:pt>
                <c:pt idx="298" formatCode="0_ ">
                  <c:v>1173</c:v>
                </c:pt>
                <c:pt idx="299" formatCode="0_ ">
                  <c:v>1152</c:v>
                </c:pt>
                <c:pt idx="300" formatCode="0_ ">
                  <c:v>1152</c:v>
                </c:pt>
                <c:pt idx="301" formatCode="0_ ">
                  <c:v>1151</c:v>
                </c:pt>
                <c:pt idx="302" formatCode="0_ ">
                  <c:v>1149</c:v>
                </c:pt>
                <c:pt idx="303" formatCode="0_ ">
                  <c:v>1149</c:v>
                </c:pt>
                <c:pt idx="304" formatCode="0_ ">
                  <c:v>1144</c:v>
                </c:pt>
                <c:pt idx="305" formatCode="0_ ">
                  <c:v>1144</c:v>
                </c:pt>
                <c:pt idx="306" formatCode="0_ ">
                  <c:v>1144</c:v>
                </c:pt>
                <c:pt idx="307" formatCode="0_ ">
                  <c:v>1151</c:v>
                </c:pt>
                <c:pt idx="308" formatCode="0_ ">
                  <c:v>1151</c:v>
                </c:pt>
                <c:pt idx="309" formatCode="0_ ">
                  <c:v>1151</c:v>
                </c:pt>
                <c:pt idx="310" formatCode="0_ ">
                  <c:v>1146</c:v>
                </c:pt>
                <c:pt idx="311" formatCode="0_ ">
                  <c:v>1180</c:v>
                </c:pt>
                <c:pt idx="312" formatCode="0_ ">
                  <c:v>1155</c:v>
                </c:pt>
                <c:pt idx="313" formatCode="0_ ">
                  <c:v>1155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1150</c:v>
                </c:pt>
                <c:pt idx="318" formatCode="0_ ">
                  <c:v>1150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1205</c:v>
                </c:pt>
                <c:pt idx="322" formatCode="0_ ">
                  <c:v>1205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1255</c:v>
                </c:pt>
                <c:pt idx="327" formatCode="0_ ">
                  <c:v>1255</c:v>
                </c:pt>
                <c:pt idx="328" formatCode="0_ ">
                  <c:v>1250</c:v>
                </c:pt>
                <c:pt idx="329" formatCode="0_ ">
                  <c:v>1260</c:v>
                </c:pt>
                <c:pt idx="330" formatCode="0_ ">
                  <c:v>1260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1270</c:v>
                </c:pt>
                <c:pt idx="334" formatCode="0_ ">
                  <c:v>1270</c:v>
                </c:pt>
                <c:pt idx="335" formatCode="0_ ">
                  <c:v>1301</c:v>
                </c:pt>
                <c:pt idx="336" formatCode="0_ ">
                  <c:v>1301</c:v>
                </c:pt>
                <c:pt idx="337" formatCode="0_ ">
                  <c:v>1311</c:v>
                </c:pt>
                <c:pt idx="338" formatCode="0_ ">
                  <c:v>1311</c:v>
                </c:pt>
                <c:pt idx="339" formatCode="0_ ">
                  <c:v>1311</c:v>
                </c:pt>
                <c:pt idx="340" formatCode="0_ ">
                  <c:v>1300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1299</c:v>
                </c:pt>
                <c:pt idx="345" formatCode="0_ ">
                  <c:v>1299</c:v>
                </c:pt>
                <c:pt idx="346" formatCode="0_ ">
                  <c:v>1294</c:v>
                </c:pt>
                <c:pt idx="347" formatCode="0_ ">
                  <c:v>1294</c:v>
                </c:pt>
                <c:pt idx="348" formatCode="0_ ">
                  <c:v>1284</c:v>
                </c:pt>
                <c:pt idx="349" formatCode="0_ ">
                  <c:v>1284</c:v>
                </c:pt>
                <c:pt idx="350" formatCode="0_ ">
                  <c:v>1279</c:v>
                </c:pt>
                <c:pt idx="351" formatCode="0_ ">
                  <c:v>1194</c:v>
                </c:pt>
                <c:pt idx="352" formatCode="0_ ">
                  <c:v>1099</c:v>
                </c:pt>
                <c:pt idx="353" formatCode="0_ ">
                  <c:v>1099</c:v>
                </c:pt>
                <c:pt idx="354" formatCode="0_ ">
                  <c:v>1099</c:v>
                </c:pt>
                <c:pt idx="355" formatCode="0_ ">
                  <c:v>1089</c:v>
                </c:pt>
                <c:pt idx="356" formatCode="0_ ">
                  <c:v>1020</c:v>
                </c:pt>
                <c:pt idx="357" formatCode="0_ ">
                  <c:v>1020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931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927</c:v>
                </c:pt>
                <c:pt idx="366" formatCode="0_ ">
                  <c:v>927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929</c:v>
                </c:pt>
                <c:pt idx="370" formatCode="0_ ">
                  <c:v>929</c:v>
                </c:pt>
                <c:pt idx="371" formatCode="0_ ">
                  <c:v>919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911</c:v>
                </c:pt>
                <c:pt idx="378" formatCode="0_ ">
                  <c:v>911</c:v>
                </c:pt>
                <c:pt idx="379" formatCode="0_ ">
                  <c:v>901</c:v>
                </c:pt>
                <c:pt idx="380" formatCode="0_ ">
                  <c:v>901</c:v>
                </c:pt>
                <c:pt idx="381" formatCode="0_ ">
                  <c:v>901</c:v>
                </c:pt>
                <c:pt idx="382" formatCode="0_ ">
                  <c:v>899</c:v>
                </c:pt>
                <c:pt idx="383" formatCode="0_ ">
                  <c:v>899</c:v>
                </c:pt>
                <c:pt idx="384" formatCode="0_ ">
                  <c:v>899</c:v>
                </c:pt>
                <c:pt idx="385" formatCode="0_ ">
                  <c:v>889</c:v>
                </c:pt>
                <c:pt idx="386" formatCode="0_ ">
                  <c:v>889</c:v>
                </c:pt>
                <c:pt idx="387" formatCode="0_ ">
                  <c:v>899</c:v>
                </c:pt>
                <c:pt idx="388" formatCode="0_ ">
                  <c:v>899</c:v>
                </c:pt>
                <c:pt idx="389" formatCode="0_ ">
                  <c:v>899</c:v>
                </c:pt>
                <c:pt idx="390" formatCode="0_ ">
                  <c:v>881</c:v>
                </c:pt>
                <c:pt idx="391" formatCode="0_ ">
                  <c:v>869</c:v>
                </c:pt>
                <c:pt idx="392" formatCode="0_ ">
                  <c:v>865</c:v>
                </c:pt>
                <c:pt idx="393" formatCode="0_ ">
                  <c:v>847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850</c:v>
                </c:pt>
                <c:pt idx="398" formatCode="0_ ">
                  <c:v>850</c:v>
                </c:pt>
                <c:pt idx="399" formatCode="0_ ">
                  <c:v>855</c:v>
                </c:pt>
                <c:pt idx="400" formatCode="0_ ">
                  <c:v>855</c:v>
                </c:pt>
                <c:pt idx="401" formatCode="0_ ">
                  <c:v>865</c:v>
                </c:pt>
                <c:pt idx="402" formatCode="0_ ">
                  <c:v>880</c:v>
                </c:pt>
                <c:pt idx="403" formatCode="0_ ">
                  <c:v>880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901</c:v>
                </c:pt>
                <c:pt idx="409" formatCode="0_ ">
                  <c:v>901</c:v>
                </c:pt>
                <c:pt idx="410" formatCode="0_ ">
                  <c:v>906</c:v>
                </c:pt>
                <c:pt idx="411" formatCode="0_ ">
                  <c:v>906</c:v>
                </c:pt>
                <c:pt idx="412" formatCode="0_ ">
                  <c:v>919</c:v>
                </c:pt>
                <c:pt idx="413" formatCode="0_ ">
                  <c:v>955</c:v>
                </c:pt>
                <c:pt idx="414" formatCode="0_ ">
                  <c:v>955</c:v>
                </c:pt>
                <c:pt idx="415" formatCode="0_ ">
                  <c:v>955</c:v>
                </c:pt>
                <c:pt idx="416" formatCode="0_ ">
                  <c:v>961</c:v>
                </c:pt>
                <c:pt idx="417" formatCode="0_ ">
                  <c:v>971</c:v>
                </c:pt>
                <c:pt idx="418" formatCode="0_ ">
                  <c:v>985</c:v>
                </c:pt>
                <c:pt idx="419" formatCode="0_ ">
                  <c:v>995</c:v>
                </c:pt>
                <c:pt idx="420" formatCode="0_ ">
                  <c:v>1001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1011</c:v>
                </c:pt>
                <c:pt idx="424" formatCode="0_ ">
                  <c:v>1011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1021</c:v>
                </c:pt>
                <c:pt idx="430" formatCode="0_ ">
                  <c:v>1021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1041</c:v>
                </c:pt>
                <c:pt idx="435" formatCode="0_ ">
                  <c:v>1041</c:v>
                </c:pt>
                <c:pt idx="436" formatCode="0_ ">
                  <c:v>1046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1051</c:v>
                </c:pt>
                <c:pt idx="441" formatCode="0_ ">
                  <c:v>1051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1141</c:v>
                </c:pt>
                <c:pt idx="452" formatCode="0_ ">
                  <c:v>1141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1136</c:v>
                </c:pt>
                <c:pt idx="456" formatCode="0_ ">
                  <c:v>1136</c:v>
                </c:pt>
                <c:pt idx="457" formatCode="0_ ">
                  <c:v>1129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1124</c:v>
                </c:pt>
                <c:pt idx="461" formatCode="0_ ">
                  <c:v>1124</c:v>
                </c:pt>
                <c:pt idx="462" formatCode="0_ ">
                  <c:v>1069</c:v>
                </c:pt>
                <c:pt idx="463" formatCode="0_ ">
                  <c:v>1050</c:v>
                </c:pt>
                <c:pt idx="464" formatCode="0_ ">
                  <c:v>1045</c:v>
                </c:pt>
                <c:pt idx="465" formatCode="0_ ">
                  <c:v>1030</c:v>
                </c:pt>
                <c:pt idx="466" formatCode="0_ ">
                  <c:v>1030</c:v>
                </c:pt>
                <c:pt idx="467" formatCode="0_ ">
                  <c:v>1030</c:v>
                </c:pt>
                <c:pt idx="468" formatCode="0_ ">
                  <c:v>989</c:v>
                </c:pt>
                <c:pt idx="469" formatCode="0_ ">
                  <c:v>989</c:v>
                </c:pt>
                <c:pt idx="470" formatCode="0_ ">
                  <c:v>979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971</c:v>
                </c:pt>
                <c:pt idx="474" formatCode="0_ ">
                  <c:v>971</c:v>
                </c:pt>
                <c:pt idx="475" formatCode="0_ ">
                  <c:v>976</c:v>
                </c:pt>
                <c:pt idx="476" formatCode="0_ ">
                  <c:v>979</c:v>
                </c:pt>
                <c:pt idx="477" formatCode="0_ ">
                  <c:v>979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981</c:v>
                </c:pt>
                <c:pt idx="481" formatCode="0_ ">
                  <c:v>981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1010</c:v>
                </c:pt>
                <c:pt idx="486" formatCode="0_ ">
                  <c:v>1010</c:v>
                </c:pt>
                <c:pt idx="487" formatCode="0_ ">
                  <c:v>1095</c:v>
                </c:pt>
                <c:pt idx="488" formatCode="0_ ">
                  <c:v>1100</c:v>
                </c:pt>
                <c:pt idx="489" formatCode="0_ ">
                  <c:v>1100</c:v>
                </c:pt>
                <c:pt idx="490" formatCode="0_ ">
                  <c:v>1110</c:v>
                </c:pt>
                <c:pt idx="491" formatCode="0_ ">
                  <c:v>1110</c:v>
                </c:pt>
                <c:pt idx="492" formatCode="0_ ">
                  <c:v>1169</c:v>
                </c:pt>
                <c:pt idx="493" formatCode="0_ ">
                  <c:v>1169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1174</c:v>
                </c:pt>
                <c:pt idx="497" formatCode="0_ ">
                  <c:v>1174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1179</c:v>
                </c:pt>
                <c:pt idx="501" formatCode="0_ ">
                  <c:v>1179</c:v>
                </c:pt>
                <c:pt idx="502" formatCode="0_ ">
                  <c:v>1166</c:v>
                </c:pt>
                <c:pt idx="503" formatCode="0_ ">
                  <c:v>1166</c:v>
                </c:pt>
                <c:pt idx="504" formatCode="0_ ">
                  <c:v>1171</c:v>
                </c:pt>
                <c:pt idx="505" formatCode="0_ ">
                  <c:v>1176</c:v>
                </c:pt>
                <c:pt idx="506" formatCode="0_ ">
                  <c:v>1176</c:v>
                </c:pt>
                <c:pt idx="507" formatCode="0_ ">
                  <c:v>1186</c:v>
                </c:pt>
                <c:pt idx="509" formatCode="0_ ">
                  <c:v>1205</c:v>
                </c:pt>
                <c:pt idx="510" formatCode="0_ ">
                  <c:v>1205</c:v>
                </c:pt>
                <c:pt idx="511" formatCode="0_ ">
                  <c:v>1205</c:v>
                </c:pt>
                <c:pt idx="512" formatCode="0_ ">
                  <c:v>1205</c:v>
                </c:pt>
                <c:pt idx="514" formatCode="0_ ">
                  <c:v>1205</c:v>
                </c:pt>
                <c:pt idx="515" formatCode="0_ ">
                  <c:v>1205</c:v>
                </c:pt>
                <c:pt idx="516" formatCode="0_ ">
                  <c:v>1211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1231</c:v>
                </c:pt>
                <c:pt idx="521" formatCode="0_ ">
                  <c:v>1231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1255</c:v>
                </c:pt>
                <c:pt idx="526" formatCode="0_ ">
                  <c:v>1255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1265</c:v>
                </c:pt>
                <c:pt idx="531" formatCode="0_ ">
                  <c:v>1265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1280</c:v>
                </c:pt>
                <c:pt idx="535" formatCode="0_ ">
                  <c:v>1280</c:v>
                </c:pt>
                <c:pt idx="536" formatCode="0_ ">
                  <c:v>1290</c:v>
                </c:pt>
                <c:pt idx="537" formatCode="0_ ">
                  <c:v>1290</c:v>
                </c:pt>
                <c:pt idx="539" formatCode="0_ ">
                  <c:v>1290</c:v>
                </c:pt>
                <c:pt idx="540" formatCode="0_ ">
                  <c:v>1290</c:v>
                </c:pt>
                <c:pt idx="541" formatCode="0_ ">
                  <c:v>1290</c:v>
                </c:pt>
                <c:pt idx="542" formatCode="0_ ">
                  <c:v>1310</c:v>
                </c:pt>
                <c:pt idx="543" formatCode="0_ ">
                  <c:v>1310</c:v>
                </c:pt>
                <c:pt idx="544" formatCode="0_ ">
                  <c:v>1306</c:v>
                </c:pt>
                <c:pt idx="545" formatCode="0_ ">
                  <c:v>1306</c:v>
                </c:pt>
                <c:pt idx="546" formatCode="0_ ">
                  <c:v>1306</c:v>
                </c:pt>
                <c:pt idx="547" formatCode="0_ ">
                  <c:v>1316</c:v>
                </c:pt>
                <c:pt idx="548" formatCode="0_ ">
                  <c:v>1316</c:v>
                </c:pt>
                <c:pt idx="549" formatCode="0_ ">
                  <c:v>1325</c:v>
                </c:pt>
                <c:pt idx="550" formatCode="0_ ">
                  <c:v>1325</c:v>
                </c:pt>
                <c:pt idx="551" formatCode="0_ ">
                  <c:v>1330</c:v>
                </c:pt>
                <c:pt idx="552" formatCode="0_ ">
                  <c:v>1330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1350</c:v>
                </c:pt>
                <c:pt idx="558" formatCode="0_ ">
                  <c:v>1350</c:v>
                </c:pt>
                <c:pt idx="559" formatCode="0_ ">
                  <c:v>1340</c:v>
                </c:pt>
                <c:pt idx="560" formatCode="0_ ">
                  <c:v>1340</c:v>
                </c:pt>
                <c:pt idx="561" formatCode="0_ ">
                  <c:v>1335</c:v>
                </c:pt>
                <c:pt idx="562" formatCode="0_ ">
                  <c:v>1330</c:v>
                </c:pt>
                <c:pt idx="563" formatCode="0_ ">
                  <c:v>1330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1321</c:v>
                </c:pt>
                <c:pt idx="569" formatCode="0_ ">
                  <c:v>1321</c:v>
                </c:pt>
                <c:pt idx="570" formatCode="0_ ">
                  <c:v>1331</c:v>
                </c:pt>
                <c:pt idx="571" formatCode="0_ ">
                  <c:v>1341</c:v>
                </c:pt>
                <c:pt idx="572" formatCode="0_ ">
                  <c:v>1341</c:v>
                </c:pt>
                <c:pt idx="573" formatCode="0_ ">
                  <c:v>1341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1351</c:v>
                </c:pt>
                <c:pt idx="578" formatCode="0_ ">
                  <c:v>1351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1381</c:v>
                </c:pt>
                <c:pt idx="583" formatCode="0_ ">
                  <c:v>1381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1391</c:v>
                </c:pt>
                <c:pt idx="587" formatCode="0_ ">
                  <c:v>1391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2" formatCode="0_ ">
                  <c:v>1381</c:v>
                </c:pt>
                <c:pt idx="593" formatCode="0_ ">
                  <c:v>1381</c:v>
                </c:pt>
                <c:pt idx="595" formatCode="0_ ">
                  <c:v>1381</c:v>
                </c:pt>
                <c:pt idx="596" formatCode="0_ ">
                  <c:v>1379</c:v>
                </c:pt>
                <c:pt idx="597" formatCode="0_ ">
                  <c:v>1379</c:v>
                </c:pt>
                <c:pt idx="598" formatCode="0_ ">
                  <c:v>1369</c:v>
                </c:pt>
                <c:pt idx="599" formatCode="0_ ">
                  <c:v>1369</c:v>
                </c:pt>
                <c:pt idx="601" formatCode="0_ ">
                  <c:v>1369</c:v>
                </c:pt>
                <c:pt idx="602" formatCode="0_ ">
                  <c:v>1369</c:v>
                </c:pt>
                <c:pt idx="603" formatCode="0_ ">
                  <c:v>1369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1351</c:v>
                </c:pt>
                <c:pt idx="607" formatCode="0_ ">
                  <c:v>1351</c:v>
                </c:pt>
                <c:pt idx="608" formatCode="0_ ">
                  <c:v>1346</c:v>
                </c:pt>
                <c:pt idx="609" formatCode="0_ ">
                  <c:v>1342</c:v>
                </c:pt>
                <c:pt idx="610" formatCode="0_ ">
                  <c:v>1342</c:v>
                </c:pt>
                <c:pt idx="612" formatCode="0_ ">
                  <c:v>1331</c:v>
                </c:pt>
                <c:pt idx="613" formatCode="0_ ">
                  <c:v>1331</c:v>
                </c:pt>
                <c:pt idx="614" formatCode="0_ ">
                  <c:v>1305</c:v>
                </c:pt>
                <c:pt idx="615" formatCode="0_ ">
                  <c:v>1300</c:v>
                </c:pt>
                <c:pt idx="616" formatCode="0_ ">
                  <c:v>1290</c:v>
                </c:pt>
                <c:pt idx="617" formatCode="0_ ">
                  <c:v>1285</c:v>
                </c:pt>
                <c:pt idx="618" formatCode="0_ ">
                  <c:v>1269</c:v>
                </c:pt>
                <c:pt idx="619" formatCode="0_ ">
                  <c:v>1251</c:v>
                </c:pt>
                <c:pt idx="620" formatCode="0_ ">
                  <c:v>1251</c:v>
                </c:pt>
                <c:pt idx="621" formatCode="0_ ">
                  <c:v>1251</c:v>
                </c:pt>
                <c:pt idx="622" formatCode="0_ ">
                  <c:v>1241</c:v>
                </c:pt>
                <c:pt idx="623" formatCode="0_ ">
                  <c:v>1241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1201</c:v>
                </c:pt>
                <c:pt idx="627" formatCode="0_ ">
                  <c:v>1201</c:v>
                </c:pt>
                <c:pt idx="628" formatCode="0_ ">
                  <c:v>1181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1096</c:v>
                </c:pt>
                <c:pt idx="642" formatCode="0_ ">
                  <c:v>1096</c:v>
                </c:pt>
                <c:pt idx="643" formatCode="0_ ">
                  <c:v>1104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1144</c:v>
                </c:pt>
                <c:pt idx="657" formatCode="0_ ">
                  <c:v>1144</c:v>
                </c:pt>
                <c:pt idx="658" formatCode="0_ ">
                  <c:v>1149</c:v>
                </c:pt>
                <c:pt idx="659" formatCode="0_ ">
                  <c:v>1149</c:v>
                </c:pt>
                <c:pt idx="660" formatCode="0_ ">
                  <c:v>1149</c:v>
                </c:pt>
                <c:pt idx="661" formatCode="0_ ">
                  <c:v>1151</c:v>
                </c:pt>
                <c:pt idx="662" formatCode="0_ ">
                  <c:v>1151</c:v>
                </c:pt>
                <c:pt idx="663" formatCode="0_ ">
                  <c:v>1151</c:v>
                </c:pt>
                <c:pt idx="664" formatCode="0_ ">
                  <c:v>1159</c:v>
                </c:pt>
                <c:pt idx="665" formatCode="0_ ">
                  <c:v>1169</c:v>
                </c:pt>
                <c:pt idx="666" formatCode="0_ ">
                  <c:v>1169</c:v>
                </c:pt>
                <c:pt idx="667" formatCode="0_ ">
                  <c:v>1179</c:v>
                </c:pt>
                <c:pt idx="668" formatCode="0_ ">
                  <c:v>1179</c:v>
                </c:pt>
                <c:pt idx="669" formatCode="0_ ">
                  <c:v>1199</c:v>
                </c:pt>
                <c:pt idx="670" formatCode="0_ ">
                  <c:v>1199</c:v>
                </c:pt>
                <c:pt idx="672" formatCode="0_ ">
                  <c:v>1179</c:v>
                </c:pt>
                <c:pt idx="673" formatCode="0_ ">
                  <c:v>1179</c:v>
                </c:pt>
                <c:pt idx="674" formatCode="0_ ">
                  <c:v>1161</c:v>
                </c:pt>
                <c:pt idx="675" formatCode="0_ ">
                  <c:v>1161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1161</c:v>
                </c:pt>
                <c:pt idx="681" formatCode="0_ ">
                  <c:v>1161</c:v>
                </c:pt>
                <c:pt idx="682" formatCode="0_ ">
                  <c:v>1156</c:v>
                </c:pt>
                <c:pt idx="683" formatCode="0_ ">
                  <c:v>1156</c:v>
                </c:pt>
                <c:pt idx="684" formatCode="0_ ">
                  <c:v>1151</c:v>
                </c:pt>
                <c:pt idx="685" formatCode="0_ ">
                  <c:v>1151</c:v>
                </c:pt>
                <c:pt idx="687" formatCode="0_ ">
                  <c:v>1141</c:v>
                </c:pt>
                <c:pt idx="688" formatCode="0_ ">
                  <c:v>1141</c:v>
                </c:pt>
                <c:pt idx="689" formatCode="0_ ">
                  <c:v>1116</c:v>
                </c:pt>
                <c:pt idx="690" formatCode="0_ ">
                  <c:v>1116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1110</c:v>
                </c:pt>
                <c:pt idx="695" formatCode="0_ ">
                  <c:v>1110</c:v>
                </c:pt>
                <c:pt idx="696" formatCode="0_ ">
                  <c:v>1105</c:v>
                </c:pt>
                <c:pt idx="697" formatCode="0_ ">
                  <c:v>1105</c:v>
                </c:pt>
                <c:pt idx="698" formatCode="0_ ">
                  <c:v>1105</c:v>
                </c:pt>
                <c:pt idx="699" formatCode="0_ ">
                  <c:v>1104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1103</c:v>
                </c:pt>
                <c:pt idx="703" formatCode="0_ ">
                  <c:v>1103</c:v>
                </c:pt>
                <c:pt idx="704" formatCode="0_ ">
                  <c:v>1100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1074</c:v>
                </c:pt>
                <c:pt idx="709" formatCode="0_ ">
                  <c:v>1074</c:v>
                </c:pt>
                <c:pt idx="710" formatCode="0_ ">
                  <c:v>1069</c:v>
                </c:pt>
                <c:pt idx="711" formatCode="0_ ">
                  <c:v>1064</c:v>
                </c:pt>
                <c:pt idx="712" formatCode="0_ ">
                  <c:v>1064</c:v>
                </c:pt>
                <c:pt idx="713" formatCode="0_ ">
                  <c:v>1064</c:v>
                </c:pt>
                <c:pt idx="714" formatCode="0_ ">
                  <c:v>1060</c:v>
                </c:pt>
                <c:pt idx="715" formatCode="0_ ">
                  <c:v>1060</c:v>
                </c:pt>
                <c:pt idx="716" formatCode="0_ ">
                  <c:v>1059</c:v>
                </c:pt>
                <c:pt idx="717" formatCode="0_ ">
                  <c:v>1059</c:v>
                </c:pt>
                <c:pt idx="718" formatCode="0_ ">
                  <c:v>1059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1025</c:v>
                </c:pt>
                <c:pt idx="725" formatCode="0_ ">
                  <c:v>1025</c:v>
                </c:pt>
                <c:pt idx="726" formatCode="0_ ">
                  <c:v>1024</c:v>
                </c:pt>
                <c:pt idx="728" formatCode="0_ ">
                  <c:v>1022.5</c:v>
                </c:pt>
                <c:pt idx="729" formatCode="0_ ">
                  <c:v>1022.5</c:v>
                </c:pt>
                <c:pt idx="730" formatCode="0_ ">
                  <c:v>1010</c:v>
                </c:pt>
                <c:pt idx="731" formatCode="0_ ">
                  <c:v>1005</c:v>
                </c:pt>
                <c:pt idx="732" formatCode="0_ ">
                  <c:v>1008</c:v>
                </c:pt>
                <c:pt idx="733" formatCode="0_ ">
                  <c:v>1003</c:v>
                </c:pt>
                <c:pt idx="734" formatCode="0_ ">
                  <c:v>1015</c:v>
                </c:pt>
                <c:pt idx="736" formatCode="0_ ">
                  <c:v>1032.5</c:v>
                </c:pt>
                <c:pt idx="737" formatCode="0_ ">
                  <c:v>1035</c:v>
                </c:pt>
                <c:pt idx="738" formatCode="0_ ">
                  <c:v>1032.5</c:v>
                </c:pt>
                <c:pt idx="739" formatCode="0_ ">
                  <c:v>1030</c:v>
                </c:pt>
                <c:pt idx="740" formatCode="0_ ">
                  <c:v>1030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1025</c:v>
                </c:pt>
                <c:pt idx="747" formatCode="0_ ">
                  <c:v>1025</c:v>
                </c:pt>
                <c:pt idx="748" formatCode="0_ ">
                  <c:v>1027.5</c:v>
                </c:pt>
                <c:pt idx="749" formatCode="0_ ">
                  <c:v>1027</c:v>
                </c:pt>
                <c:pt idx="750" formatCode="0_ ">
                  <c:v>1029</c:v>
                </c:pt>
                <c:pt idx="751" formatCode="0_ ">
                  <c:v>1049</c:v>
                </c:pt>
                <c:pt idx="752" formatCode="0_ ">
                  <c:v>1080</c:v>
                </c:pt>
                <c:pt idx="753" formatCode="0_ ">
                  <c:v>1100</c:v>
                </c:pt>
                <c:pt idx="754" formatCode="0_ ">
                  <c:v>1100</c:v>
                </c:pt>
                <c:pt idx="755" formatCode="0_ ">
                  <c:v>1105</c:v>
                </c:pt>
                <c:pt idx="756" formatCode="0_ ">
                  <c:v>1105</c:v>
                </c:pt>
                <c:pt idx="757" formatCode="0_ ">
                  <c:v>1111</c:v>
                </c:pt>
                <c:pt idx="758" formatCode="0_ ">
                  <c:v>1111</c:v>
                </c:pt>
                <c:pt idx="759" formatCode="0_ ">
                  <c:v>1120</c:v>
                </c:pt>
                <c:pt idx="760" formatCode="0_ ">
                  <c:v>1120</c:v>
                </c:pt>
                <c:pt idx="761" formatCode="0_ ">
                  <c:v>1120</c:v>
                </c:pt>
                <c:pt idx="762" formatCode="0_ ">
                  <c:v>1140</c:v>
                </c:pt>
                <c:pt idx="763" formatCode="0_ ">
                  <c:v>1140</c:v>
                </c:pt>
                <c:pt idx="764" formatCode="0_ ">
                  <c:v>1150</c:v>
                </c:pt>
                <c:pt idx="765" formatCode="0_ ">
                  <c:v>1149</c:v>
                </c:pt>
                <c:pt idx="766" formatCode="0_ ">
                  <c:v>1149</c:v>
                </c:pt>
                <c:pt idx="767" formatCode="0_ ">
                  <c:v>1149</c:v>
                </c:pt>
                <c:pt idx="768" formatCode="0_ ">
                  <c:v>1145</c:v>
                </c:pt>
                <c:pt idx="769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1145</c:v>
                </c:pt>
                <c:pt idx="777" formatCode="0_ ">
                  <c:v>1145</c:v>
                </c:pt>
                <c:pt idx="778" formatCode="0_ ">
                  <c:v>1140</c:v>
                </c:pt>
                <c:pt idx="779" formatCode="0_ ">
                  <c:v>1140</c:v>
                </c:pt>
                <c:pt idx="780" formatCode="0_ ">
                  <c:v>1140</c:v>
                </c:pt>
                <c:pt idx="781" formatCode="0_ ">
                  <c:v>1150</c:v>
                </c:pt>
                <c:pt idx="782" formatCode="0_ ">
                  <c:v>1155</c:v>
                </c:pt>
                <c:pt idx="783" formatCode="0_ ">
                  <c:v>1152</c:v>
                </c:pt>
                <c:pt idx="784" formatCode="0_ ">
                  <c:v>1152</c:v>
                </c:pt>
                <c:pt idx="785" formatCode="0_ ">
                  <c:v>1181</c:v>
                </c:pt>
                <c:pt idx="786" formatCode="0_ ">
                  <c:v>1181</c:v>
                </c:pt>
                <c:pt idx="787" formatCode="0_ ">
                  <c:v>1181</c:v>
                </c:pt>
                <c:pt idx="788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1181</c:v>
                </c:pt>
                <c:pt idx="794" formatCode="0_ ">
                  <c:v>1181</c:v>
                </c:pt>
                <c:pt idx="795" formatCode="0_ ">
                  <c:v>1191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1201</c:v>
                </c:pt>
                <c:pt idx="799" formatCode="0_ ">
                  <c:v>1201</c:v>
                </c:pt>
                <c:pt idx="800" formatCode="0_ ">
                  <c:v>1210</c:v>
                </c:pt>
                <c:pt idx="801" formatCode="0_ ">
                  <c:v>1210</c:v>
                </c:pt>
                <c:pt idx="802" formatCode="0_ ">
                  <c:v>1210</c:v>
                </c:pt>
                <c:pt idx="803" formatCode="0_ ">
                  <c:v>1235</c:v>
                </c:pt>
                <c:pt idx="804" formatCode="0_ ">
                  <c:v>1255</c:v>
                </c:pt>
                <c:pt idx="805" formatCode="0_ ">
                  <c:v>1255</c:v>
                </c:pt>
                <c:pt idx="806" formatCode="0_ ">
                  <c:v>1255</c:v>
                </c:pt>
                <c:pt idx="807" formatCode="0_ ">
                  <c:v>1260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1295</c:v>
                </c:pt>
                <c:pt idx="811" formatCode="0_ ">
                  <c:v>1295</c:v>
                </c:pt>
                <c:pt idx="812" formatCode="0_ ">
                  <c:v>1294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1280</c:v>
                </c:pt>
                <c:pt idx="817" formatCode="0_ ">
                  <c:v>1280</c:v>
                </c:pt>
                <c:pt idx="818" formatCode="0_ ">
                  <c:v>1285</c:v>
                </c:pt>
                <c:pt idx="819" formatCode="0_ ">
                  <c:v>1305</c:v>
                </c:pt>
                <c:pt idx="820" formatCode="0_ ">
                  <c:v>1307</c:v>
                </c:pt>
                <c:pt idx="821" formatCode="0_ ">
                  <c:v>1302</c:v>
                </c:pt>
                <c:pt idx="822" formatCode="0_ ">
                  <c:v>1300</c:v>
                </c:pt>
                <c:pt idx="823" formatCode="0_ ">
                  <c:v>1300</c:v>
                </c:pt>
                <c:pt idx="824" formatCode="0_ ">
                  <c:v>1300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1290</c:v>
                </c:pt>
                <c:pt idx="828" formatCode="0_ ">
                  <c:v>1290</c:v>
                </c:pt>
                <c:pt idx="829" formatCode="0_ ">
                  <c:v>1301</c:v>
                </c:pt>
                <c:pt idx="830" formatCode="0_ ">
                  <c:v>1301</c:v>
                </c:pt>
                <c:pt idx="831" formatCode="0_ ">
                  <c:v>1305</c:v>
                </c:pt>
                <c:pt idx="832" formatCode="0_ ">
                  <c:v>1331</c:v>
                </c:pt>
                <c:pt idx="833" formatCode="0_ ">
                  <c:v>1335</c:v>
                </c:pt>
                <c:pt idx="834" formatCode="0_ ">
                  <c:v>1335</c:v>
                </c:pt>
                <c:pt idx="835" formatCode="0_ ">
                  <c:v>1351</c:v>
                </c:pt>
                <c:pt idx="836" formatCode="0_ ">
                  <c:v>1351</c:v>
                </c:pt>
                <c:pt idx="837" formatCode="0_ ">
                  <c:v>1351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1" formatCode="0_ ">
                  <c:v>1361</c:v>
                </c:pt>
                <c:pt idx="842" formatCode="0_ ">
                  <c:v>1361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1362.5</c:v>
                </c:pt>
                <c:pt idx="847" formatCode="0_ ">
                  <c:v>1362.5</c:v>
                </c:pt>
                <c:pt idx="848" formatCode="0_ ">
                  <c:v>1401</c:v>
                </c:pt>
                <c:pt idx="849" formatCode="0_ ">
                  <c:v>1403</c:v>
                </c:pt>
                <c:pt idx="850" formatCode="0_ ">
                  <c:v>1400</c:v>
                </c:pt>
                <c:pt idx="851" formatCode="0_ ">
                  <c:v>1398</c:v>
                </c:pt>
                <c:pt idx="852" formatCode="0_ ">
                  <c:v>1396</c:v>
                </c:pt>
                <c:pt idx="853" formatCode="0_ ">
                  <c:v>1385</c:v>
                </c:pt>
                <c:pt idx="854" formatCode="0_ ">
                  <c:v>1385</c:v>
                </c:pt>
                <c:pt idx="855" formatCode="0_ ">
                  <c:v>1384</c:v>
                </c:pt>
                <c:pt idx="856" formatCode="0_ ">
                  <c:v>1383</c:v>
                </c:pt>
                <c:pt idx="857" formatCode="0_ ">
                  <c:v>1351</c:v>
                </c:pt>
                <c:pt idx="858" formatCode="0_ ">
                  <c:v>1351</c:v>
                </c:pt>
                <c:pt idx="859" formatCode="0_ ">
                  <c:v>1351</c:v>
                </c:pt>
                <c:pt idx="861" formatCode="0_ ">
                  <c:v>1340</c:v>
                </c:pt>
                <c:pt idx="862" formatCode="0_ ">
                  <c:v>1340</c:v>
                </c:pt>
                <c:pt idx="863" formatCode="0_ ">
                  <c:v>1311</c:v>
                </c:pt>
                <c:pt idx="864" formatCode="0_ ">
                  <c:v>1281</c:v>
                </c:pt>
                <c:pt idx="865" formatCode="0_ ">
                  <c:v>1281</c:v>
                </c:pt>
                <c:pt idx="866" formatCode="0_ ">
                  <c:v>1270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1195</c:v>
                </c:pt>
                <c:pt idx="870" formatCode="0_ ">
                  <c:v>1179</c:v>
                </c:pt>
                <c:pt idx="871" formatCode="0_ ">
                  <c:v>1169</c:v>
                </c:pt>
                <c:pt idx="872" formatCode="0_ ">
                  <c:v>1159</c:v>
                </c:pt>
                <c:pt idx="873" formatCode="0_ ">
                  <c:v>1139</c:v>
                </c:pt>
                <c:pt idx="874" formatCode="0_ ">
                  <c:v>1139</c:v>
                </c:pt>
                <c:pt idx="875" formatCode="0_ ">
                  <c:v>1095</c:v>
                </c:pt>
                <c:pt idx="876" formatCode="0_ ">
                  <c:v>1070</c:v>
                </c:pt>
                <c:pt idx="877" formatCode="0_ ">
                  <c:v>1030</c:v>
                </c:pt>
                <c:pt idx="878" formatCode="0_ ">
                  <c:v>1015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980</c:v>
                </c:pt>
                <c:pt idx="884" formatCode="0_ ">
                  <c:v>955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945</c:v>
                </c:pt>
                <c:pt idx="888" formatCode="0_ ">
                  <c:v>930</c:v>
                </c:pt>
                <c:pt idx="889" formatCode="0_ ">
                  <c:v>901</c:v>
                </c:pt>
                <c:pt idx="890" formatCode="0_ ">
                  <c:v>891</c:v>
                </c:pt>
                <c:pt idx="891" formatCode="0_ ">
                  <c:v>891</c:v>
                </c:pt>
                <c:pt idx="892" formatCode="0_ ">
                  <c:v>885</c:v>
                </c:pt>
                <c:pt idx="893" formatCode="0_ ">
                  <c:v>885</c:v>
                </c:pt>
                <c:pt idx="894" formatCode="0_ ">
                  <c:v>885</c:v>
                </c:pt>
                <c:pt idx="895" formatCode="0_ ">
                  <c:v>901</c:v>
                </c:pt>
                <c:pt idx="896" formatCode="0_ ">
                  <c:v>906</c:v>
                </c:pt>
                <c:pt idx="897" formatCode="0_ ">
                  <c:v>906</c:v>
                </c:pt>
                <c:pt idx="898" formatCode="0_ ">
                  <c:v>906</c:v>
                </c:pt>
                <c:pt idx="899" formatCode="0_ ">
                  <c:v>908</c:v>
                </c:pt>
                <c:pt idx="900" formatCode="0_ ">
                  <c:v>910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951</c:v>
                </c:pt>
                <c:pt idx="904" formatCode="0_ ">
                  <c:v>951</c:v>
                </c:pt>
                <c:pt idx="905" formatCode="0_ ">
                  <c:v>1001</c:v>
                </c:pt>
                <c:pt idx="906" formatCode="0_ ">
                  <c:v>1021</c:v>
                </c:pt>
                <c:pt idx="907" formatCode="0_ ">
                  <c:v>1021</c:v>
                </c:pt>
                <c:pt idx="908" formatCode="0_ ">
                  <c:v>1021</c:v>
                </c:pt>
                <c:pt idx="909" formatCode="0_ ">
                  <c:v>1020</c:v>
                </c:pt>
                <c:pt idx="910" formatCode="0_ ">
                  <c:v>1018</c:v>
                </c:pt>
                <c:pt idx="911" formatCode="0_ ">
                  <c:v>1051</c:v>
                </c:pt>
                <c:pt idx="912" formatCode="0_ ">
                  <c:v>1061</c:v>
                </c:pt>
                <c:pt idx="913" formatCode="0_ ">
                  <c:v>1100</c:v>
                </c:pt>
                <c:pt idx="914" formatCode="0_ ">
                  <c:v>1100</c:v>
                </c:pt>
                <c:pt idx="915" formatCode="0_ ">
                  <c:v>1110</c:v>
                </c:pt>
                <c:pt idx="916" formatCode="0_ ">
                  <c:v>1110</c:v>
                </c:pt>
                <c:pt idx="917" formatCode="0_ ">
                  <c:v>1100</c:v>
                </c:pt>
                <c:pt idx="918" formatCode="0_ ">
                  <c:v>1101</c:v>
                </c:pt>
                <c:pt idx="919" formatCode="0_ ">
                  <c:v>1099</c:v>
                </c:pt>
                <c:pt idx="920" formatCode="0_ ">
                  <c:v>1099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1140</c:v>
                </c:pt>
                <c:pt idx="924" formatCode="0_ ">
                  <c:v>1140</c:v>
                </c:pt>
                <c:pt idx="925" formatCode="0_ ">
                  <c:v>1139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1135</c:v>
                </c:pt>
                <c:pt idx="929" formatCode="0_ ">
                  <c:v>1135</c:v>
                </c:pt>
                <c:pt idx="930" formatCode="0_ ">
                  <c:v>1140</c:v>
                </c:pt>
                <c:pt idx="931" formatCode="0_ ">
                  <c:v>1151</c:v>
                </c:pt>
                <c:pt idx="933" formatCode="0_ ">
                  <c:v>1200</c:v>
                </c:pt>
                <c:pt idx="934" formatCode="0_ ">
                  <c:v>1200</c:v>
                </c:pt>
                <c:pt idx="935" formatCode="0_ ">
                  <c:v>1220</c:v>
                </c:pt>
                <c:pt idx="936" formatCode="0_ ">
                  <c:v>1220</c:v>
                </c:pt>
                <c:pt idx="937" formatCode="0_ ">
                  <c:v>1225</c:v>
                </c:pt>
                <c:pt idx="938" formatCode="0_ ">
                  <c:v>1240</c:v>
                </c:pt>
                <c:pt idx="940" formatCode="0_ ">
                  <c:v>1250</c:v>
                </c:pt>
                <c:pt idx="941" formatCode="0_ ">
                  <c:v>1255</c:v>
                </c:pt>
                <c:pt idx="942" formatCode="0_ ">
                  <c:v>1255</c:v>
                </c:pt>
                <c:pt idx="943" formatCode="0_ ">
                  <c:v>1260</c:v>
                </c:pt>
                <c:pt idx="944" formatCode="0_ ">
                  <c:v>1290</c:v>
                </c:pt>
                <c:pt idx="945" formatCode="0_ ">
                  <c:v>1320</c:v>
                </c:pt>
                <c:pt idx="946" formatCode="0_ ">
                  <c:v>1320</c:v>
                </c:pt>
                <c:pt idx="947" formatCode="0_ ">
                  <c:v>1321</c:v>
                </c:pt>
                <c:pt idx="948" formatCode="0_ ">
                  <c:v>1349</c:v>
                </c:pt>
                <c:pt idx="949" formatCode="0_ ">
                  <c:v>1355</c:v>
                </c:pt>
                <c:pt idx="950" formatCode="0_ ">
                  <c:v>1375</c:v>
                </c:pt>
                <c:pt idx="951" formatCode="0_ ">
                  <c:v>1375</c:v>
                </c:pt>
                <c:pt idx="952" formatCode="0_ ">
                  <c:v>1375</c:v>
                </c:pt>
                <c:pt idx="953" formatCode="0_ ">
                  <c:v>1345</c:v>
                </c:pt>
                <c:pt idx="954" formatCode="0_ ">
                  <c:v>1345</c:v>
                </c:pt>
                <c:pt idx="955" formatCode="0_ ">
                  <c:v>1345</c:v>
                </c:pt>
                <c:pt idx="956" formatCode="0_ ">
                  <c:v>1335</c:v>
                </c:pt>
                <c:pt idx="957" formatCode="0_ ">
                  <c:v>1330</c:v>
                </c:pt>
                <c:pt idx="958" formatCode="0_ ">
                  <c:v>1325</c:v>
                </c:pt>
                <c:pt idx="959" formatCode="0_ ">
                  <c:v>1325</c:v>
                </c:pt>
                <c:pt idx="960" formatCode="0_ ">
                  <c:v>1320</c:v>
                </c:pt>
                <c:pt idx="961" formatCode="0_ ">
                  <c:v>1310</c:v>
                </c:pt>
                <c:pt idx="962" formatCode="0_ ">
                  <c:v>1305</c:v>
                </c:pt>
                <c:pt idx="963" formatCode="0_ ">
                  <c:v>1295</c:v>
                </c:pt>
                <c:pt idx="964" formatCode="0_ ">
                  <c:v>1295</c:v>
                </c:pt>
                <c:pt idx="965" formatCode="0_ ">
                  <c:v>1320</c:v>
                </c:pt>
                <c:pt idx="966" formatCode="0_ ">
                  <c:v>1330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1345</c:v>
                </c:pt>
                <c:pt idx="971" formatCode="0_ ">
                  <c:v>1345</c:v>
                </c:pt>
                <c:pt idx="972" formatCode="0_ ">
                  <c:v>1341</c:v>
                </c:pt>
                <c:pt idx="973" formatCode="0_ ">
                  <c:v>1337</c:v>
                </c:pt>
                <c:pt idx="974" formatCode="0_ ">
                  <c:v>1337</c:v>
                </c:pt>
                <c:pt idx="975" formatCode="0_ ">
                  <c:v>1337</c:v>
                </c:pt>
                <c:pt idx="976" formatCode="0_ ">
                  <c:v>1335</c:v>
                </c:pt>
                <c:pt idx="977" formatCode="0_ ">
                  <c:v>1335</c:v>
                </c:pt>
                <c:pt idx="978" formatCode="0_ ">
                  <c:v>1335</c:v>
                </c:pt>
                <c:pt idx="979" formatCode="0_ ">
                  <c:v>1341</c:v>
                </c:pt>
                <c:pt idx="980" formatCode="0_ ">
                  <c:v>1347</c:v>
                </c:pt>
                <c:pt idx="981" formatCode="0_ ">
                  <c:v>1347</c:v>
                </c:pt>
                <c:pt idx="982" formatCode="0_ ">
                  <c:v>1380</c:v>
                </c:pt>
                <c:pt idx="983" formatCode="0_ ">
                  <c:v>1375</c:v>
                </c:pt>
                <c:pt idx="984" formatCode="0_ ">
                  <c:v>1375</c:v>
                </c:pt>
                <c:pt idx="985" formatCode="0_ ">
                  <c:v>1375</c:v>
                </c:pt>
                <c:pt idx="986" formatCode="0_ ">
                  <c:v>1373</c:v>
                </c:pt>
                <c:pt idx="987" formatCode="0_ ">
                  <c:v>1365</c:v>
                </c:pt>
                <c:pt idx="989" formatCode="0_ ">
                  <c:v>1355</c:v>
                </c:pt>
                <c:pt idx="990" formatCode="0_ ">
                  <c:v>1355</c:v>
                </c:pt>
                <c:pt idx="991" formatCode="0_ ">
                  <c:v>1353</c:v>
                </c:pt>
                <c:pt idx="992" formatCode="0_ ">
                  <c:v>1353</c:v>
                </c:pt>
                <c:pt idx="993" formatCode="0_ ">
                  <c:v>1310</c:v>
                </c:pt>
                <c:pt idx="994" formatCode="0_ ">
                  <c:v>1305</c:v>
                </c:pt>
                <c:pt idx="995" formatCode="0_ ">
                  <c:v>1305</c:v>
                </c:pt>
                <c:pt idx="996" formatCode="0_ ">
                  <c:v>1300</c:v>
                </c:pt>
                <c:pt idx="997" formatCode="0_ ">
                  <c:v>1293</c:v>
                </c:pt>
                <c:pt idx="998" formatCode="0_ ">
                  <c:v>1290</c:v>
                </c:pt>
                <c:pt idx="999" formatCode="0_ ">
                  <c:v>1287</c:v>
                </c:pt>
                <c:pt idx="1001" formatCode="0_ ">
                  <c:v>1282</c:v>
                </c:pt>
                <c:pt idx="1002" formatCode="0_ ">
                  <c:v>1260</c:v>
                </c:pt>
                <c:pt idx="1003" formatCode="0_ ">
                  <c:v>1253</c:v>
                </c:pt>
                <c:pt idx="1004" formatCode="0_ ">
                  <c:v>1245</c:v>
                </c:pt>
                <c:pt idx="1005" formatCode="0_ ">
                  <c:v>1200</c:v>
                </c:pt>
                <c:pt idx="1006" formatCode="0_ ">
                  <c:v>1200</c:v>
                </c:pt>
                <c:pt idx="1007" formatCode="0_ ">
                  <c:v>1170</c:v>
                </c:pt>
                <c:pt idx="1008" formatCode="0_ ">
                  <c:v>1168</c:v>
                </c:pt>
                <c:pt idx="1009" formatCode="0_ ">
                  <c:v>1165</c:v>
                </c:pt>
                <c:pt idx="1010" formatCode="0_ ">
                  <c:v>1160</c:v>
                </c:pt>
                <c:pt idx="1011" formatCode="0_ ">
                  <c:v>1159</c:v>
                </c:pt>
                <c:pt idx="1012" formatCode="0_ ">
                  <c:v>1155</c:v>
                </c:pt>
                <c:pt idx="1013" formatCode="0_ ">
                  <c:v>1155</c:v>
                </c:pt>
                <c:pt idx="1014" formatCode="0_ ">
                  <c:v>1155</c:v>
                </c:pt>
                <c:pt idx="1015" formatCode="0_ ">
                  <c:v>1163</c:v>
                </c:pt>
                <c:pt idx="1016" formatCode="0_ ">
                  <c:v>1165</c:v>
                </c:pt>
                <c:pt idx="1017" formatCode="0_ ">
                  <c:v>1255</c:v>
                </c:pt>
                <c:pt idx="1018" formatCode="0_ ">
                  <c:v>1255</c:v>
                </c:pt>
                <c:pt idx="1019" formatCode="0_ ">
                  <c:v>1255</c:v>
                </c:pt>
                <c:pt idx="1020" formatCode="0_ ">
                  <c:v>1257</c:v>
                </c:pt>
                <c:pt idx="1021" formatCode="0_ ">
                  <c:v>1257</c:v>
                </c:pt>
                <c:pt idx="1022" formatCode="0_ ">
                  <c:v>1280</c:v>
                </c:pt>
                <c:pt idx="1023" formatCode="0_ ">
                  <c:v>1285</c:v>
                </c:pt>
                <c:pt idx="1024" formatCode="0_ ">
                  <c:v>1295</c:v>
                </c:pt>
                <c:pt idx="1025" formatCode="0_ ">
                  <c:v>1295</c:v>
                </c:pt>
                <c:pt idx="1026" formatCode="0_ ">
                  <c:v>1280</c:v>
                </c:pt>
                <c:pt idx="1027" formatCode="0_ ">
                  <c:v>1270</c:v>
                </c:pt>
                <c:pt idx="1028" formatCode="0_ ">
                  <c:v>1270</c:v>
                </c:pt>
                <c:pt idx="1029" formatCode="0_ ">
                  <c:v>1270</c:v>
                </c:pt>
                <c:pt idx="1031" formatCode="0_ ">
                  <c:v>1270</c:v>
                </c:pt>
                <c:pt idx="1032" formatCode="0_ ">
                  <c:v>1272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1275</c:v>
                </c:pt>
                <c:pt idx="1036" formatCode="0_ ">
                  <c:v>1275</c:v>
                </c:pt>
                <c:pt idx="1037" formatCode="0_ ">
                  <c:v>1280</c:v>
                </c:pt>
                <c:pt idx="1038" formatCode="0_ ">
                  <c:v>1280</c:v>
                </c:pt>
                <c:pt idx="1039" formatCode="0_ ">
                  <c:v>1285</c:v>
                </c:pt>
                <c:pt idx="1040" formatCode="0_ ">
                  <c:v>1290</c:v>
                </c:pt>
                <c:pt idx="1041" formatCode="0_ ">
                  <c:v>1305</c:v>
                </c:pt>
                <c:pt idx="1042" formatCode="0_ ">
                  <c:v>1330</c:v>
                </c:pt>
                <c:pt idx="1043" formatCode="0_ ">
                  <c:v>1330</c:v>
                </c:pt>
                <c:pt idx="1044" formatCode="0_ ">
                  <c:v>1340</c:v>
                </c:pt>
                <c:pt idx="1045" formatCode="0_ ">
                  <c:v>1350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1389</c:v>
                </c:pt>
                <c:pt idx="1051" formatCode="0_ ">
                  <c:v>1390</c:v>
                </c:pt>
                <c:pt idx="1052" formatCode="0_ ">
                  <c:v>1390</c:v>
                </c:pt>
                <c:pt idx="1053" formatCode="0_ ">
                  <c:v>1390</c:v>
                </c:pt>
                <c:pt idx="1054" formatCode="0_ ">
                  <c:v>1391</c:v>
                </c:pt>
                <c:pt idx="1055" formatCode="0_ ">
                  <c:v>1392</c:v>
                </c:pt>
                <c:pt idx="1056" formatCode="0_ ">
                  <c:v>1392</c:v>
                </c:pt>
                <c:pt idx="1057" formatCode="0_ ">
                  <c:v>1392</c:v>
                </c:pt>
                <c:pt idx="1058" formatCode="0_ ">
                  <c:v>1395</c:v>
                </c:pt>
                <c:pt idx="1059" formatCode="0_ ">
                  <c:v>1410</c:v>
                </c:pt>
                <c:pt idx="1060" formatCode="0_ ">
                  <c:v>1415</c:v>
                </c:pt>
                <c:pt idx="1061" formatCode="0_ ">
                  <c:v>1415</c:v>
                </c:pt>
                <c:pt idx="1062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1415</c:v>
                </c:pt>
                <c:pt idx="1068" formatCode="0_ ">
                  <c:v>1415</c:v>
                </c:pt>
                <c:pt idx="1069" formatCode="0_ ">
                  <c:v>1420</c:v>
                </c:pt>
                <c:pt idx="1070" formatCode="0_ ">
                  <c:v>1420</c:v>
                </c:pt>
                <c:pt idx="1071" formatCode="0_ ">
                  <c:v>1420</c:v>
                </c:pt>
                <c:pt idx="1072" formatCode="0_ ">
                  <c:v>1410</c:v>
                </c:pt>
                <c:pt idx="1073" formatCode="0_ ">
                  <c:v>1420</c:v>
                </c:pt>
                <c:pt idx="1074" formatCode="0_ ">
                  <c:v>1420</c:v>
                </c:pt>
                <c:pt idx="1075" formatCode="0_ ">
                  <c:v>1420</c:v>
                </c:pt>
                <c:pt idx="1076" formatCode="0_ ">
                  <c:v>1405</c:v>
                </c:pt>
                <c:pt idx="1077" formatCode="0_ ">
                  <c:v>1400</c:v>
                </c:pt>
                <c:pt idx="1078" formatCode="0_ ">
                  <c:v>1400</c:v>
                </c:pt>
                <c:pt idx="1079" formatCode="0_ ">
                  <c:v>1390</c:v>
                </c:pt>
                <c:pt idx="1080" formatCode="0_ ">
                  <c:v>1350</c:v>
                </c:pt>
                <c:pt idx="1081" formatCode="0_ ">
                  <c:v>1340</c:v>
                </c:pt>
                <c:pt idx="1082" formatCode="0_ ">
                  <c:v>1335</c:v>
                </c:pt>
                <c:pt idx="1083" formatCode="0_ ">
                  <c:v>1315</c:v>
                </c:pt>
                <c:pt idx="1084" formatCode="0_ ">
                  <c:v>1270</c:v>
                </c:pt>
                <c:pt idx="1085" formatCode="0_ ">
                  <c:v>1260</c:v>
                </c:pt>
                <c:pt idx="1086" formatCode="0_ ">
                  <c:v>1250</c:v>
                </c:pt>
                <c:pt idx="1087" formatCode="0_ ">
                  <c:v>1250</c:v>
                </c:pt>
                <c:pt idx="1088" formatCode="0_ ">
                  <c:v>1255</c:v>
                </c:pt>
                <c:pt idx="1089" formatCode="0_ ">
                  <c:v>1255</c:v>
                </c:pt>
                <c:pt idx="1090" formatCode="0_ ">
                  <c:v>1255</c:v>
                </c:pt>
                <c:pt idx="1092" formatCode="0_ ">
                  <c:v>1255</c:v>
                </c:pt>
                <c:pt idx="1093" formatCode="0_ ">
                  <c:v>1265</c:v>
                </c:pt>
                <c:pt idx="1094" formatCode="0_ ">
                  <c:v>1265</c:v>
                </c:pt>
                <c:pt idx="1095" formatCode="0_ ">
                  <c:v>1285</c:v>
                </c:pt>
                <c:pt idx="1096" formatCode="0_ ">
                  <c:v>1285</c:v>
                </c:pt>
                <c:pt idx="1098" formatCode="0_ ">
                  <c:v>1285</c:v>
                </c:pt>
                <c:pt idx="1099" formatCode="0_ ">
                  <c:v>1285</c:v>
                </c:pt>
                <c:pt idx="1100" formatCode="0_ ">
                  <c:v>1300</c:v>
                </c:pt>
                <c:pt idx="1101" formatCode="0_ ">
                  <c:v>1300</c:v>
                </c:pt>
                <c:pt idx="1102" formatCode="0_ ">
                  <c:v>1300</c:v>
                </c:pt>
                <c:pt idx="1103" formatCode="0_ ">
                  <c:v>1290</c:v>
                </c:pt>
                <c:pt idx="1104" formatCode="0_ ">
                  <c:v>1270</c:v>
                </c:pt>
                <c:pt idx="1105" formatCode="0_ ">
                  <c:v>1270</c:v>
                </c:pt>
                <c:pt idx="1106" formatCode="0_ ">
                  <c:v>1265</c:v>
                </c:pt>
                <c:pt idx="1107" formatCode="0_ ">
                  <c:v>1250</c:v>
                </c:pt>
                <c:pt idx="1108" formatCode="0_ ">
                  <c:v>1245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1200</c:v>
                </c:pt>
                <c:pt idx="1112" formatCode="0_ ">
                  <c:v>1190</c:v>
                </c:pt>
                <c:pt idx="1113" formatCode="0_ ">
                  <c:v>1185</c:v>
                </c:pt>
                <c:pt idx="1114" formatCode="0_ ">
                  <c:v>1185</c:v>
                </c:pt>
                <c:pt idx="1115" formatCode="0_ ">
                  <c:v>1185</c:v>
                </c:pt>
                <c:pt idx="1116" formatCode="0_ ">
                  <c:v>1165</c:v>
                </c:pt>
                <c:pt idx="1117" formatCode="0_ ">
                  <c:v>1160</c:v>
                </c:pt>
                <c:pt idx="1118" formatCode="0_ ">
                  <c:v>1160</c:v>
                </c:pt>
                <c:pt idx="1119" formatCode="0_ ">
                  <c:v>1160</c:v>
                </c:pt>
                <c:pt idx="1121" formatCode="0_ ">
                  <c:v>1160</c:v>
                </c:pt>
                <c:pt idx="1122" formatCode="0_ ">
                  <c:v>1160</c:v>
                </c:pt>
                <c:pt idx="1123" formatCode="0_ ">
                  <c:v>1162</c:v>
                </c:pt>
                <c:pt idx="1124" formatCode="0_ ">
                  <c:v>1155</c:v>
                </c:pt>
                <c:pt idx="1125" formatCode="0_ ">
                  <c:v>1165</c:v>
                </c:pt>
                <c:pt idx="1126" formatCode="0_ ">
                  <c:v>1190</c:v>
                </c:pt>
                <c:pt idx="1127" formatCode="0_ ">
                  <c:v>1190</c:v>
                </c:pt>
                <c:pt idx="1128" formatCode="0_ ">
                  <c:v>1190</c:v>
                </c:pt>
                <c:pt idx="1129" formatCode="0_ ">
                  <c:v>1195</c:v>
                </c:pt>
                <c:pt idx="1130" formatCode="0_ ">
                  <c:v>1195</c:v>
                </c:pt>
                <c:pt idx="1131" formatCode="0_ ">
                  <c:v>1210</c:v>
                </c:pt>
                <c:pt idx="1132" formatCode="0_ ">
                  <c:v>1210</c:v>
                </c:pt>
                <c:pt idx="1133" formatCode="0_ ">
                  <c:v>1210</c:v>
                </c:pt>
                <c:pt idx="1134" formatCode="0_ ">
                  <c:v>1225</c:v>
                </c:pt>
                <c:pt idx="1135" formatCode="0_ ">
                  <c:v>1230</c:v>
                </c:pt>
                <c:pt idx="1136" formatCode="0_ ">
                  <c:v>1230</c:v>
                </c:pt>
                <c:pt idx="1138" formatCode="0_ ">
                  <c:v>1220</c:v>
                </c:pt>
                <c:pt idx="1139" formatCode="0_ ">
                  <c:v>1215</c:v>
                </c:pt>
                <c:pt idx="1140" formatCode="0_ ">
                  <c:v>1210</c:v>
                </c:pt>
                <c:pt idx="1141" formatCode="0_ ">
                  <c:v>1200</c:v>
                </c:pt>
                <c:pt idx="1142" formatCode="0_ ">
                  <c:v>1200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1195</c:v>
                </c:pt>
                <c:pt idx="1151" formatCode="0_ ">
                  <c:v>1195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1225</c:v>
                </c:pt>
                <c:pt idx="1156" formatCode="0_ ">
                  <c:v>1225</c:v>
                </c:pt>
                <c:pt idx="1157" formatCode="0_ ">
                  <c:v>1240</c:v>
                </c:pt>
                <c:pt idx="1158" formatCode="0_ ">
                  <c:v>1240</c:v>
                </c:pt>
                <c:pt idx="1159" formatCode="0_ ">
                  <c:v>1245</c:v>
                </c:pt>
                <c:pt idx="1160" formatCode="0_ ">
                  <c:v>1255</c:v>
                </c:pt>
                <c:pt idx="1161" formatCode="0_ ">
                  <c:v>1260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1270</c:v>
                </c:pt>
                <c:pt idx="1165" formatCode="0_ ">
                  <c:v>1270</c:v>
                </c:pt>
                <c:pt idx="1166" formatCode="0_ ">
                  <c:v>1275</c:v>
                </c:pt>
                <c:pt idx="1167" formatCode="0_ ">
                  <c:v>1280</c:v>
                </c:pt>
                <c:pt idx="1168" formatCode="0_ ">
                  <c:v>1280</c:v>
                </c:pt>
                <c:pt idx="1169" formatCode="0_ ">
                  <c:v>1280</c:v>
                </c:pt>
                <c:pt idx="1170" formatCode="0_ ">
                  <c:v>1285</c:v>
                </c:pt>
                <c:pt idx="1171" formatCode="0_ ">
                  <c:v>1285</c:v>
                </c:pt>
                <c:pt idx="1172" formatCode="0_ ">
                  <c:v>1275</c:v>
                </c:pt>
                <c:pt idx="1173" formatCode="0_ ">
                  <c:v>1275</c:v>
                </c:pt>
                <c:pt idx="1174" formatCode="0_ ">
                  <c:v>1265</c:v>
                </c:pt>
                <c:pt idx="1175" formatCode="0_ ">
                  <c:v>1260</c:v>
                </c:pt>
                <c:pt idx="1176" formatCode="0_ ">
                  <c:v>1245</c:v>
                </c:pt>
                <c:pt idx="1177" formatCode="0_ ">
                  <c:v>1240</c:v>
                </c:pt>
                <c:pt idx="1178" formatCode="0_ ">
                  <c:v>1240</c:v>
                </c:pt>
                <c:pt idx="1179" formatCode="0_ ">
                  <c:v>1230</c:v>
                </c:pt>
                <c:pt idx="1180" formatCode="0_ ">
                  <c:v>1230</c:v>
                </c:pt>
                <c:pt idx="1181" formatCode="0_ ">
                  <c:v>1230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1225</c:v>
                </c:pt>
                <c:pt idx="1188" formatCode="0_ ">
                  <c:v>1225</c:v>
                </c:pt>
                <c:pt idx="1189" formatCode="0_ ">
                  <c:v>1228</c:v>
                </c:pt>
                <c:pt idx="1190" formatCode="0_ ">
                  <c:v>1260</c:v>
                </c:pt>
                <c:pt idx="1193" formatCode="0_ ">
                  <c:v>1260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1250</c:v>
                </c:pt>
                <c:pt idx="1197" formatCode="0_ ">
                  <c:v>1250</c:v>
                </c:pt>
                <c:pt idx="1198" formatCode="0_ ">
                  <c:v>1245</c:v>
                </c:pt>
                <c:pt idx="1199" formatCode="0_ ">
                  <c:v>1240</c:v>
                </c:pt>
                <c:pt idx="1200" formatCode="0_ ">
                  <c:v>1240</c:v>
                </c:pt>
                <c:pt idx="1201" formatCode="0_ ">
                  <c:v>1240</c:v>
                </c:pt>
                <c:pt idx="1202" formatCode="0_ ">
                  <c:v>1245</c:v>
                </c:pt>
                <c:pt idx="1203" formatCode="0_ ">
                  <c:v>1250</c:v>
                </c:pt>
                <c:pt idx="1204" formatCode="0_ ">
                  <c:v>1250</c:v>
                </c:pt>
                <c:pt idx="1205" formatCode="0_ ">
                  <c:v>1255</c:v>
                </c:pt>
                <c:pt idx="1206" formatCode="0_ ">
                  <c:v>1260</c:v>
                </c:pt>
                <c:pt idx="1207" formatCode="0_ ">
                  <c:v>1270</c:v>
                </c:pt>
                <c:pt idx="1208" formatCode="0_ ">
                  <c:v>1270</c:v>
                </c:pt>
                <c:pt idx="1209" formatCode="0_ ">
                  <c:v>1275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1280</c:v>
                </c:pt>
                <c:pt idx="1214" formatCode="0_ ">
                  <c:v>1280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1275</c:v>
                </c:pt>
                <c:pt idx="1221" formatCode="0_ ">
                  <c:v>1275</c:v>
                </c:pt>
                <c:pt idx="1222" formatCode="0_ ">
                  <c:v>1350</c:v>
                </c:pt>
                <c:pt idx="1223" formatCode="0_ ">
                  <c:v>1355</c:v>
                </c:pt>
                <c:pt idx="1224" formatCode="0_ ">
                  <c:v>1355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1360</c:v>
                </c:pt>
                <c:pt idx="1232" formatCode="0_ ">
                  <c:v>1360</c:v>
                </c:pt>
                <c:pt idx="1233" formatCode="0_ ">
                  <c:v>1380</c:v>
                </c:pt>
                <c:pt idx="1234" formatCode="0_ ">
                  <c:v>1390</c:v>
                </c:pt>
                <c:pt idx="1235" formatCode="0_ ">
                  <c:v>1405</c:v>
                </c:pt>
                <c:pt idx="1236" formatCode="0_ ">
                  <c:v>1405</c:v>
                </c:pt>
                <c:pt idx="1237" formatCode="0_ ">
                  <c:v>1425</c:v>
                </c:pt>
                <c:pt idx="1238" formatCode="0_ ">
                  <c:v>1425</c:v>
                </c:pt>
                <c:pt idx="1240" formatCode="0_ ">
                  <c:v>1425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1420</c:v>
                </c:pt>
                <c:pt idx="1244" formatCode="0_ ">
                  <c:v>1420</c:v>
                </c:pt>
                <c:pt idx="1245" formatCode="0_ ">
                  <c:v>1415</c:v>
                </c:pt>
                <c:pt idx="1246" formatCode="0_ ">
                  <c:v>1415</c:v>
                </c:pt>
                <c:pt idx="1247" formatCode="0_ ">
                  <c:v>1400</c:v>
                </c:pt>
                <c:pt idx="1248" formatCode="0_ ">
                  <c:v>1400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1375</c:v>
                </c:pt>
                <c:pt idx="1260" formatCode="0_ ">
                  <c:v>1375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1370</c:v>
                </c:pt>
                <c:pt idx="1269" formatCode="0_ ">
                  <c:v>1370</c:v>
                </c:pt>
                <c:pt idx="1270" formatCode="0_ ">
                  <c:v>1375</c:v>
                </c:pt>
                <c:pt idx="1271" formatCode="0_ ">
                  <c:v>1375</c:v>
                </c:pt>
                <c:pt idx="1272" formatCode="0_ ">
                  <c:v>1380</c:v>
                </c:pt>
                <c:pt idx="1273" formatCode="0_ ">
                  <c:v>1390</c:v>
                </c:pt>
                <c:pt idx="1274" formatCode="0_ ">
                  <c:v>1390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1395</c:v>
                </c:pt>
                <c:pt idx="1278" formatCode="0_ ">
                  <c:v>1395</c:v>
                </c:pt>
                <c:pt idx="1279" formatCode="0_ ">
                  <c:v>1405</c:v>
                </c:pt>
                <c:pt idx="1280" formatCode="0_ ">
                  <c:v>1405</c:v>
                </c:pt>
                <c:pt idx="1281" formatCode="0_ ">
                  <c:v>1405</c:v>
                </c:pt>
                <c:pt idx="1282" formatCode="0_ ">
                  <c:v>1430</c:v>
                </c:pt>
                <c:pt idx="1283" formatCode="0_ ">
                  <c:v>1430</c:v>
                </c:pt>
                <c:pt idx="1284" formatCode="0_ ">
                  <c:v>1430</c:v>
                </c:pt>
                <c:pt idx="1285" formatCode="0_ ">
                  <c:v>1450</c:v>
                </c:pt>
                <c:pt idx="1286" formatCode="0_ ">
                  <c:v>1460</c:v>
                </c:pt>
                <c:pt idx="1287" formatCode="0_ ">
                  <c:v>1465</c:v>
                </c:pt>
                <c:pt idx="1288" formatCode="0_ ">
                  <c:v>1470</c:v>
                </c:pt>
                <c:pt idx="1289" formatCode="0_ ">
                  <c:v>1470</c:v>
                </c:pt>
                <c:pt idx="1291" formatCode="0_ ">
                  <c:v>1480</c:v>
                </c:pt>
                <c:pt idx="1292" formatCode="0_ ">
                  <c:v>1490</c:v>
                </c:pt>
                <c:pt idx="1293" formatCode="0_ ">
                  <c:v>1510</c:v>
                </c:pt>
                <c:pt idx="1294" formatCode="0_ ">
                  <c:v>1510</c:v>
                </c:pt>
                <c:pt idx="1296" formatCode="0_ ">
                  <c:v>1510</c:v>
                </c:pt>
                <c:pt idx="1297" formatCode="0_ ">
                  <c:v>1520</c:v>
                </c:pt>
                <c:pt idx="1298" formatCode="0_ ">
                  <c:v>1530</c:v>
                </c:pt>
                <c:pt idx="1299" formatCode="0_ ">
                  <c:v>1535</c:v>
                </c:pt>
                <c:pt idx="1300" formatCode="0_ ">
                  <c:v>1550</c:v>
                </c:pt>
                <c:pt idx="1301" formatCode="0_ ">
                  <c:v>1550</c:v>
                </c:pt>
                <c:pt idx="1302" formatCode="0_ ">
                  <c:v>1555</c:v>
                </c:pt>
                <c:pt idx="1303" formatCode="0_ ">
                  <c:v>1555</c:v>
                </c:pt>
                <c:pt idx="1304" formatCode="0_ ">
                  <c:v>1565</c:v>
                </c:pt>
                <c:pt idx="1305" formatCode="0_ ">
                  <c:v>1570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1550</c:v>
                </c:pt>
                <c:pt idx="1309" formatCode="0_ ">
                  <c:v>1550</c:v>
                </c:pt>
                <c:pt idx="1310" formatCode="0_ ">
                  <c:v>1510</c:v>
                </c:pt>
                <c:pt idx="1311" formatCode="0_ ">
                  <c:v>1505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5" formatCode="0_ ">
                  <c:v>1470</c:v>
                </c:pt>
                <c:pt idx="1316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1470</c:v>
                </c:pt>
                <c:pt idx="1323" formatCode="0_ ">
                  <c:v>1470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1460</c:v>
                </c:pt>
                <c:pt idx="1328" formatCode="0_ ">
                  <c:v>1460</c:v>
                </c:pt>
                <c:pt idx="1329" formatCode="0_ ">
                  <c:v>1472</c:v>
                </c:pt>
                <c:pt idx="1330" formatCode="0_ ">
                  <c:v>1492</c:v>
                </c:pt>
                <c:pt idx="1331" formatCode="0_ ">
                  <c:v>1482</c:v>
                </c:pt>
                <c:pt idx="1332" formatCode="0_ ">
                  <c:v>1482</c:v>
                </c:pt>
                <c:pt idx="1333" formatCode="0_ ">
                  <c:v>1482</c:v>
                </c:pt>
                <c:pt idx="1334" formatCode="0_ ">
                  <c:v>1495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1500</c:v>
                </c:pt>
                <c:pt idx="1338" formatCode="0_ ">
                  <c:v>1500</c:v>
                </c:pt>
                <c:pt idx="1339" formatCode="0_ ">
                  <c:v>1510</c:v>
                </c:pt>
                <c:pt idx="1340" formatCode="0_ ">
                  <c:v>1495</c:v>
                </c:pt>
                <c:pt idx="1341" formatCode="0_ ">
                  <c:v>1505</c:v>
                </c:pt>
                <c:pt idx="1342" formatCode="0_ ">
                  <c:v>1515</c:v>
                </c:pt>
                <c:pt idx="1343" formatCode="0_ ">
                  <c:v>1515</c:v>
                </c:pt>
                <c:pt idx="1344" formatCode="0_ ">
                  <c:v>1515</c:v>
                </c:pt>
                <c:pt idx="1345" formatCode="0_ ">
                  <c:v>1505</c:v>
                </c:pt>
                <c:pt idx="1346" formatCode="0_ ">
                  <c:v>1495</c:v>
                </c:pt>
                <c:pt idx="1347" formatCode="0_ ">
                  <c:v>1490</c:v>
                </c:pt>
                <c:pt idx="1348" formatCode="0_ ">
                  <c:v>1495</c:v>
                </c:pt>
                <c:pt idx="1349" formatCode="0_ ">
                  <c:v>1475</c:v>
                </c:pt>
                <c:pt idx="1350" formatCode="0_ ">
                  <c:v>1475</c:v>
                </c:pt>
                <c:pt idx="1351" formatCode="0_ ">
                  <c:v>1470</c:v>
                </c:pt>
                <c:pt idx="1352" formatCode="0_ ">
                  <c:v>1465</c:v>
                </c:pt>
                <c:pt idx="1353" formatCode="0_ ">
                  <c:v>1465</c:v>
                </c:pt>
                <c:pt idx="1354" formatCode="0_ ">
                  <c:v>1460</c:v>
                </c:pt>
                <c:pt idx="1355" formatCode="0_ ">
                  <c:v>1460</c:v>
                </c:pt>
                <c:pt idx="1356" formatCode="0_ ">
                  <c:v>1455</c:v>
                </c:pt>
                <c:pt idx="1357" formatCode="0_ ">
                  <c:v>1435</c:v>
                </c:pt>
                <c:pt idx="1358" formatCode="0_ ">
                  <c:v>1415</c:v>
                </c:pt>
                <c:pt idx="1359" formatCode="0_ ">
                  <c:v>1415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1410</c:v>
                </c:pt>
                <c:pt idx="1366" formatCode="0_ ">
                  <c:v>1410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0" formatCode="0_ ">
                  <c:v>1420</c:v>
                </c:pt>
                <c:pt idx="1371" formatCode="0_ ">
                  <c:v>1420</c:v>
                </c:pt>
                <c:pt idx="1373" formatCode="0_ ">
                  <c:v>1425</c:v>
                </c:pt>
                <c:pt idx="1374" formatCode="0_ ">
                  <c:v>1425</c:v>
                </c:pt>
                <c:pt idx="1375" formatCode="0_ ">
                  <c:v>1425</c:v>
                </c:pt>
                <c:pt idx="1376" formatCode="0_ ">
                  <c:v>1427.5</c:v>
                </c:pt>
                <c:pt idx="1377" formatCode="0_ ">
                  <c:v>1445</c:v>
                </c:pt>
                <c:pt idx="1378" formatCode="0_ ">
                  <c:v>1445</c:v>
                </c:pt>
                <c:pt idx="1379" formatCode="0_ ">
                  <c:v>1445</c:v>
                </c:pt>
                <c:pt idx="1380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1450</c:v>
                </c:pt>
                <c:pt idx="1386" formatCode="0_ ">
                  <c:v>1450</c:v>
                </c:pt>
                <c:pt idx="1387" formatCode="0_ ">
                  <c:v>1445</c:v>
                </c:pt>
                <c:pt idx="1388" formatCode="0_ ">
                  <c:v>1445</c:v>
                </c:pt>
                <c:pt idx="1390" formatCode="0_ ">
                  <c:v>1440</c:v>
                </c:pt>
                <c:pt idx="1391" formatCode="0_ ">
                  <c:v>1440</c:v>
                </c:pt>
                <c:pt idx="1392" formatCode="0_ ">
                  <c:v>1438</c:v>
                </c:pt>
                <c:pt idx="1393" formatCode="0_ ">
                  <c:v>1435</c:v>
                </c:pt>
                <c:pt idx="1394" formatCode="0_ ">
                  <c:v>1435</c:v>
                </c:pt>
                <c:pt idx="1395" formatCode="0_ ">
                  <c:v>1435</c:v>
                </c:pt>
                <c:pt idx="1396" formatCode="0_ ">
                  <c:v>1445</c:v>
                </c:pt>
                <c:pt idx="1397" formatCode="0_ ">
                  <c:v>1450</c:v>
                </c:pt>
                <c:pt idx="1398" formatCode="0_ ">
                  <c:v>1450</c:v>
                </c:pt>
                <c:pt idx="1399" formatCode="0_ ">
                  <c:v>1450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1445</c:v>
                </c:pt>
                <c:pt idx="1407" formatCode="0_ ">
                  <c:v>1445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1440</c:v>
                </c:pt>
                <c:pt idx="1411" formatCode="0_ ">
                  <c:v>1440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1435</c:v>
                </c:pt>
                <c:pt idx="1416" formatCode="0_ ">
                  <c:v>1435</c:v>
                </c:pt>
                <c:pt idx="1417" formatCode="0_ ">
                  <c:v>1451</c:v>
                </c:pt>
                <c:pt idx="1418" formatCode="0_ ">
                  <c:v>1451</c:v>
                </c:pt>
                <c:pt idx="1419" formatCode="0_ ">
                  <c:v>1451</c:v>
                </c:pt>
                <c:pt idx="1420" formatCode="0_ ">
                  <c:v>1455</c:v>
                </c:pt>
                <c:pt idx="1421" formatCode="0_ ">
                  <c:v>1460</c:v>
                </c:pt>
                <c:pt idx="1422" formatCode="0_ ">
                  <c:v>1475</c:v>
                </c:pt>
                <c:pt idx="1423" formatCode="0_ ">
                  <c:v>1475</c:v>
                </c:pt>
                <c:pt idx="1424" formatCode="0_ ">
                  <c:v>1475</c:v>
                </c:pt>
                <c:pt idx="1425" formatCode="0_ ">
                  <c:v>1485</c:v>
                </c:pt>
                <c:pt idx="1426" formatCode="0_ ">
                  <c:v>1495</c:v>
                </c:pt>
                <c:pt idx="1427" formatCode="0_ ">
                  <c:v>1500</c:v>
                </c:pt>
                <c:pt idx="1428" formatCode="0_ ">
                  <c:v>1505</c:v>
                </c:pt>
                <c:pt idx="1429" formatCode="0_ ">
                  <c:v>1515</c:v>
                </c:pt>
                <c:pt idx="1430" formatCode="0_ ">
                  <c:v>1520</c:v>
                </c:pt>
                <c:pt idx="1431" formatCode="0_ ">
                  <c:v>1520</c:v>
                </c:pt>
                <c:pt idx="1432" formatCode="0_ ">
                  <c:v>1530</c:v>
                </c:pt>
                <c:pt idx="1433" formatCode="0_ ">
                  <c:v>1530</c:v>
                </c:pt>
                <c:pt idx="1434" formatCode="0_ ">
                  <c:v>1530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1535</c:v>
                </c:pt>
                <c:pt idx="1438" formatCode="0_ ">
                  <c:v>1535</c:v>
                </c:pt>
                <c:pt idx="1439" formatCode="0_ ">
                  <c:v>1545</c:v>
                </c:pt>
                <c:pt idx="1440" formatCode="0_ ">
                  <c:v>1545</c:v>
                </c:pt>
                <c:pt idx="1441" formatCode="0_ ">
                  <c:v>1555</c:v>
                </c:pt>
                <c:pt idx="1442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1570</c:v>
                </c:pt>
                <c:pt idx="1449" formatCode="0_ ">
                  <c:v>1570</c:v>
                </c:pt>
                <c:pt idx="1450" formatCode="0_ ">
                  <c:v>1565</c:v>
                </c:pt>
                <c:pt idx="1451" formatCode="0_ ">
                  <c:v>1565</c:v>
                </c:pt>
                <c:pt idx="1452" formatCode="0_ ">
                  <c:v>1560</c:v>
                </c:pt>
                <c:pt idx="1453" formatCode="0_ ">
                  <c:v>1560</c:v>
                </c:pt>
                <c:pt idx="1454" formatCode="0_ ">
                  <c:v>1545</c:v>
                </c:pt>
                <c:pt idx="1455" formatCode="0_ ">
                  <c:v>1545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1540</c:v>
                </c:pt>
                <c:pt idx="1460" formatCode="0_ ">
                  <c:v>1540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1530</c:v>
                </c:pt>
                <c:pt idx="1474" formatCode="0_ ">
                  <c:v>1530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1540</c:v>
                </c:pt>
                <c:pt idx="1480" formatCode="0_ ">
                  <c:v>1540</c:v>
                </c:pt>
                <c:pt idx="1481" formatCode="0_ ">
                  <c:v>1550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1555</c:v>
                </c:pt>
                <c:pt idx="1486" formatCode="0_ ">
                  <c:v>1555</c:v>
                </c:pt>
                <c:pt idx="1487" formatCode="0_ ">
                  <c:v>1550</c:v>
                </c:pt>
                <c:pt idx="1488" formatCode="0_ ">
                  <c:v>1550</c:v>
                </c:pt>
                <c:pt idx="1489" formatCode="0_ ">
                  <c:v>1545</c:v>
                </c:pt>
                <c:pt idx="1490" formatCode="0_ ">
                  <c:v>1535</c:v>
                </c:pt>
                <c:pt idx="1491" formatCode="0_ ">
                  <c:v>1535</c:v>
                </c:pt>
                <c:pt idx="1492" formatCode="0_ ">
                  <c:v>1530</c:v>
                </c:pt>
                <c:pt idx="1494" formatCode="0_ ">
                  <c:v>1530</c:v>
                </c:pt>
                <c:pt idx="1495" formatCode="0_ ">
                  <c:v>1530</c:v>
                </c:pt>
                <c:pt idx="1496" formatCode="0_ ">
                  <c:v>1530</c:v>
                </c:pt>
                <c:pt idx="1497" formatCode="0_ ">
                  <c:v>1490</c:v>
                </c:pt>
                <c:pt idx="1498" formatCode="0_ ">
                  <c:v>1490</c:v>
                </c:pt>
                <c:pt idx="1499" formatCode="0_ ">
                  <c:v>1480</c:v>
                </c:pt>
                <c:pt idx="1500" formatCode="0_ ">
                  <c:v>1440</c:v>
                </c:pt>
                <c:pt idx="1501" formatCode="0_ ">
                  <c:v>1435</c:v>
                </c:pt>
                <c:pt idx="1502" formatCode="0_ ">
                  <c:v>1435</c:v>
                </c:pt>
                <c:pt idx="1503" formatCode="0_ ">
                  <c:v>1395</c:v>
                </c:pt>
                <c:pt idx="1504" formatCode="0_ ">
                  <c:v>1385</c:v>
                </c:pt>
                <c:pt idx="1506" formatCode="0_ ">
                  <c:v>1385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1335</c:v>
                </c:pt>
                <c:pt idx="1510" formatCode="0_ ">
                  <c:v>1335</c:v>
                </c:pt>
                <c:pt idx="1511" formatCode="0_ ">
                  <c:v>1330</c:v>
                </c:pt>
                <c:pt idx="1512" formatCode="0_ ">
                  <c:v>1335</c:v>
                </c:pt>
                <c:pt idx="1513" formatCode="0_ ">
                  <c:v>1335</c:v>
                </c:pt>
                <c:pt idx="1514" formatCode="0_ ">
                  <c:v>1325</c:v>
                </c:pt>
                <c:pt idx="1515" formatCode="0_ ">
                  <c:v>1325</c:v>
                </c:pt>
                <c:pt idx="1516" formatCode="0_ ">
                  <c:v>1300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1220</c:v>
                </c:pt>
                <c:pt idx="1524" formatCode="0_ ">
                  <c:v>1220</c:v>
                </c:pt>
                <c:pt idx="1525" formatCode="0_ ">
                  <c:v>1215</c:v>
                </c:pt>
                <c:pt idx="1526" formatCode="0_ ">
                  <c:v>1215</c:v>
                </c:pt>
                <c:pt idx="1527" formatCode="0_ ">
                  <c:v>1170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1175</c:v>
                </c:pt>
                <c:pt idx="1531" formatCode="0_ ">
                  <c:v>1175</c:v>
                </c:pt>
                <c:pt idx="1532" formatCode="0_ ">
                  <c:v>1120</c:v>
                </c:pt>
                <c:pt idx="1533" formatCode="0_ ">
                  <c:v>1120</c:v>
                </c:pt>
                <c:pt idx="1534" formatCode="0_ ">
                  <c:v>1120</c:v>
                </c:pt>
                <c:pt idx="1535" formatCode="0_ ">
                  <c:v>1100</c:v>
                </c:pt>
                <c:pt idx="1536" formatCode="0_ ">
                  <c:v>1100</c:v>
                </c:pt>
                <c:pt idx="1537" formatCode="0_ ">
                  <c:v>1090</c:v>
                </c:pt>
                <c:pt idx="1538" formatCode="0_ ">
                  <c:v>1090</c:v>
                </c:pt>
                <c:pt idx="1539" formatCode="0_ ">
                  <c:v>1080</c:v>
                </c:pt>
                <c:pt idx="1540" formatCode="0_ ">
                  <c:v>1050</c:v>
                </c:pt>
                <c:pt idx="1541" formatCode="0_ ">
                  <c:v>1040</c:v>
                </c:pt>
                <c:pt idx="1542" formatCode="0_ ">
                  <c:v>995</c:v>
                </c:pt>
                <c:pt idx="1543" formatCode="0_ ">
                  <c:v>995</c:v>
                </c:pt>
                <c:pt idx="1544" formatCode="0_ ">
                  <c:v>985</c:v>
                </c:pt>
                <c:pt idx="1545" formatCode="0_ ">
                  <c:v>985</c:v>
                </c:pt>
                <c:pt idx="1546" formatCode="0_ ">
                  <c:v>970</c:v>
                </c:pt>
                <c:pt idx="1547" formatCode="0_ ">
                  <c:v>940</c:v>
                </c:pt>
                <c:pt idx="1548" formatCode="0_ ">
                  <c:v>940</c:v>
                </c:pt>
                <c:pt idx="1549" formatCode="0_ ">
                  <c:v>940</c:v>
                </c:pt>
                <c:pt idx="1550" formatCode="0_ ">
                  <c:v>940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930</c:v>
                </c:pt>
                <c:pt idx="1556" formatCode="0_ ">
                  <c:v>930</c:v>
                </c:pt>
                <c:pt idx="1557" formatCode="0_ ">
                  <c:v>925</c:v>
                </c:pt>
                <c:pt idx="1558" formatCode="0_ ">
                  <c:v>930</c:v>
                </c:pt>
                <c:pt idx="1559" formatCode="0_ ">
                  <c:v>900</c:v>
                </c:pt>
                <c:pt idx="1560" formatCode="0_ ">
                  <c:v>900</c:v>
                </c:pt>
                <c:pt idx="1561" formatCode="0_ ">
                  <c:v>920</c:v>
                </c:pt>
                <c:pt idx="1562" formatCode="0_ ">
                  <c:v>920</c:v>
                </c:pt>
                <c:pt idx="1563" formatCode="0_ ">
                  <c:v>910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880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870</c:v>
                </c:pt>
                <c:pt idx="1578" formatCode="0_ ">
                  <c:v>870</c:v>
                </c:pt>
                <c:pt idx="1579" formatCode="0_ ">
                  <c:v>875</c:v>
                </c:pt>
                <c:pt idx="1580" formatCode="0_ ">
                  <c:v>885</c:v>
                </c:pt>
                <c:pt idx="1581" formatCode="0_ ">
                  <c:v>905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910</c:v>
                </c:pt>
                <c:pt idx="1585" formatCode="0_ ">
                  <c:v>910</c:v>
                </c:pt>
                <c:pt idx="1586" formatCode="0_ ">
                  <c:v>940</c:v>
                </c:pt>
                <c:pt idx="1587" formatCode="0_ ">
                  <c:v>945</c:v>
                </c:pt>
                <c:pt idx="1588" formatCode="0_ ">
                  <c:v>950</c:v>
                </c:pt>
                <c:pt idx="1589" formatCode="0_ ">
                  <c:v>950</c:v>
                </c:pt>
                <c:pt idx="1593" formatCode="0_ ">
                  <c:v>950</c:v>
                </c:pt>
                <c:pt idx="1594" formatCode="0_ ">
                  <c:v>950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1000</c:v>
                </c:pt>
                <c:pt idx="1598" formatCode="0_ ">
                  <c:v>1010</c:v>
                </c:pt>
                <c:pt idx="1599" formatCode="0_ ">
                  <c:v>1050</c:v>
                </c:pt>
                <c:pt idx="1600" formatCode="0_ ">
                  <c:v>1060</c:v>
                </c:pt>
                <c:pt idx="1601" formatCode="0_ ">
                  <c:v>1070</c:v>
                </c:pt>
                <c:pt idx="1602" formatCode="0_ ">
                  <c:v>1070</c:v>
                </c:pt>
                <c:pt idx="1603" formatCode="0_ ">
                  <c:v>1080</c:v>
                </c:pt>
                <c:pt idx="1604" formatCode="0_ ">
                  <c:v>1085</c:v>
                </c:pt>
                <c:pt idx="1605" formatCode="0_ ">
                  <c:v>1090</c:v>
                </c:pt>
                <c:pt idx="1606" formatCode="0_ ">
                  <c:v>1105</c:v>
                </c:pt>
                <c:pt idx="1607" formatCode="0_ ">
                  <c:v>1105</c:v>
                </c:pt>
                <c:pt idx="1608" formatCode="0_ ">
                  <c:v>1105</c:v>
                </c:pt>
                <c:pt idx="1609" formatCode="0_ ">
                  <c:v>1115</c:v>
                </c:pt>
                <c:pt idx="1610" formatCode="0_ ">
                  <c:v>1115</c:v>
                </c:pt>
                <c:pt idx="1611" formatCode="0_ ">
                  <c:v>1150</c:v>
                </c:pt>
                <c:pt idx="1612" formatCode="0_ ">
                  <c:v>1160</c:v>
                </c:pt>
                <c:pt idx="1613" formatCode="0_ ">
                  <c:v>1160</c:v>
                </c:pt>
                <c:pt idx="1614" formatCode="0_ ">
                  <c:v>1160</c:v>
                </c:pt>
                <c:pt idx="1615" formatCode="0_ ">
                  <c:v>1170</c:v>
                </c:pt>
                <c:pt idx="1616" formatCode="0_ ">
                  <c:v>1190</c:v>
                </c:pt>
                <c:pt idx="1617" formatCode="0_ ">
                  <c:v>1190</c:v>
                </c:pt>
                <c:pt idx="1618" formatCode="0_ ">
                  <c:v>1190</c:v>
                </c:pt>
                <c:pt idx="1619" formatCode="0_ ">
                  <c:v>1255</c:v>
                </c:pt>
                <c:pt idx="1622" formatCode="0_ ">
                  <c:v>1255</c:v>
                </c:pt>
                <c:pt idx="1623" formatCode="0_ ">
                  <c:v>1255</c:v>
                </c:pt>
                <c:pt idx="1624" formatCode="0_ ">
                  <c:v>1305</c:v>
                </c:pt>
                <c:pt idx="1625" formatCode="0_ ">
                  <c:v>1310</c:v>
                </c:pt>
                <c:pt idx="1626" formatCode="0_ ">
                  <c:v>1330</c:v>
                </c:pt>
                <c:pt idx="1627" formatCode="0_ ">
                  <c:v>1380</c:v>
                </c:pt>
                <c:pt idx="1628" formatCode="0_ ">
                  <c:v>1380</c:v>
                </c:pt>
                <c:pt idx="1629" formatCode="0_ ">
                  <c:v>1390</c:v>
                </c:pt>
                <c:pt idx="1630" formatCode="0_ ">
                  <c:v>1390</c:v>
                </c:pt>
                <c:pt idx="1631" formatCode="0_ ">
                  <c:v>1400</c:v>
                </c:pt>
                <c:pt idx="1632" formatCode="0_ ">
                  <c:v>1405</c:v>
                </c:pt>
                <c:pt idx="1633" formatCode="0_ ">
                  <c:v>1420</c:v>
                </c:pt>
                <c:pt idx="1634" formatCode="0_ ">
                  <c:v>1420</c:v>
                </c:pt>
                <c:pt idx="1635" formatCode="0_ ">
                  <c:v>1430</c:v>
                </c:pt>
                <c:pt idx="1636" formatCode="0_ ">
                  <c:v>1430</c:v>
                </c:pt>
                <c:pt idx="1637" formatCode="0_ ">
                  <c:v>1430</c:v>
                </c:pt>
                <c:pt idx="1638" formatCode="0_ ">
                  <c:v>1440</c:v>
                </c:pt>
                <c:pt idx="1639" formatCode="0_ ">
                  <c:v>1430</c:v>
                </c:pt>
                <c:pt idx="1640" formatCode="0_ ">
                  <c:v>1430</c:v>
                </c:pt>
                <c:pt idx="1642" formatCode="0_ ">
                  <c:v>1380</c:v>
                </c:pt>
                <c:pt idx="1643" formatCode="0_ ">
                  <c:v>1365</c:v>
                </c:pt>
                <c:pt idx="1644" formatCode="0_ ">
                  <c:v>1365</c:v>
                </c:pt>
                <c:pt idx="1645" formatCode="0_ ">
                  <c:v>1350</c:v>
                </c:pt>
                <c:pt idx="1646" formatCode="0_ ">
                  <c:v>1350</c:v>
                </c:pt>
                <c:pt idx="1647" formatCode="0_ ">
                  <c:v>1347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1350</c:v>
                </c:pt>
                <c:pt idx="1654" formatCode="0_ ">
                  <c:v>1350</c:v>
                </c:pt>
                <c:pt idx="1655" formatCode="0_ ">
                  <c:v>1360</c:v>
                </c:pt>
                <c:pt idx="1656" formatCode="0_ ">
                  <c:v>1370</c:v>
                </c:pt>
                <c:pt idx="1657" formatCode="0_ ">
                  <c:v>1370</c:v>
                </c:pt>
                <c:pt idx="1658" formatCode="0_ ">
                  <c:v>1385</c:v>
                </c:pt>
                <c:pt idx="1659" formatCode="0_ ">
                  <c:v>1385</c:v>
                </c:pt>
                <c:pt idx="1660" formatCode="0_ ">
                  <c:v>1385</c:v>
                </c:pt>
                <c:pt idx="1661" formatCode="0_ ">
                  <c:v>1410</c:v>
                </c:pt>
                <c:pt idx="1663" formatCode="0_ ">
                  <c:v>1410</c:v>
                </c:pt>
                <c:pt idx="1664" formatCode="0_ ">
                  <c:v>1410</c:v>
                </c:pt>
                <c:pt idx="1665" formatCode="0_ ">
                  <c:v>1410</c:v>
                </c:pt>
                <c:pt idx="1666" formatCode="0_ ">
                  <c:v>1415</c:v>
                </c:pt>
                <c:pt idx="1667" formatCode="0_ ">
                  <c:v>1415</c:v>
                </c:pt>
                <c:pt idx="1668" formatCode="0_ ">
                  <c:v>1415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1420</c:v>
                </c:pt>
                <c:pt idx="1673" formatCode="0_ ">
                  <c:v>1420</c:v>
                </c:pt>
                <c:pt idx="1674" formatCode="0_ ">
                  <c:v>1415</c:v>
                </c:pt>
                <c:pt idx="1675" formatCode="0_ ">
                  <c:v>1415</c:v>
                </c:pt>
                <c:pt idx="1676" formatCode="0_ ">
                  <c:v>1410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1400</c:v>
                </c:pt>
                <c:pt idx="1682" formatCode="0_ ">
                  <c:v>1400</c:v>
                </c:pt>
                <c:pt idx="1683" formatCode="0_ ">
                  <c:v>1390</c:v>
                </c:pt>
                <c:pt idx="1684" formatCode="0_ ">
                  <c:v>1355</c:v>
                </c:pt>
                <c:pt idx="1685" formatCode="0_ ">
                  <c:v>1330</c:v>
                </c:pt>
                <c:pt idx="1686" formatCode="0_ ">
                  <c:v>1300</c:v>
                </c:pt>
                <c:pt idx="1687" formatCode="0_ ">
                  <c:v>1290</c:v>
                </c:pt>
                <c:pt idx="1688" formatCode="0_ ">
                  <c:v>1280</c:v>
                </c:pt>
                <c:pt idx="1689" formatCode="0_ ">
                  <c:v>1270</c:v>
                </c:pt>
                <c:pt idx="1690" formatCode="0_ ">
                  <c:v>1245</c:v>
                </c:pt>
                <c:pt idx="1691" formatCode="0_ ">
                  <c:v>1230</c:v>
                </c:pt>
                <c:pt idx="1692" formatCode="0_ ">
                  <c:v>1230</c:v>
                </c:pt>
                <c:pt idx="1693" formatCode="0_ ">
                  <c:v>1205</c:v>
                </c:pt>
                <c:pt idx="1694" formatCode="0_ ">
                  <c:v>1205</c:v>
                </c:pt>
                <c:pt idx="1695" formatCode="0_ ">
                  <c:v>1185</c:v>
                </c:pt>
                <c:pt idx="1697" formatCode="0_ ">
                  <c:v>1180</c:v>
                </c:pt>
                <c:pt idx="1698" formatCode="0_ ">
                  <c:v>1170</c:v>
                </c:pt>
                <c:pt idx="1699" formatCode="0_ ">
                  <c:v>1170</c:v>
                </c:pt>
                <c:pt idx="1700" formatCode="0_ ">
                  <c:v>1165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1175</c:v>
                </c:pt>
                <c:pt idx="1704" formatCode="0_ ">
                  <c:v>1175</c:v>
                </c:pt>
                <c:pt idx="1705" formatCode="0_ ">
                  <c:v>1140</c:v>
                </c:pt>
                <c:pt idx="1706" formatCode="0_ ">
                  <c:v>1119</c:v>
                </c:pt>
                <c:pt idx="1707" formatCode="0_ ">
                  <c:v>1119</c:v>
                </c:pt>
                <c:pt idx="1708" formatCode="0_ ">
                  <c:v>1100</c:v>
                </c:pt>
                <c:pt idx="1709" formatCode="0_ ">
                  <c:v>1090</c:v>
                </c:pt>
                <c:pt idx="1710" formatCode="0_ ">
                  <c:v>1080</c:v>
                </c:pt>
                <c:pt idx="1713" formatCode="0_ ">
                  <c:v>1075</c:v>
                </c:pt>
                <c:pt idx="1714" formatCode="0_ ">
                  <c:v>979</c:v>
                </c:pt>
                <c:pt idx="1715" formatCode="0_ ">
                  <c:v>979</c:v>
                </c:pt>
                <c:pt idx="1716" formatCode="0_ ">
                  <c:v>949</c:v>
                </c:pt>
                <c:pt idx="1717" formatCode="0_ ">
                  <c:v>949</c:v>
                </c:pt>
                <c:pt idx="1718" formatCode="0_ ">
                  <c:v>949</c:v>
                </c:pt>
                <c:pt idx="1719" formatCode="0_ ">
                  <c:v>945</c:v>
                </c:pt>
                <c:pt idx="1720" formatCode="0_ ">
                  <c:v>919</c:v>
                </c:pt>
                <c:pt idx="1721" formatCode="0_ ">
                  <c:v>910</c:v>
                </c:pt>
                <c:pt idx="1722" formatCode="0_ ">
                  <c:v>904</c:v>
                </c:pt>
                <c:pt idx="1723" formatCode="0_ ">
                  <c:v>899</c:v>
                </c:pt>
                <c:pt idx="1724" formatCode="0_ ">
                  <c:v>849</c:v>
                </c:pt>
                <c:pt idx="1725" formatCode="0_ ">
                  <c:v>830</c:v>
                </c:pt>
                <c:pt idx="1726" formatCode="0_ ">
                  <c:v>820</c:v>
                </c:pt>
                <c:pt idx="1727" formatCode="0_ ">
                  <c:v>820</c:v>
                </c:pt>
                <c:pt idx="1728" formatCode="0_ ">
                  <c:v>820</c:v>
                </c:pt>
                <c:pt idx="1729" formatCode="0_ ">
                  <c:v>810</c:v>
                </c:pt>
                <c:pt idx="1730" formatCode="0_ ">
                  <c:v>799</c:v>
                </c:pt>
                <c:pt idx="1731" formatCode="0_ ">
                  <c:v>810</c:v>
                </c:pt>
                <c:pt idx="1732" formatCode="0_ ">
                  <c:v>810</c:v>
                </c:pt>
                <c:pt idx="1733" formatCode="0_ ">
                  <c:v>810</c:v>
                </c:pt>
                <c:pt idx="1734" formatCode="0_ ">
                  <c:v>825</c:v>
                </c:pt>
                <c:pt idx="1736" formatCode="0_ ">
                  <c:v>825</c:v>
                </c:pt>
                <c:pt idx="1737" formatCode="0_ ">
                  <c:v>835</c:v>
                </c:pt>
                <c:pt idx="1738" formatCode="0_ ">
                  <c:v>835</c:v>
                </c:pt>
                <c:pt idx="1739" formatCode="0_ ">
                  <c:v>835</c:v>
                </c:pt>
                <c:pt idx="1740" formatCode="0_ ">
                  <c:v>850</c:v>
                </c:pt>
                <c:pt idx="1741" formatCode="0_ ">
                  <c:v>890</c:v>
                </c:pt>
                <c:pt idx="1742" formatCode="0_ ">
                  <c:v>880</c:v>
                </c:pt>
                <c:pt idx="1743" formatCode="0_ ">
                  <c:v>880</c:v>
                </c:pt>
                <c:pt idx="1745" formatCode="0_ ">
                  <c:v>880</c:v>
                </c:pt>
                <c:pt idx="1746" formatCode="0_ ">
                  <c:v>880</c:v>
                </c:pt>
                <c:pt idx="1747" formatCode="0_ ">
                  <c:v>880</c:v>
                </c:pt>
                <c:pt idx="1748" formatCode="0_ ">
                  <c:v>900</c:v>
                </c:pt>
                <c:pt idx="1749" formatCode="0_ ">
                  <c:v>900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925</c:v>
                </c:pt>
                <c:pt idx="1754" formatCode="0_ ">
                  <c:v>925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935</c:v>
                </c:pt>
                <c:pt idx="1759" formatCode="0_ ">
                  <c:v>935</c:v>
                </c:pt>
                <c:pt idx="1760" formatCode="0_ ">
                  <c:v>940</c:v>
                </c:pt>
                <c:pt idx="1761" formatCode="0_ ">
                  <c:v>940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960</c:v>
                </c:pt>
                <c:pt idx="1765" formatCode="0_ ">
                  <c:v>960</c:v>
                </c:pt>
                <c:pt idx="1766" formatCode="0_ ">
                  <c:v>1005</c:v>
                </c:pt>
                <c:pt idx="1767" formatCode="0_ ">
                  <c:v>1005</c:v>
                </c:pt>
                <c:pt idx="1768" formatCode="0_ ">
                  <c:v>1005</c:v>
                </c:pt>
                <c:pt idx="1769" formatCode="0_ ">
                  <c:v>1000</c:v>
                </c:pt>
                <c:pt idx="1770" formatCode="0_ ">
                  <c:v>1000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1025</c:v>
                </c:pt>
                <c:pt idx="1776" formatCode="0_ ">
                  <c:v>1025</c:v>
                </c:pt>
                <c:pt idx="1778" formatCode="0_ ">
                  <c:v>1025</c:v>
                </c:pt>
                <c:pt idx="1779" formatCode="0_ ">
                  <c:v>1030</c:v>
                </c:pt>
                <c:pt idx="1780" formatCode="0_ ">
                  <c:v>1040</c:v>
                </c:pt>
                <c:pt idx="1781" formatCode="0_ ">
                  <c:v>1040</c:v>
                </c:pt>
                <c:pt idx="1782" formatCode="0_ ">
                  <c:v>1040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1060</c:v>
                </c:pt>
                <c:pt idx="1796" formatCode="0_ ">
                  <c:v>1060</c:v>
                </c:pt>
                <c:pt idx="1797" formatCode="0_ ">
                  <c:v>1055</c:v>
                </c:pt>
                <c:pt idx="1798" formatCode="0_ ">
                  <c:v>1055</c:v>
                </c:pt>
                <c:pt idx="1799" formatCode="0_ ">
                  <c:v>1055</c:v>
                </c:pt>
                <c:pt idx="1800" formatCode="0_ ">
                  <c:v>1065</c:v>
                </c:pt>
                <c:pt idx="1801" formatCode="0_ ">
                  <c:v>1065</c:v>
                </c:pt>
                <c:pt idx="1802" formatCode="0_ ">
                  <c:v>1065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8" formatCode="0_ ">
                  <c:v>1070</c:v>
                </c:pt>
                <c:pt idx="1809" formatCode="0_ ">
                  <c:v>1070</c:v>
                </c:pt>
                <c:pt idx="1811" formatCode="0_ ">
                  <c:v>1070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1075</c:v>
                </c:pt>
                <c:pt idx="1822" formatCode="0_ ">
                  <c:v>1075</c:v>
                </c:pt>
                <c:pt idx="1823" formatCode="0_ ">
                  <c:v>995</c:v>
                </c:pt>
                <c:pt idx="1824" formatCode="0_ ">
                  <c:v>995</c:v>
                </c:pt>
                <c:pt idx="1825" formatCode="0_ ">
                  <c:v>995</c:v>
                </c:pt>
                <c:pt idx="1826" formatCode="0_ ">
                  <c:v>990</c:v>
                </c:pt>
                <c:pt idx="1827" formatCode="0_ ">
                  <c:v>975</c:v>
                </c:pt>
                <c:pt idx="1828" formatCode="0_ ">
                  <c:v>975</c:v>
                </c:pt>
                <c:pt idx="1829" formatCode="0_ ">
                  <c:v>960</c:v>
                </c:pt>
                <c:pt idx="1830" formatCode="0_ ">
                  <c:v>960</c:v>
                </c:pt>
                <c:pt idx="1831" formatCode="0_ ">
                  <c:v>935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925</c:v>
                </c:pt>
                <c:pt idx="1835" formatCode="0_ ">
                  <c:v>925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890</c:v>
                </c:pt>
                <c:pt idx="1845" formatCode="0_ ">
                  <c:v>890</c:v>
                </c:pt>
                <c:pt idx="1846" formatCode="0_ ">
                  <c:v>900</c:v>
                </c:pt>
                <c:pt idx="1847" formatCode="0_ ">
                  <c:v>900</c:v>
                </c:pt>
                <c:pt idx="1848" formatCode="0_ ">
                  <c:v>920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960</c:v>
                </c:pt>
                <c:pt idx="1852" formatCode="0_ ">
                  <c:v>960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1100</c:v>
                </c:pt>
                <c:pt idx="1863" formatCode="0_ ">
                  <c:v>1100</c:v>
                </c:pt>
                <c:pt idx="1864" formatCode="0_ ">
                  <c:v>1160</c:v>
                </c:pt>
                <c:pt idx="1865" formatCode="0_ ">
                  <c:v>1160</c:v>
                </c:pt>
                <c:pt idx="1866" formatCode="0_ ">
                  <c:v>1180</c:v>
                </c:pt>
                <c:pt idx="1867" formatCode="0_ ">
                  <c:v>1190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2" formatCode="0_ ">
                  <c:v>1205</c:v>
                </c:pt>
                <c:pt idx="1873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1205</c:v>
                </c:pt>
                <c:pt idx="1880" formatCode="0_ ">
                  <c:v>1205</c:v>
                </c:pt>
                <c:pt idx="1881" formatCode="0_ ">
                  <c:v>1200</c:v>
                </c:pt>
                <c:pt idx="1882" formatCode="0_ ">
                  <c:v>1195</c:v>
                </c:pt>
                <c:pt idx="1883" formatCode="0_ ">
                  <c:v>1195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1200</c:v>
                </c:pt>
                <c:pt idx="1893" formatCode="0_ ">
                  <c:v>1200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1190</c:v>
                </c:pt>
                <c:pt idx="1907" formatCode="0_ ">
                  <c:v>1190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1180</c:v>
                </c:pt>
                <c:pt idx="1912" formatCode="0_ ">
                  <c:v>1180</c:v>
                </c:pt>
                <c:pt idx="1913" formatCode="0_ ">
                  <c:v>1170</c:v>
                </c:pt>
                <c:pt idx="1914" formatCode="0_ ">
                  <c:v>1150</c:v>
                </c:pt>
                <c:pt idx="1915" formatCode="0_ ">
                  <c:v>1150</c:v>
                </c:pt>
                <c:pt idx="1916" formatCode="0_ ">
                  <c:v>1120</c:v>
                </c:pt>
                <c:pt idx="1917" formatCode="0_ ">
                  <c:v>1110</c:v>
                </c:pt>
                <c:pt idx="1918" formatCode="0_ ">
                  <c:v>1100</c:v>
                </c:pt>
                <c:pt idx="1919" formatCode="0_ ">
                  <c:v>1100</c:v>
                </c:pt>
                <c:pt idx="1920" formatCode="0_ ">
                  <c:v>1090</c:v>
                </c:pt>
                <c:pt idx="1921" formatCode="0_ ">
                  <c:v>1080</c:v>
                </c:pt>
                <c:pt idx="1922" formatCode="0_ ">
                  <c:v>1070</c:v>
                </c:pt>
                <c:pt idx="1923" formatCode="0_ ">
                  <c:v>1055</c:v>
                </c:pt>
                <c:pt idx="1924" formatCode="0_ ">
                  <c:v>1055</c:v>
                </c:pt>
                <c:pt idx="1925" formatCode="0_ ">
                  <c:v>1055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1040</c:v>
                </c:pt>
                <c:pt idx="1932" formatCode="0_ ">
                  <c:v>1040</c:v>
                </c:pt>
                <c:pt idx="1933" formatCode="0_ ">
                  <c:v>1050</c:v>
                </c:pt>
                <c:pt idx="1934" formatCode="0_ ">
                  <c:v>1050</c:v>
                </c:pt>
                <c:pt idx="1935" formatCode="0_ ">
                  <c:v>1050</c:v>
                </c:pt>
                <c:pt idx="1936" formatCode="0_ ">
                  <c:v>1060</c:v>
                </c:pt>
                <c:pt idx="1937" formatCode="0_ ">
                  <c:v>1060</c:v>
                </c:pt>
                <c:pt idx="1938" formatCode="0_ ">
                  <c:v>1090</c:v>
                </c:pt>
                <c:pt idx="1939" formatCode="0_ ">
                  <c:v>1090</c:v>
                </c:pt>
                <c:pt idx="1940" formatCode="0_ ">
                  <c:v>1090</c:v>
                </c:pt>
                <c:pt idx="1941" formatCode="0_ ">
                  <c:v>1095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4" formatCode="0_ ">
                  <c:v>1125</c:v>
                </c:pt>
                <c:pt idx="1945" formatCode="0_ ">
                  <c:v>1125</c:v>
                </c:pt>
                <c:pt idx="1947" formatCode="0_ ">
                  <c:v>1125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1135</c:v>
                </c:pt>
                <c:pt idx="1957" formatCode="0_ ">
                  <c:v>1135</c:v>
                </c:pt>
                <c:pt idx="1958" formatCode="0_ ">
                  <c:v>1120</c:v>
                </c:pt>
                <c:pt idx="1959" formatCode="0_ ">
                  <c:v>1120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1095</c:v>
                </c:pt>
                <c:pt idx="1967" formatCode="0_ ">
                  <c:v>1095</c:v>
                </c:pt>
                <c:pt idx="1968" formatCode="0_ ">
                  <c:v>1075</c:v>
                </c:pt>
                <c:pt idx="1969" formatCode="0_ ">
                  <c:v>1075</c:v>
                </c:pt>
                <c:pt idx="1970" formatCode="0_ ">
                  <c:v>1075</c:v>
                </c:pt>
                <c:pt idx="1971" formatCode="0_ ">
                  <c:v>1060</c:v>
                </c:pt>
                <c:pt idx="1972" formatCode="0_ ">
                  <c:v>1060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1100</c:v>
                </c:pt>
                <c:pt idx="1976" formatCode="0_ ">
                  <c:v>1100</c:v>
                </c:pt>
                <c:pt idx="1977" formatCode="0_ ">
                  <c:v>1150</c:v>
                </c:pt>
                <c:pt idx="1978" formatCode="0_ ">
                  <c:v>1160</c:v>
                </c:pt>
                <c:pt idx="1979" formatCode="0_ ">
                  <c:v>1160</c:v>
                </c:pt>
                <c:pt idx="1980" formatCode="0_ ">
                  <c:v>1175</c:v>
                </c:pt>
                <c:pt idx="1981" formatCode="0_ ">
                  <c:v>1180</c:v>
                </c:pt>
                <c:pt idx="1982" formatCode="0_ ">
                  <c:v>1200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7" formatCode="0_ ">
                  <c:v>1195</c:v>
                </c:pt>
                <c:pt idx="1988" formatCode="0_ ">
                  <c:v>1195</c:v>
                </c:pt>
                <c:pt idx="1990" formatCode="0_ ">
                  <c:v>1195</c:v>
                </c:pt>
                <c:pt idx="1991" formatCode="0_ ">
                  <c:v>1195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1190</c:v>
                </c:pt>
                <c:pt idx="1997" formatCode="0_ ">
                  <c:v>1190</c:v>
                </c:pt>
                <c:pt idx="1998" formatCode="0_ ">
                  <c:v>1185</c:v>
                </c:pt>
                <c:pt idx="1999" formatCode="0_ ">
                  <c:v>1180</c:v>
                </c:pt>
                <c:pt idx="2000" formatCode="0_ ">
                  <c:v>1180</c:v>
                </c:pt>
                <c:pt idx="2001" formatCode="0_ ">
                  <c:v>1180</c:v>
                </c:pt>
                <c:pt idx="2002" formatCode="0_ ">
                  <c:v>1175</c:v>
                </c:pt>
                <c:pt idx="2003" formatCode="0_ ">
                  <c:v>1165</c:v>
                </c:pt>
                <c:pt idx="2004" formatCode="0_ ">
                  <c:v>1165</c:v>
                </c:pt>
                <c:pt idx="2005" formatCode="0_ ">
                  <c:v>1155</c:v>
                </c:pt>
                <c:pt idx="2006" formatCode="0_ ">
                  <c:v>1155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1100</c:v>
                </c:pt>
                <c:pt idx="2012" formatCode="0_ ">
                  <c:v>1100</c:v>
                </c:pt>
                <c:pt idx="2013" formatCode="0_ ">
                  <c:v>1090</c:v>
                </c:pt>
                <c:pt idx="2014" formatCode="0_ ">
                  <c:v>1090</c:v>
                </c:pt>
                <c:pt idx="2015" formatCode="0_ ">
                  <c:v>1085</c:v>
                </c:pt>
                <c:pt idx="2016" formatCode="0_ ">
                  <c:v>1085</c:v>
                </c:pt>
                <c:pt idx="2017" formatCode="0_ ">
                  <c:v>1085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1070</c:v>
                </c:pt>
                <c:pt idx="2022" formatCode="0_ ">
                  <c:v>1070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1060</c:v>
                </c:pt>
                <c:pt idx="2026" formatCode="0_ ">
                  <c:v>1060</c:v>
                </c:pt>
                <c:pt idx="2027" formatCode="0_ ">
                  <c:v>1055</c:v>
                </c:pt>
                <c:pt idx="2028" formatCode="0_ ">
                  <c:v>1050</c:v>
                </c:pt>
                <c:pt idx="2029" formatCode="0_ ">
                  <c:v>1050</c:v>
                </c:pt>
                <c:pt idx="2030" formatCode="0_ ">
                  <c:v>1030</c:v>
                </c:pt>
                <c:pt idx="2031" formatCode="0_ ">
                  <c:v>1030</c:v>
                </c:pt>
                <c:pt idx="2032" formatCode="0_ ">
                  <c:v>1030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995</c:v>
                </c:pt>
                <c:pt idx="2037" formatCode="0_ ">
                  <c:v>995</c:v>
                </c:pt>
                <c:pt idx="2038" formatCode="0_ ">
                  <c:v>985</c:v>
                </c:pt>
                <c:pt idx="2039" formatCode="0_ ">
                  <c:v>975</c:v>
                </c:pt>
                <c:pt idx="2040" formatCode="0_ ">
                  <c:v>980</c:v>
                </c:pt>
                <c:pt idx="2041" formatCode="0_ ">
                  <c:v>980</c:v>
                </c:pt>
                <c:pt idx="2042" formatCode="0_ ">
                  <c:v>980</c:v>
                </c:pt>
                <c:pt idx="2043" formatCode="0_ ">
                  <c:v>1000</c:v>
                </c:pt>
                <c:pt idx="2044" formatCode="0_ ">
                  <c:v>1000</c:v>
                </c:pt>
                <c:pt idx="2045" formatCode="0_ ">
                  <c:v>1000</c:v>
                </c:pt>
                <c:pt idx="2047" formatCode="0_ ">
                  <c:v>1010</c:v>
                </c:pt>
                <c:pt idx="2048" formatCode="0_ ">
                  <c:v>1040</c:v>
                </c:pt>
                <c:pt idx="2049" formatCode="0_ ">
                  <c:v>1040</c:v>
                </c:pt>
                <c:pt idx="2050" formatCode="0_ ">
                  <c:v>1040</c:v>
                </c:pt>
                <c:pt idx="2051" formatCode="0_ ">
                  <c:v>1050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1060</c:v>
                </c:pt>
                <c:pt idx="2056" formatCode="0_ ">
                  <c:v>1060</c:v>
                </c:pt>
                <c:pt idx="2057" formatCode="0_ ">
                  <c:v>1100</c:v>
                </c:pt>
                <c:pt idx="2058" formatCode="0_ ">
                  <c:v>1135</c:v>
                </c:pt>
                <c:pt idx="2059" formatCode="0_ ">
                  <c:v>1135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1145</c:v>
                </c:pt>
                <c:pt idx="2067" formatCode="0_ ">
                  <c:v>1145</c:v>
                </c:pt>
                <c:pt idx="2068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1140</c:v>
                </c:pt>
                <c:pt idx="2076" formatCode="0_ ">
                  <c:v>1140</c:v>
                </c:pt>
                <c:pt idx="2077" formatCode="0_ ">
                  <c:v>1130</c:v>
                </c:pt>
                <c:pt idx="2078" formatCode="0_ ">
                  <c:v>1130</c:v>
                </c:pt>
                <c:pt idx="2079" formatCode="0_ ">
                  <c:v>1120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1110</c:v>
                </c:pt>
                <c:pt idx="2086" formatCode="0_ ">
                  <c:v>1110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1" formatCode="0_ ">
                  <c:v>1170</c:v>
                </c:pt>
                <c:pt idx="2092" formatCode="0_ ">
                  <c:v>1170</c:v>
                </c:pt>
                <c:pt idx="2094" formatCode="0_ ">
                  <c:v>1210</c:v>
                </c:pt>
                <c:pt idx="2095" formatCode="0_ ">
                  <c:v>1210</c:v>
                </c:pt>
                <c:pt idx="2096" formatCode="0_ ">
                  <c:v>1210</c:v>
                </c:pt>
                <c:pt idx="2097" formatCode="0_ ">
                  <c:v>1240</c:v>
                </c:pt>
                <c:pt idx="2098" formatCode="0_ ">
                  <c:v>1240</c:v>
                </c:pt>
                <c:pt idx="2099" formatCode="0_ ">
                  <c:v>1240</c:v>
                </c:pt>
                <c:pt idx="2100" formatCode="0_ ">
                  <c:v>1270</c:v>
                </c:pt>
                <c:pt idx="2101" formatCode="0_ ">
                  <c:v>1285</c:v>
                </c:pt>
                <c:pt idx="2102" formatCode="0_ ">
                  <c:v>1300</c:v>
                </c:pt>
                <c:pt idx="2103" formatCode="0_ ">
                  <c:v>1300</c:v>
                </c:pt>
                <c:pt idx="2104" formatCode="0_ ">
                  <c:v>1300</c:v>
                </c:pt>
                <c:pt idx="2105" formatCode="0_ ">
                  <c:v>1310</c:v>
                </c:pt>
                <c:pt idx="2106" formatCode="0_ ">
                  <c:v>1310</c:v>
                </c:pt>
                <c:pt idx="2107" formatCode="0_ ">
                  <c:v>1375</c:v>
                </c:pt>
                <c:pt idx="2108" formatCode="0_ ">
                  <c:v>1390</c:v>
                </c:pt>
                <c:pt idx="2109" formatCode="0_ ">
                  <c:v>1385</c:v>
                </c:pt>
                <c:pt idx="2110" formatCode="0_ ">
                  <c:v>1385</c:v>
                </c:pt>
                <c:pt idx="2111" formatCode="0_ ">
                  <c:v>1385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1375</c:v>
                </c:pt>
                <c:pt idx="2116" formatCode="0_ ">
                  <c:v>1375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1315</c:v>
                </c:pt>
                <c:pt idx="2120" formatCode="0_ ">
                  <c:v>1315</c:v>
                </c:pt>
                <c:pt idx="2121" formatCode="0_ ">
                  <c:v>1230</c:v>
                </c:pt>
                <c:pt idx="2122" formatCode="0_ ">
                  <c:v>1220</c:v>
                </c:pt>
                <c:pt idx="2123" formatCode="0_ ">
                  <c:v>1210</c:v>
                </c:pt>
                <c:pt idx="2124" formatCode="0_ ">
                  <c:v>1210</c:v>
                </c:pt>
                <c:pt idx="2125" formatCode="0_ ">
                  <c:v>1210</c:v>
                </c:pt>
                <c:pt idx="2126" formatCode="0_ ">
                  <c:v>1165</c:v>
                </c:pt>
                <c:pt idx="2127" formatCode="0_ ">
                  <c:v>1155</c:v>
                </c:pt>
                <c:pt idx="2128" formatCode="0_ ">
                  <c:v>1150</c:v>
                </c:pt>
                <c:pt idx="2129" formatCode="0_ ">
                  <c:v>1150</c:v>
                </c:pt>
                <c:pt idx="2130" formatCode="0_ ">
                  <c:v>1146.5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1140</c:v>
                </c:pt>
                <c:pt idx="2140" formatCode="0_ ">
                  <c:v>1140</c:v>
                </c:pt>
                <c:pt idx="2141" formatCode="0_ ">
                  <c:v>1150</c:v>
                </c:pt>
                <c:pt idx="2142" formatCode="0_ ">
                  <c:v>1165</c:v>
                </c:pt>
                <c:pt idx="2143" formatCode="0_ ">
                  <c:v>1165</c:v>
                </c:pt>
                <c:pt idx="2144" formatCode="0_ ">
                  <c:v>1170</c:v>
                </c:pt>
                <c:pt idx="2145" formatCode="0_ ">
                  <c:v>1170</c:v>
                </c:pt>
                <c:pt idx="2146" formatCode="0_ ">
                  <c:v>1170</c:v>
                </c:pt>
                <c:pt idx="2147" formatCode="0_ ">
                  <c:v>1180</c:v>
                </c:pt>
                <c:pt idx="2148" formatCode="0_ ">
                  <c:v>1200</c:v>
                </c:pt>
                <c:pt idx="2149" formatCode="0_ ">
                  <c:v>1200</c:v>
                </c:pt>
                <c:pt idx="2150" formatCode="0_ 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1205</c:v>
                </c:pt>
                <c:pt idx="2155">
                  <c:v>1205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1210</c:v>
                </c:pt>
                <c:pt idx="2160">
                  <c:v>1210</c:v>
                </c:pt>
                <c:pt idx="2161">
                  <c:v>1200</c:v>
                </c:pt>
                <c:pt idx="2162">
                  <c:v>1200</c:v>
                </c:pt>
                <c:pt idx="2164">
                  <c:v>1190</c:v>
                </c:pt>
                <c:pt idx="2165">
                  <c:v>1190</c:v>
                </c:pt>
                <c:pt idx="2166">
                  <c:v>1190</c:v>
                </c:pt>
                <c:pt idx="2167">
                  <c:v>1130</c:v>
                </c:pt>
                <c:pt idx="2168">
                  <c:v>1100</c:v>
                </c:pt>
                <c:pt idx="2169">
                  <c:v>1100</c:v>
                </c:pt>
                <c:pt idx="2170">
                  <c:v>1100</c:v>
                </c:pt>
                <c:pt idx="2171">
                  <c:v>1100</c:v>
                </c:pt>
                <c:pt idx="2172">
                  <c:v>1060</c:v>
                </c:pt>
                <c:pt idx="2173">
                  <c:v>1060</c:v>
                </c:pt>
                <c:pt idx="2174">
                  <c:v>1040</c:v>
                </c:pt>
                <c:pt idx="2175">
                  <c:v>1030</c:v>
                </c:pt>
                <c:pt idx="2176">
                  <c:v>1030</c:v>
                </c:pt>
                <c:pt idx="2177">
                  <c:v>1030</c:v>
                </c:pt>
                <c:pt idx="2178">
                  <c:v>1030</c:v>
                </c:pt>
                <c:pt idx="2179">
                  <c:v>1010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965</c:v>
                </c:pt>
                <c:pt idx="2184">
                  <c:v>965</c:v>
                </c:pt>
                <c:pt idx="2185">
                  <c:v>940</c:v>
                </c:pt>
                <c:pt idx="2186">
                  <c:v>940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951</c:v>
                </c:pt>
                <c:pt idx="2192">
                  <c:v>951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960</c:v>
                </c:pt>
                <c:pt idx="2199">
                  <c:v>960</c:v>
                </c:pt>
                <c:pt idx="2200">
                  <c:v>930</c:v>
                </c:pt>
                <c:pt idx="2201">
                  <c:v>930</c:v>
                </c:pt>
                <c:pt idx="2202">
                  <c:v>930</c:v>
                </c:pt>
                <c:pt idx="2203">
                  <c:v>930</c:v>
                </c:pt>
                <c:pt idx="2204">
                  <c:v>941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945</c:v>
                </c:pt>
                <c:pt idx="2209">
                  <c:v>945</c:v>
                </c:pt>
                <c:pt idx="2210">
                  <c:v>955</c:v>
                </c:pt>
                <c:pt idx="2211">
                  <c:v>955</c:v>
                </c:pt>
                <c:pt idx="2212">
                  <c:v>970</c:v>
                </c:pt>
                <c:pt idx="2213">
                  <c:v>970</c:v>
                </c:pt>
                <c:pt idx="2214">
                  <c:v>970</c:v>
                </c:pt>
                <c:pt idx="2215">
                  <c:v>970</c:v>
                </c:pt>
                <c:pt idx="2216">
                  <c:v>981</c:v>
                </c:pt>
                <c:pt idx="2217">
                  <c:v>985</c:v>
                </c:pt>
                <c:pt idx="2218">
                  <c:v>985</c:v>
                </c:pt>
                <c:pt idx="2219">
                  <c:v>990</c:v>
                </c:pt>
                <c:pt idx="2220">
                  <c:v>990</c:v>
                </c:pt>
                <c:pt idx="2221">
                  <c:v>990</c:v>
                </c:pt>
                <c:pt idx="2222">
                  <c:v>1020</c:v>
                </c:pt>
                <c:pt idx="2223">
                  <c:v>1050</c:v>
                </c:pt>
                <c:pt idx="2224">
                  <c:v>1080</c:v>
                </c:pt>
                <c:pt idx="2225">
                  <c:v>1090</c:v>
                </c:pt>
                <c:pt idx="2226">
                  <c:v>1090</c:v>
                </c:pt>
                <c:pt idx="2227">
                  <c:v>1105</c:v>
                </c:pt>
                <c:pt idx="2229">
                  <c:v>1115</c:v>
                </c:pt>
                <c:pt idx="2230">
                  <c:v>1200</c:v>
                </c:pt>
                <c:pt idx="2231">
                  <c:v>1200</c:v>
                </c:pt>
                <c:pt idx="2232">
                  <c:v>1200</c:v>
                </c:pt>
                <c:pt idx="2233">
                  <c:v>1250</c:v>
                </c:pt>
                <c:pt idx="2234">
                  <c:v>1250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1265</c:v>
                </c:pt>
                <c:pt idx="2239">
                  <c:v>1265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1280</c:v>
                </c:pt>
                <c:pt idx="2244">
                  <c:v>1280</c:v>
                </c:pt>
                <c:pt idx="2245">
                  <c:v>0</c:v>
                </c:pt>
                <c:pt idx="2246">
                  <c:v>1280</c:v>
                </c:pt>
                <c:pt idx="2247">
                  <c:v>1280</c:v>
                </c:pt>
                <c:pt idx="2248">
                  <c:v>1280</c:v>
                </c:pt>
                <c:pt idx="2249">
                  <c:v>1280</c:v>
                </c:pt>
                <c:pt idx="2250">
                  <c:v>1290</c:v>
                </c:pt>
                <c:pt idx="2251">
                  <c:v>1305</c:v>
                </c:pt>
                <c:pt idx="2252">
                  <c:v>1315</c:v>
                </c:pt>
                <c:pt idx="2253">
                  <c:v>1315</c:v>
                </c:pt>
                <c:pt idx="2254">
                  <c:v>1315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1320</c:v>
                </c:pt>
                <c:pt idx="2259">
                  <c:v>1320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1350</c:v>
                </c:pt>
                <c:pt idx="2264">
                  <c:v>1350</c:v>
                </c:pt>
                <c:pt idx="2265">
                  <c:v>1325</c:v>
                </c:pt>
                <c:pt idx="2266">
                  <c:v>1325</c:v>
                </c:pt>
                <c:pt idx="2267">
                  <c:v>1300</c:v>
                </c:pt>
                <c:pt idx="2268">
                  <c:v>1300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6">
                  <c:v>1295</c:v>
                </c:pt>
                <c:pt idx="2277">
                  <c:v>1295</c:v>
                </c:pt>
                <c:pt idx="2279">
                  <c:v>1295</c:v>
                </c:pt>
                <c:pt idx="2280">
                  <c:v>1280</c:v>
                </c:pt>
                <c:pt idx="2281">
                  <c:v>1280</c:v>
                </c:pt>
                <c:pt idx="2282">
                  <c:v>1275</c:v>
                </c:pt>
                <c:pt idx="2283">
                  <c:v>1275</c:v>
                </c:pt>
                <c:pt idx="2284">
                  <c:v>1245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1240</c:v>
                </c:pt>
                <c:pt idx="2289">
                  <c:v>1240</c:v>
                </c:pt>
                <c:pt idx="2290">
                  <c:v>1250</c:v>
                </c:pt>
                <c:pt idx="2291">
                  <c:v>1250</c:v>
                </c:pt>
                <c:pt idx="2292">
                  <c:v>1260</c:v>
                </c:pt>
                <c:pt idx="2293">
                  <c:v>1290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1300</c:v>
                </c:pt>
                <c:pt idx="2299">
                  <c:v>1300</c:v>
                </c:pt>
                <c:pt idx="2300">
                  <c:v>1295</c:v>
                </c:pt>
                <c:pt idx="2301">
                  <c:v>1295</c:v>
                </c:pt>
                <c:pt idx="2302">
                  <c:v>1295</c:v>
                </c:pt>
                <c:pt idx="2303">
                  <c:v>1295</c:v>
                </c:pt>
                <c:pt idx="2304">
                  <c:v>1300</c:v>
                </c:pt>
                <c:pt idx="2305">
                  <c:v>1300</c:v>
                </c:pt>
                <c:pt idx="2306">
                  <c:v>1301</c:v>
                </c:pt>
                <c:pt idx="2307">
                  <c:v>1300</c:v>
                </c:pt>
                <c:pt idx="2308">
                  <c:v>1300</c:v>
                </c:pt>
                <c:pt idx="2309">
                  <c:v>1301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每日外盘1'!$A$7:$A$2325</c:f>
              <c:numCache>
                <c:formatCode>yy/mm/dd</c:formatCode>
                <c:ptCount val="2315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</c:numCache>
            </c:numRef>
          </c:cat>
          <c:val>
            <c:numRef>
              <c:f>'乙烯单体价格表  每日外盘1'!$E$7:$E$2325</c:f>
              <c:numCache>
                <c:formatCode>General</c:formatCode>
                <c:ptCount val="2315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每日外盘1'!$A$7:$A$2325</c:f>
              <c:numCache>
                <c:formatCode>yy/mm/dd</c:formatCode>
                <c:ptCount val="2315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</c:numCache>
            </c:numRef>
          </c:cat>
          <c:val>
            <c:numRef>
              <c:f>'乙烯单体价格表  每日外盘1'!$F$7:$F$2325</c:f>
              <c:numCache>
                <c:formatCode>General</c:formatCode>
                <c:ptCount val="2315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</c:numCache>
            </c:numRef>
          </c:val>
        </c:ser>
        <c:marker val="1"/>
        <c:axId val="228126080"/>
        <c:axId val="228590720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每日外盘1'!$A$7:$A$2288</c15:sqref>
                        </c15:formulaRef>
                      </c:ext>
                    </c:extLst>
                    <c:numCache>
                      <c:formatCode>yy/mm/dd</c:formatCode>
                      <c:ptCount val="2278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21976.5</c:v>
                      </c:pt>
                      <c:pt idx="1228" c:formatCode="0_ ">
                        <c:v>21976.5</c:v>
                      </c:pt>
                      <c:pt idx="1229" c:formatCode="0_ ">
                        <c:v>21976.5</c:v>
                      </c:pt>
                      <c:pt idx="1230" c:formatCode="0_ ">
                        <c:v>21976.5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28126080"/>
        <c:scaling>
          <c:orientation val="minMax"/>
          <c:max val="43077"/>
          <c:min val="42377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8590720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28590720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8126080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2917"/>
          <c:w val="0.49649214900769684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24277365670007"/>
          <c:y val="3.66868447802410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46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'!$A$6:$A$562</c:f>
              <c:numCache>
                <c:formatCode>yy/mm/dd</c:formatCode>
                <c:ptCount val="557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</c:numCache>
            </c:numRef>
          </c:cat>
          <c:val>
            <c:numRef>
              <c:f>'国际EDC市场价格   周五 每周五中间体 '!$B$6:$B$562</c:f>
              <c:numCache>
                <c:formatCode>0_ </c:formatCode>
                <c:ptCount val="557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190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'!$A$6:$A$554</c:f>
              <c:numCache>
                <c:formatCode>yy/mm/dd</c:formatCode>
                <c:ptCount val="54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'!$A$6:$A$562</c:f>
              <c:numCache>
                <c:formatCode>yy/mm/dd</c:formatCode>
                <c:ptCount val="557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</c:numCache>
            </c:numRef>
          </c:cat>
          <c:val>
            <c:numRef>
              <c:f>'国际EDC市场价格   周五 每周五中间体 '!$D$6:$D$562</c:f>
              <c:numCache>
                <c:formatCode>0_ </c:formatCode>
                <c:ptCount val="557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'!$A$6:$A$562</c:f>
              <c:numCache>
                <c:formatCode>yy/mm/dd</c:formatCode>
                <c:ptCount val="557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</c:numCache>
            </c:numRef>
          </c:cat>
          <c:val>
            <c:numRef>
              <c:f>'国际EDC市场价格   周五 每周五中间体 '!$E$6:$E$562</c:f>
              <c:numCache>
                <c:formatCode>0_ </c:formatCode>
                <c:ptCount val="557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</c:numCache>
            </c:numRef>
          </c:val>
        </c:ser>
        <c:marker val="1"/>
        <c:axId val="229981184"/>
        <c:axId val="230003456"/>
      </c:lineChart>
      <c:dateAx>
        <c:axId val="229981184"/>
        <c:scaling>
          <c:orientation val="minMax"/>
          <c:max val="43077"/>
          <c:min val="42377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0003456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30003456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9981184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3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87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周五中间体'!$A$7:$A$561</c:f>
              <c:numCache>
                <c:formatCode>yy/mm/dd</c:formatCode>
                <c:ptCount val="555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</c:numCache>
            </c:numRef>
          </c:cat>
          <c:val>
            <c:numRef>
              <c:f>'国际VCM市场价格  周五中间体'!$B$7:$B$561</c:f>
              <c:numCache>
                <c:formatCode>0_ </c:formatCode>
                <c:ptCount val="555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 formatCode="General">
                  <c:v>699</c:v>
                </c:pt>
                <c:pt idx="525" formatCode="General">
                  <c:v>699</c:v>
                </c:pt>
                <c:pt idx="526" formatCode="General">
                  <c:v>665</c:v>
                </c:pt>
                <c:pt idx="527" formatCode="General">
                  <c:v>670</c:v>
                </c:pt>
                <c:pt idx="528" formatCode="General">
                  <c:v>670</c:v>
                </c:pt>
                <c:pt idx="529" formatCode="General">
                  <c:v>650</c:v>
                </c:pt>
                <c:pt idx="530" formatCode="General">
                  <c:v>650</c:v>
                </c:pt>
                <c:pt idx="531" formatCode="General">
                  <c:v>645</c:v>
                </c:pt>
                <c:pt idx="532" formatCode="General">
                  <c:v>620</c:v>
                </c:pt>
                <c:pt idx="533" formatCode="General">
                  <c:v>600</c:v>
                </c:pt>
                <c:pt idx="534" formatCode="General">
                  <c:v>600</c:v>
                </c:pt>
                <c:pt idx="535" formatCode="General">
                  <c:v>600</c:v>
                </c:pt>
                <c:pt idx="536" formatCode="General">
                  <c:v>610</c:v>
                </c:pt>
                <c:pt idx="537" formatCode="General">
                  <c:v>645</c:v>
                </c:pt>
                <c:pt idx="538" formatCode="General">
                  <c:v>660</c:v>
                </c:pt>
                <c:pt idx="539" formatCode="General">
                  <c:v>660</c:v>
                </c:pt>
                <c:pt idx="540" formatCode="General">
                  <c:v>665</c:v>
                </c:pt>
                <c:pt idx="541" formatCode="General">
                  <c:v>705</c:v>
                </c:pt>
                <c:pt idx="542" formatCode="General">
                  <c:v>725</c:v>
                </c:pt>
                <c:pt idx="543" formatCode="General">
                  <c:v>730</c:v>
                </c:pt>
                <c:pt idx="544" formatCode="General">
                  <c:v>730</c:v>
                </c:pt>
                <c:pt idx="545" formatCode="General">
                  <c:v>760</c:v>
                </c:pt>
                <c:pt idx="546" formatCode="General">
                  <c:v>750</c:v>
                </c:pt>
                <c:pt idx="547" formatCode="General">
                  <c:v>740</c:v>
                </c:pt>
                <c:pt idx="548" formatCode="General">
                  <c:v>740</c:v>
                </c:pt>
                <c:pt idx="549" formatCode="General">
                  <c:v>720</c:v>
                </c:pt>
                <c:pt idx="550" formatCode="General">
                  <c:v>719</c:v>
                </c:pt>
                <c:pt idx="551" formatCode="General">
                  <c:v>710</c:v>
                </c:pt>
                <c:pt idx="552" formatCode="General">
                  <c:v>710</c:v>
                </c:pt>
                <c:pt idx="553" formatCode="General">
                  <c:v>695</c:v>
                </c:pt>
                <c:pt idx="554" formatCode="General">
                  <c:v>690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周五中间体'!$A$7:$A$555</c:f>
              <c:numCache>
                <c:formatCode>yy/mm/dd</c:formatCode>
                <c:ptCount val="549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周五中间体'!$A$7:$A$561</c:f>
              <c:numCache>
                <c:formatCode>yy/mm/dd</c:formatCode>
                <c:ptCount val="555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</c:numCache>
            </c:numRef>
          </c:cat>
          <c:val>
            <c:numRef>
              <c:f>'国际VCM市场价格  周五中间体'!$D$7:$D$561</c:f>
              <c:numCache>
                <c:formatCode>0_ </c:formatCode>
                <c:ptCount val="555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 formatCode="General">
                  <c:v>675</c:v>
                </c:pt>
                <c:pt idx="525" formatCode="General">
                  <c:v>675</c:v>
                </c:pt>
                <c:pt idx="526" formatCode="General">
                  <c:v>675</c:v>
                </c:pt>
                <c:pt idx="527" formatCode="General">
                  <c:v>685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685</c:v>
                </c:pt>
                <c:pt idx="532" formatCode="General">
                  <c:v>685</c:v>
                </c:pt>
                <c:pt idx="533" formatCode="General">
                  <c:v>635</c:v>
                </c:pt>
                <c:pt idx="534" formatCode="General">
                  <c:v>635</c:v>
                </c:pt>
                <c:pt idx="535" formatCode="General">
                  <c:v>585</c:v>
                </c:pt>
                <c:pt idx="536" formatCode="General">
                  <c:v>585</c:v>
                </c:pt>
                <c:pt idx="537" formatCode="General">
                  <c:v>580</c:v>
                </c:pt>
                <c:pt idx="538" formatCode="General">
                  <c:v>580</c:v>
                </c:pt>
                <c:pt idx="539" formatCode="General">
                  <c:v>580</c:v>
                </c:pt>
                <c:pt idx="540" formatCode="General">
                  <c:v>580</c:v>
                </c:pt>
                <c:pt idx="541" formatCode="General">
                  <c:v>605</c:v>
                </c:pt>
                <c:pt idx="542" formatCode="General">
                  <c:v>605</c:v>
                </c:pt>
                <c:pt idx="543" formatCode="General">
                  <c:v>605</c:v>
                </c:pt>
                <c:pt idx="544" formatCode="General">
                  <c:v>605</c:v>
                </c:pt>
                <c:pt idx="545" formatCode="General">
                  <c:v>605</c:v>
                </c:pt>
                <c:pt idx="546" formatCode="General">
                  <c:v>605</c:v>
                </c:pt>
                <c:pt idx="547" formatCode="General">
                  <c:v>605</c:v>
                </c:pt>
                <c:pt idx="548" formatCode="General">
                  <c:v>605</c:v>
                </c:pt>
                <c:pt idx="549" formatCode="General">
                  <c:v>570</c:v>
                </c:pt>
                <c:pt idx="550" formatCode="General">
                  <c:v>570</c:v>
                </c:pt>
                <c:pt idx="551" formatCode="General">
                  <c:v>570</c:v>
                </c:pt>
                <c:pt idx="552" formatCode="General">
                  <c:v>545</c:v>
                </c:pt>
                <c:pt idx="553" formatCode="General">
                  <c:v>545</c:v>
                </c:pt>
                <c:pt idx="554" formatCode="General">
                  <c:v>545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周五中间体'!$A$7:$A$561</c:f>
              <c:numCache>
                <c:formatCode>yy/mm/dd</c:formatCode>
                <c:ptCount val="555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</c:numCache>
            </c:numRef>
          </c:cat>
          <c:val>
            <c:numRef>
              <c:f>'国际VCM市场价格  周五中间体'!$E$7:$E$561</c:f>
              <c:numCache>
                <c:formatCode>0_ </c:formatCode>
                <c:ptCount val="555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 formatCode="General">
                  <c:v>675</c:v>
                </c:pt>
                <c:pt idx="525" formatCode="General">
                  <c:v>670</c:v>
                </c:pt>
                <c:pt idx="526" formatCode="General">
                  <c:v>675</c:v>
                </c:pt>
                <c:pt idx="527" formatCode="General">
                  <c:v>675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680</c:v>
                </c:pt>
                <c:pt idx="532" formatCode="General">
                  <c:v>685</c:v>
                </c:pt>
                <c:pt idx="533" formatCode="General">
                  <c:v>685</c:v>
                </c:pt>
                <c:pt idx="534" formatCode="General">
                  <c:v>680</c:v>
                </c:pt>
                <c:pt idx="535" formatCode="General">
                  <c:v>680</c:v>
                </c:pt>
                <c:pt idx="536" formatCode="General">
                  <c:v>695</c:v>
                </c:pt>
                <c:pt idx="537" formatCode="General">
                  <c:v>690</c:v>
                </c:pt>
                <c:pt idx="538" formatCode="General">
                  <c:v>690</c:v>
                </c:pt>
                <c:pt idx="539" formatCode="General">
                  <c:v>690</c:v>
                </c:pt>
                <c:pt idx="540" formatCode="General">
                  <c:v>690</c:v>
                </c:pt>
                <c:pt idx="541" formatCode="General">
                  <c:v>720</c:v>
                </c:pt>
                <c:pt idx="542" formatCode="General">
                  <c:v>725</c:v>
                </c:pt>
                <c:pt idx="543" formatCode="General">
                  <c:v>750</c:v>
                </c:pt>
                <c:pt idx="544" formatCode="General">
                  <c:v>765</c:v>
                </c:pt>
                <c:pt idx="545" formatCode="General">
                  <c:v>765</c:v>
                </c:pt>
                <c:pt idx="546" formatCode="General">
                  <c:v>765</c:v>
                </c:pt>
                <c:pt idx="547" formatCode="General">
                  <c:v>765</c:v>
                </c:pt>
                <c:pt idx="548" formatCode="General">
                  <c:v>705</c:v>
                </c:pt>
                <c:pt idx="549" formatCode="General">
                  <c:v>670</c:v>
                </c:pt>
                <c:pt idx="550" formatCode="General">
                  <c:v>670</c:v>
                </c:pt>
                <c:pt idx="551" formatCode="General">
                  <c:v>655</c:v>
                </c:pt>
                <c:pt idx="552" formatCode="General">
                  <c:v>655</c:v>
                </c:pt>
                <c:pt idx="553" formatCode="General">
                  <c:v>650</c:v>
                </c:pt>
                <c:pt idx="554" formatCode="General">
                  <c:v>650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周五中间体'!$A$7:$A$555</c:f>
              <c:numCache>
                <c:formatCode>yy/mm/dd</c:formatCode>
                <c:ptCount val="549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</c:numCache>
            </c:numRef>
          </c:val>
        </c:ser>
        <c:marker val="1"/>
        <c:axId val="230456704"/>
        <c:axId val="235607168"/>
      </c:lineChart>
      <c:dateAx>
        <c:axId val="230456704"/>
        <c:scaling>
          <c:orientation val="minMax"/>
          <c:max val="43077"/>
          <c:min val="42377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5607168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35607168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0456704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9183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DE8854-CE21-4ACD-98B4-4B314A7B8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16</Pages>
  <Words>778</Words>
  <Characters>4435</Characters>
  <Application>Microsoft Office Word</Application>
  <DocSecurity>0</DocSecurity>
  <Lines>36</Lines>
  <Paragraphs>10</Paragraphs>
  <ScaleCrop>false</ScaleCrop>
  <Company>china</Company>
  <LinksUpToDate>false</LinksUpToDate>
  <CharactersWithSpaces>5203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16</cp:revision>
  <dcterms:created xsi:type="dcterms:W3CDTF">2017-12-08T06:14:00Z</dcterms:created>
  <dcterms:modified xsi:type="dcterms:W3CDTF">2017-12-08T08:01:00Z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