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B74" w:rsidRDefault="005866D5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B74" w:rsidRDefault="009851BE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5866D5" w:rsidRDefault="005866D5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5866D5" w:rsidRDefault="005866D5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02324691"/>
                  <w:r>
                    <w:rPr>
                      <w:rFonts w:hint="eastAsia"/>
                      <w:kern w:val="2"/>
                    </w:rPr>
                    <w:t>2017.12.</w:t>
                  </w:r>
                  <w:bookmarkEnd w:id="0"/>
                  <w:bookmarkEnd w:id="1"/>
                  <w:r w:rsidR="003F4A5A">
                    <w:rPr>
                      <w:rFonts w:hint="eastAsia"/>
                      <w:kern w:val="2"/>
                    </w:rPr>
                    <w:t>2</w:t>
                  </w:r>
                  <w:r w:rsidR="00CE6635">
                    <w:rPr>
                      <w:rFonts w:hint="eastAsia"/>
                      <w:kern w:val="2"/>
                    </w:rPr>
                    <w:t>9</w:t>
                  </w:r>
                  <w:bookmarkEnd w:id="2"/>
                </w:p>
                <w:p w:rsidR="005866D5" w:rsidRDefault="005866D5"/>
              </w:txbxContent>
            </v:textbox>
          </v:shape>
        </w:pict>
      </w:r>
      <w:r w:rsidR="005866D5">
        <w:br w:type="page"/>
      </w:r>
    </w:p>
    <w:p w:rsidR="007D7B74" w:rsidRPr="00327218" w:rsidRDefault="009851BE" w:rsidP="0032721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9851BE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5866D5" w:rsidRDefault="005866D5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072A96" w:rsidRDefault="009851BE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9851BE">
                        <w:fldChar w:fldCharType="begin"/>
                      </w:r>
                      <w:r w:rsidR="005866D5">
                        <w:instrText xml:space="preserve"> TOC \o "1-3" \h \z \u </w:instrText>
                      </w:r>
                      <w:r w:rsidRPr="009851BE">
                        <w:fldChar w:fldCharType="separate"/>
                      </w:r>
                      <w:hyperlink r:id="rId10" w:anchor="_Toc502324691" w:history="1">
                        <w:r w:rsidR="00072A96" w:rsidRPr="009561D7">
                          <w:rPr>
                            <w:rStyle w:val="a8"/>
                            <w:noProof/>
                          </w:rPr>
                          <w:t>2017.12.29</w:t>
                        </w:r>
                        <w:r w:rsidR="00072A96">
                          <w:rPr>
                            <w:noProof/>
                            <w:webHidden/>
                          </w:rPr>
                          <w:tab/>
                        </w:r>
                        <w:r w:rsidR="00072A96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72A96">
                          <w:rPr>
                            <w:noProof/>
                            <w:webHidden/>
                          </w:rPr>
                          <w:instrText xml:space="preserve"> PAGEREF _Toc502324691 \h </w:instrText>
                        </w:r>
                        <w:r w:rsidR="00072A96">
                          <w:rPr>
                            <w:noProof/>
                            <w:webHidden/>
                          </w:rPr>
                        </w:r>
                        <w:r w:rsidR="00072A96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72A96">
                          <w:rPr>
                            <w:noProof/>
                            <w:webHidden/>
                          </w:rPr>
                          <w:t>1</w:t>
                        </w:r>
                        <w:r w:rsidR="00072A96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692" w:history="1">
                        <w:r w:rsidRPr="009561D7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_Toc502324692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693" w:history="1"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>2.2</w:t>
                        </w:r>
                        <w:r w:rsidRPr="009561D7">
                          <w:rPr>
                            <w:rStyle w:val="a8"/>
                            <w:rFonts w:cs="宋体" w:hint="eastAsia"/>
                            <w:noProof/>
                          </w:rPr>
                          <w:t>大商所</w:t>
                        </w:r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9561D7">
                          <w:rPr>
                            <w:rStyle w:val="a8"/>
                            <w:rFonts w:cs="宋体" w:hint="eastAsia"/>
                            <w:noProof/>
                          </w:rPr>
                          <w:t>期货价格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_Toc502324693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694" w:history="1">
                        <w:r w:rsidRPr="009561D7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9561D7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9561D7">
                          <w:rPr>
                            <w:rStyle w:val="a8"/>
                            <w:noProof/>
                          </w:rPr>
                          <w:t>PVC</w:t>
                        </w:r>
                        <w:r w:rsidRPr="009561D7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_Toc502324694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695" w:history="1"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9561D7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9561D7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_Toc502324695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696" w:history="1"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9561D7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9561D7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_Toc502324696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697" w:history="1">
                        <w:r w:rsidRPr="009561D7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_Toc502324697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698" w:history="1"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9561D7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_Toc502324698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699" w:history="1"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9561D7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_Toc502324699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700" w:history="1"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_Toc502324700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701" w:history="1"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_Toc502324701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702" w:history="1">
                        <w:r w:rsidRPr="009561D7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9561D7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_Toc502324702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72A96" w:rsidRDefault="00072A96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324703" w:history="1">
                        <w:r w:rsidRPr="009561D7">
                          <w:rPr>
                            <w:rStyle w:val="a8"/>
                            <w:rFonts w:ascii="Wingdings" w:hAnsi="Wingdings" w:cs="宋体"/>
                            <w:noProof/>
                          </w:rPr>
                          <w:t></w:t>
                        </w:r>
                        <w:r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noProof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 w:rsidRPr="009561D7">
                          <w:rPr>
                            <w:rStyle w:val="a8"/>
                            <w:rFonts w:hint="eastAsia"/>
                            <w:noProof/>
                          </w:rPr>
                          <w:t>专题：宏观统计数据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_Toc502324703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866D5" w:rsidRDefault="009851BE">
                      <w:r>
                        <w:fldChar w:fldCharType="end"/>
                      </w:r>
                    </w:p>
                  </w:sdtContent>
                </w:sdt>
                <w:p w:rsidR="005866D5" w:rsidRDefault="005866D5"/>
              </w:txbxContent>
            </v:textbox>
          </v:shape>
        </w:pict>
      </w:r>
      <w:r w:rsidR="005866D5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02312498"/>
      <w:bookmarkStart w:id="14" w:name="_Toc502324692"/>
      <w:bookmarkEnd w:id="3"/>
      <w:r w:rsidR="005866D5">
        <w:rPr>
          <w:rFonts w:hint="eastAsia"/>
          <w:sz w:val="30"/>
          <w:szCs w:val="30"/>
        </w:rPr>
        <w:lastRenderedPageBreak/>
        <w:t>一．中国国内电石市场</w:t>
      </w:r>
      <w:bookmarkStart w:id="15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3F4A5A" w:rsidRPr="0018339A" w:rsidRDefault="005866D5" w:rsidP="0018339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18339A" w:rsidRPr="0018339A">
        <w:rPr>
          <w:rFonts w:ascii="仿宋" w:eastAsia="仿宋" w:hAnsi="仿宋" w:cs="仿宋"/>
          <w:sz w:val="28"/>
          <w:szCs w:val="28"/>
        </w:rPr>
        <w:t>中国电石市场整体成交价格维稳，个别企业灵活调整。本周陕西金泰因到货车辆较多，为缓解压车现象小幅下调。而山东济宁地区到货车辆有所减少，上调 30 元/吨吸引货源。其他主流消费地到货依旧充裕，但待卸车量相对前期有所减少，由于环保影响，宁夏地区电石企业错峰生产，乌盟地区限电，但对电石产量未见明显影响，现阶段仍是供大于求，因此下游企业对电石采购价格持谨慎态度。电石市场价格上行乏力，丅行空间仍存，但有限。</w:t>
      </w:r>
    </w:p>
    <w:p w:rsidR="007D7B74" w:rsidRPr="003F4A5A" w:rsidRDefault="005866D5" w:rsidP="003F4A5A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6A1C4E" w:rsidRPr="006A1C4E">
        <w:rPr>
          <w:rFonts w:ascii="仿宋" w:eastAsia="仿宋" w:hAnsi="仿宋" w:cs="仿宋" w:hint="eastAsia"/>
          <w:sz w:val="28"/>
          <w:szCs w:val="28"/>
        </w:rPr>
        <w:t>宁夏地区电石市场行情平稳，价格维持在前期水平。据了解，节能减排对电石产量的影响不及预期，当地及周边氯碱企业电石到货量稳定，电石价格炒涨气氛消散，市场成交重心略显僵持。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5B32F2" w:rsidRPr="005B32F2">
        <w:rPr>
          <w:rFonts w:ascii="仿宋" w:eastAsia="仿宋" w:hAnsi="仿宋" w:cs="仿宋"/>
          <w:sz w:val="28"/>
          <w:szCs w:val="28"/>
        </w:rPr>
        <w:t xml:space="preserve">2850-2950 </w:t>
      </w:r>
      <w:r w:rsidR="0003481E" w:rsidRPr="0003481E">
        <w:rPr>
          <w:rFonts w:ascii="仿宋" w:eastAsia="仿宋" w:hAnsi="仿宋" w:cs="仿宋"/>
          <w:sz w:val="28"/>
          <w:szCs w:val="28"/>
        </w:rPr>
        <w:t>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陕西地区：</w:t>
      </w:r>
      <w:r w:rsidR="006A1C4E" w:rsidRPr="006A1C4E">
        <w:rPr>
          <w:rFonts w:ascii="仿宋" w:eastAsia="仿宋" w:hAnsi="仿宋" w:cs="仿宋" w:hint="eastAsia"/>
          <w:sz w:val="28"/>
          <w:szCs w:val="28"/>
        </w:rPr>
        <w:t>陕西地区电石市场暂且维稳，价格水平未见进一步调整。据了解，当前该地区电石供应趋紧局面已有一定缓解，整体供需关系暂且表现平衡。近期，国内电石法PVC价格略有提升，但受到烧碱价格下跌的影响，氯碱整体盈利空间被压缩，其对原料采购价格的压力不减。</w:t>
      </w:r>
      <w:r>
        <w:rPr>
          <w:rFonts w:ascii="仿宋" w:eastAsia="仿宋" w:hAnsi="仿宋" w:cs="仿宋" w:hint="eastAsia"/>
          <w:sz w:val="28"/>
          <w:szCs w:val="28"/>
        </w:rPr>
        <w:t>现神木地区一级品电石主流出厂价格在</w:t>
      </w:r>
      <w:r w:rsidR="0003481E" w:rsidRPr="0003481E">
        <w:rPr>
          <w:rFonts w:ascii="仿宋" w:eastAsia="仿宋" w:hAnsi="仿宋" w:cs="仿宋"/>
          <w:sz w:val="28"/>
          <w:szCs w:val="28"/>
        </w:rPr>
        <w:t>2800-2900 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6A1C4E" w:rsidRPr="006A1C4E">
        <w:rPr>
          <w:rFonts w:ascii="仿宋" w:eastAsia="仿宋" w:hAnsi="仿宋" w:cs="仿宋" w:hint="eastAsia"/>
          <w:sz w:val="28"/>
          <w:szCs w:val="28"/>
        </w:rPr>
        <w:t>乌盟地区电石市场僵持维稳，成交维持前期水平。据了解，当地PVC行情小幅上行，但电石到货充足，因此对电石的压价心理有增无减。加之周边地区电石行情萎靡不振，受种种利空因素影响，当地电石市场短期内亦难言向好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5B32F2" w:rsidRPr="005B32F2">
        <w:rPr>
          <w:rFonts w:ascii="仿宋" w:eastAsia="仿宋" w:hAnsi="仿宋" w:cs="仿宋"/>
          <w:sz w:val="28"/>
          <w:szCs w:val="28"/>
        </w:rPr>
        <w:t>2950-3000</w:t>
      </w:r>
      <w:r w:rsidR="0003481E" w:rsidRPr="0003481E">
        <w:rPr>
          <w:rFonts w:ascii="仿宋" w:eastAsia="仿宋" w:hAnsi="仿宋" w:cs="仿宋"/>
          <w:sz w:val="28"/>
          <w:szCs w:val="28"/>
        </w:rPr>
        <w:t xml:space="preserve"> 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3F4A5A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河北地区：</w:t>
      </w:r>
      <w:r w:rsidR="006A1C4E" w:rsidRPr="006A1C4E">
        <w:rPr>
          <w:rFonts w:ascii="仿宋" w:eastAsia="仿宋" w:hAnsi="仿宋" w:cs="仿宋" w:hint="eastAsia"/>
          <w:sz w:val="28"/>
          <w:szCs w:val="28"/>
        </w:rPr>
        <w:t>河北地区电石市场走势淡稳，价格水平未见波动。据悉，该地区电石到货节奏平稳，整体供需关系已恢复相对平衡状态。鉴于当前国内电石市场的僵持大势，该地区尚无明显利好或利空因素来打破僵局。</w:t>
      </w:r>
    </w:p>
    <w:p w:rsidR="001A6CDE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山东地区：</w:t>
      </w:r>
      <w:r w:rsidR="006A1C4E" w:rsidRPr="006A1C4E">
        <w:rPr>
          <w:rFonts w:ascii="仿宋" w:eastAsia="仿宋" w:hAnsi="仿宋" w:cs="仿宋" w:hint="eastAsia"/>
          <w:sz w:val="28"/>
          <w:szCs w:val="28"/>
        </w:rPr>
        <w:t>山东地区电石市场交投气氛低迷，主流成交价格僵持低位。据当地氯碱企业介绍，当地装置开工平稳，而电石到货量仍较</w:t>
      </w:r>
      <w:r w:rsidR="006A1C4E" w:rsidRPr="006A1C4E">
        <w:rPr>
          <w:rFonts w:ascii="仿宋" w:eastAsia="仿宋" w:hAnsi="仿宋" w:cs="仿宋" w:hint="eastAsia"/>
          <w:sz w:val="28"/>
          <w:szCs w:val="28"/>
        </w:rPr>
        <w:lastRenderedPageBreak/>
        <w:t>为稳定，压车卸货的现象频现，下调采购价格以控制到货量的做法较为常见，成交重心难止跌势。</w:t>
      </w:r>
    </w:p>
    <w:p w:rsidR="00122991" w:rsidRDefault="00122991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6" w:name="_Toc485904756"/>
      <w:bookmarkStart w:id="17" w:name="_Toc485904789"/>
      <w:bookmarkStart w:id="18" w:name="_Toc485904812"/>
      <w:bookmarkStart w:id="19" w:name="_Toc485914306"/>
      <w:bookmarkStart w:id="20" w:name="_Toc489608583"/>
    </w:p>
    <w:p w:rsidR="0018339A" w:rsidRDefault="005866D5" w:rsidP="00871D3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1、需求方面：</w:t>
      </w:r>
      <w:r w:rsidR="0018339A" w:rsidRPr="0018339A">
        <w:rPr>
          <w:rFonts w:ascii="仿宋" w:eastAsia="仿宋" w:hAnsi="仿宋" w:cs="仿宋"/>
          <w:sz w:val="28"/>
          <w:szCs w:val="28"/>
        </w:rPr>
        <w:t>国内 PVC 厂区多维持稳定走势，成交重心出现回暖，但由于需求平淡，价格提升幅度有限，对电石的需求稳定为主，压价心理强烈。</w:t>
      </w:r>
    </w:p>
    <w:p w:rsidR="0018339A" w:rsidRPr="0018339A" w:rsidRDefault="005866D5" w:rsidP="0018339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2.供应方面：</w:t>
      </w:r>
      <w:r w:rsidR="0018339A" w:rsidRPr="0018339A">
        <w:rPr>
          <w:rFonts w:ascii="仿宋" w:eastAsia="仿宋" w:hAnsi="仿宋" w:cs="仿宋"/>
          <w:sz w:val="28"/>
          <w:szCs w:val="28"/>
        </w:rPr>
        <w:t>内蒙古、宁夏地区小型电石炉全部断电关停，但对电石产量的影响不明显，短期内对电石价格的支撑有限。</w:t>
      </w:r>
    </w:p>
    <w:p w:rsidR="0018339A" w:rsidRDefault="005866D5" w:rsidP="0018339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71D30">
        <w:rPr>
          <w:rFonts w:hint="eastAsia"/>
          <w:sz w:val="28"/>
          <w:szCs w:val="28"/>
        </w:rPr>
        <w:t>后市</w:t>
      </w:r>
      <w:r w:rsidRPr="00871D30">
        <w:rPr>
          <w:sz w:val="28"/>
          <w:szCs w:val="28"/>
        </w:rPr>
        <w:t>预测</w:t>
      </w:r>
      <w:r>
        <w:rPr>
          <w:rFonts w:ascii="仿宋" w:eastAsia="仿宋" w:hAnsi="仿宋" w:cs="仿宋"/>
          <w:sz w:val="28"/>
          <w:szCs w:val="28"/>
        </w:rPr>
        <w:t>：</w:t>
      </w:r>
      <w:r w:rsidR="0018339A" w:rsidRPr="0018339A">
        <w:rPr>
          <w:rFonts w:ascii="仿宋" w:eastAsia="仿宋" w:hAnsi="仿宋" w:cs="仿宋"/>
          <w:sz w:val="28"/>
          <w:szCs w:val="28"/>
        </w:rPr>
        <w:t>预计未来一周电石市场多将持稳为主，后市仍需关注限停地区的小炉子的生产情况。</w:t>
      </w:r>
    </w:p>
    <w:p w:rsidR="007D7B74" w:rsidRDefault="005866D5" w:rsidP="0018339A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21" w:name="_Toc295460176"/>
      <w:bookmarkEnd w:id="15"/>
      <w:bookmarkEnd w:id="16"/>
      <w:bookmarkEnd w:id="17"/>
      <w:bookmarkEnd w:id="18"/>
      <w:bookmarkEnd w:id="19"/>
      <w:bookmarkEnd w:id="20"/>
    </w:p>
    <w:p w:rsidR="005F1E5F" w:rsidRPr="005F1E5F" w:rsidRDefault="005866D5" w:rsidP="005F1E5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sz w:val="28"/>
          <w:szCs w:val="28"/>
        </w:rPr>
        <w:t>市场概述：</w:t>
      </w:r>
      <w:r w:rsidR="005F1E5F" w:rsidRPr="005F1E5F">
        <w:rPr>
          <w:rFonts w:ascii="仿宋" w:eastAsia="仿宋" w:hAnsi="仿宋" w:cs="仿宋"/>
          <w:sz w:val="28"/>
          <w:szCs w:val="28"/>
        </w:rPr>
        <w:t>本周国内 PVC 厂区延续前期稳定走势，实际多以商谈为主。截止今日 PVC 现货市场指数为 6305，较上周五 6311 下降了 0.09%。周初虽期货走势坚挺，但需求方面仍处淡季，支撑力度不多，厂家开工较足，社会库存较上周稍有增加，但压力不大。且多数厂家预售订单较多，无库存压力，部分高端货源成交情况良好。</w:t>
      </w:r>
    </w:p>
    <w:p w:rsidR="005F1E5F" w:rsidRPr="005F1E5F" w:rsidRDefault="005866D5" w:rsidP="005F1E5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厂家方面：</w:t>
      </w:r>
      <w:r w:rsidR="005F1E5F" w:rsidRPr="005F1E5F">
        <w:rPr>
          <w:rFonts w:ascii="仿宋" w:eastAsia="仿宋" w:hAnsi="仿宋" w:cs="仿宋"/>
          <w:sz w:val="28"/>
          <w:szCs w:val="28"/>
        </w:rPr>
        <w:t>本周华东与华南社会库存略有增加，但是压力并不大，周初受期货的小幅支撑下价格小幅走高，低端价格略有提涨。但周四期货开始大跌，询单气氛不佳，贸易商出货存压，实单多以商谈为主。西北部分厂家价格上调，该地区前期预售货源较多，暂无库存。山东鲁泰与泰山盐化价格回落，其他厂家维稳运行，气氛不温不火。乙烯法 PVC 整体库存仍在低位，部分工厂前期出货较好，12 月份的销售任务已经完成，现在主要发前期订单为主，在整体库存偏低情况下，企业暂时并无销售压力。装置方面：本周厂家开工基本增长，供应稳定。期货方面：截止今日主力合约 1805 期货收盘报 6570 元/吨，较上周五 6625 下降 0.83%。环保政策方面：“2+26”城市秋冬大气污染巡查工作时间一直持续到明年 1 月 4 日。</w:t>
      </w:r>
    </w:p>
    <w:p w:rsidR="00746C21" w:rsidRPr="005F1E5F" w:rsidRDefault="00746C21" w:rsidP="00F12A4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5866D5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重点市场行情分述：</w:t>
      </w:r>
    </w:p>
    <w:p w:rsidR="005F1E5F" w:rsidRPr="005F1E5F" w:rsidRDefault="0052739A" w:rsidP="005F1E5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t>华北：</w:t>
      </w:r>
      <w:r w:rsidR="005F1E5F" w:rsidRPr="005F1E5F">
        <w:rPr>
          <w:rFonts w:ascii="仿宋" w:eastAsia="仿宋" w:hAnsi="仿宋" w:cs="仿宋"/>
          <w:sz w:val="28"/>
          <w:szCs w:val="28"/>
        </w:rPr>
        <w:t>华北地区 PVC 市场高位盘整，整体开工情况较好，供应稳定，持货商观望浓厚。齐鲁化工城普通 5 型电石料主流报 6200-6330 元/吨。参考报价：S700 报 6780 元/吨，S1000 报 6690 元/吨；信发五型料 6320 元/吨、伊东 6000 元/吨、泰山盐化 6340 元/吨、鄂尔多斯 6000 元/吨、亿利 6300 元/吨。</w:t>
      </w:r>
    </w:p>
    <w:p w:rsidR="005F1E5F" w:rsidRDefault="0052739A" w:rsidP="00F32F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t>华东：</w:t>
      </w:r>
      <w:r w:rsidR="005F1E5F" w:rsidRPr="005F1E5F">
        <w:rPr>
          <w:rFonts w:ascii="仿宋" w:eastAsia="仿宋" w:hAnsi="仿宋" w:cs="仿宋"/>
          <w:sz w:val="28"/>
          <w:szCs w:val="28"/>
        </w:rPr>
        <w:t>华东地区 PVC 市场价格小跌，期货下跌，贸易商报盘松动。常州地区普通 5 型电石料主流自提 6480-6530 元/吨自提。参考报价：盐湖 6000 元/吨、中泰自提报在 6600 元/吨、天业 6550 元/吨。上海地区普通 5 型电石料主流自提在 6550-6600 元/吨，中泰 5 型 6600 元/吨，天辰 5 型报在 6640 元/吨库提，实际可谈。</w:t>
      </w:r>
    </w:p>
    <w:p w:rsidR="005F1E5F" w:rsidRPr="005F1E5F" w:rsidRDefault="0052739A" w:rsidP="005F1E5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t>华南：</w:t>
      </w:r>
      <w:r w:rsidR="005F1E5F" w:rsidRPr="005F1E5F">
        <w:rPr>
          <w:rFonts w:ascii="仿宋" w:eastAsia="仿宋" w:hAnsi="仿宋" w:cs="仿宋"/>
          <w:sz w:val="28"/>
          <w:szCs w:val="28"/>
        </w:rPr>
        <w:t>华南 PVC 市场受期货弱势走低的拖拽，心态谨慎，下游采购观望为主。广州地区普通 5 型电石料主流自提报价 6500-6580 元/吨。君正 6300 元/吨、亿利 6300 元/吨，信发 6320 元/吨，天湖 6520 元/吨。汕头地区普通 5 型电石料主流自提报 6500-6580 元/吨。参考报价：信发 6600 元/吨、天湖 6550 元/吨、盐湖 6550 元/吨、君正 6600 元/吨，东方希望 6600 元/吨。乙烯料市场价格稳定，大沽 700/1000 型报价在 6900 元/吨，大沽 1300 型 7100 元/吨，实际成交商谈。</w:t>
      </w:r>
    </w:p>
    <w:p w:rsidR="00F32F44" w:rsidRPr="005F1E5F" w:rsidRDefault="00F32F44" w:rsidP="00F32F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5866D5" w:rsidP="00F32F44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</w:p>
    <w:p w:rsidR="004F27BF" w:rsidRPr="004F27BF" w:rsidRDefault="004F27BF" w:rsidP="004F27B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4F27BF">
        <w:rPr>
          <w:rFonts w:ascii="仿宋" w:eastAsia="仿宋" w:hAnsi="仿宋" w:cs="仿宋"/>
          <w:sz w:val="28"/>
          <w:szCs w:val="28"/>
        </w:rPr>
        <w:t>原料电石方面，虽有部分电石炉停产，但电石产量相对稳定，供应充足。</w:t>
      </w:r>
    </w:p>
    <w:p w:rsidR="004F27BF" w:rsidRPr="004F27BF" w:rsidRDefault="004F27BF" w:rsidP="004F27B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4F27BF">
        <w:rPr>
          <w:rFonts w:ascii="仿宋" w:eastAsia="仿宋" w:hAnsi="仿宋" w:cs="仿宋"/>
          <w:sz w:val="28"/>
          <w:szCs w:val="28"/>
        </w:rPr>
        <w:t>供需方面，整体开工正常，供应稳定。下游需求仍处于淡季，近期变化不大。</w:t>
      </w:r>
    </w:p>
    <w:p w:rsidR="004F27BF" w:rsidRDefault="004F27BF" w:rsidP="004F27B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4F27BF">
        <w:rPr>
          <w:rFonts w:ascii="仿宋" w:eastAsia="仿宋" w:hAnsi="仿宋" w:cs="仿宋"/>
          <w:sz w:val="28"/>
          <w:szCs w:val="28"/>
        </w:rPr>
        <w:t>期货方面，本周期货前期延续小涨，现货市场心态谨慎，观望气氛浓厚。</w:t>
      </w:r>
    </w:p>
    <w:p w:rsidR="004F27BF" w:rsidRPr="004F27BF" w:rsidRDefault="005866D5" w:rsidP="004F27B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后市预测：</w:t>
      </w:r>
      <w:bookmarkStart w:id="22" w:name="_Toc488391995"/>
      <w:bookmarkStart w:id="23" w:name="_Toc488997537"/>
      <w:bookmarkStart w:id="24" w:name="_Toc485904813"/>
      <w:bookmarkStart w:id="25" w:name="_Toc487798662"/>
      <w:bookmarkStart w:id="26" w:name="_Toc485914307"/>
      <w:bookmarkStart w:id="27" w:name="_Toc489608584"/>
      <w:bookmarkStart w:id="28" w:name="_Toc485904757"/>
      <w:bookmarkStart w:id="29" w:name="_Toc485904790"/>
      <w:r w:rsidR="004F27BF" w:rsidRPr="004F27BF">
        <w:rPr>
          <w:rFonts w:ascii="仿宋" w:eastAsia="仿宋" w:hAnsi="仿宋" w:cs="仿宋"/>
          <w:sz w:val="28"/>
          <w:szCs w:val="28"/>
        </w:rPr>
        <w:t>国内 PVC 厂家开工正常，多数企业已完成 12 月销售，无库存压力。但下游采购观望为主。下周国内 PVC 市场维持高位盘整格局。</w:t>
      </w:r>
    </w:p>
    <w:p w:rsidR="0096172A" w:rsidRPr="002C3D9A" w:rsidRDefault="005866D5" w:rsidP="004F27BF">
      <w:pPr>
        <w:pStyle w:val="a7"/>
        <w:spacing w:line="400" w:lineRule="exact"/>
        <w:ind w:firstLineChars="200" w:firstLine="602"/>
        <w:rPr>
          <w:b/>
          <w:color w:val="FF0000"/>
          <w:sz w:val="30"/>
          <w:szCs w:val="30"/>
        </w:rPr>
      </w:pPr>
      <w:r>
        <w:rPr>
          <w:rFonts w:hint="eastAsia"/>
          <w:b/>
          <w:sz w:val="30"/>
          <w:szCs w:val="30"/>
        </w:rPr>
        <w:t>2.1 本周行情回顾</w:t>
      </w:r>
      <w:bookmarkStart w:id="30" w:name="_Toc489608585"/>
      <w:bookmarkStart w:id="31" w:name="_Toc488997538"/>
      <w:bookmarkStart w:id="32" w:name="_Toc488391996"/>
      <w:bookmarkStart w:id="33" w:name="_Toc487798663"/>
      <w:bookmarkStart w:id="34" w:name="_Toc247424466"/>
      <w:bookmarkStart w:id="35" w:name="_Toc485914308"/>
      <w:bookmarkStart w:id="36" w:name="_Toc295460177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6E0B9A" w:rsidRPr="006E0B9A" w:rsidRDefault="006E0B9A" w:rsidP="006E0B9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E0B9A">
        <w:rPr>
          <w:rFonts w:ascii="仿宋" w:eastAsia="仿宋" w:hAnsi="仿宋" w:cs="仿宋"/>
          <w:sz w:val="28"/>
          <w:szCs w:val="28"/>
        </w:rPr>
        <w:t>本周国内 PVC 厂区延续前期稳定走势，实际多以商谈为主。截止今日 PVC 现货市场指数为6305，较上周五 6311 下降了 0.09%。周初虽期货走势坚挺，但需求方面仍处淡季，支撑力度不多，厂家开工较足，社会库存较上周稍有增加，但压力不大。且多数厂家预售订单较多，无库存压力，部分高端货源成交情况良好。</w:t>
      </w:r>
    </w:p>
    <w:p w:rsidR="007D7B74" w:rsidRDefault="005866D5" w:rsidP="00810EAE">
      <w:pPr>
        <w:pStyle w:val="1"/>
        <w:spacing w:line="579" w:lineRule="auto"/>
        <w:ind w:firstLineChars="200" w:firstLine="602"/>
        <w:rPr>
          <w:rFonts w:asciiTheme="majorEastAsia" w:eastAsiaTheme="majorEastAsia" w:hAnsiTheme="majorEastAsia"/>
          <w:sz w:val="28"/>
          <w:szCs w:val="28"/>
        </w:rPr>
      </w:pPr>
      <w:bookmarkStart w:id="37" w:name="_Toc502312499"/>
      <w:bookmarkStart w:id="38" w:name="_Toc502324693"/>
      <w:r>
        <w:rPr>
          <w:rFonts w:ascii="宋体" w:eastAsia="宋体" w:hAnsi="宋体" w:cs="宋体" w:hint="eastAsia"/>
          <w:sz w:val="30"/>
          <w:szCs w:val="30"/>
        </w:rPr>
        <w:t>2.2大商所PVC期货价格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 w:rsidRPr="00AE1F6F">
        <w:rPr>
          <w:rFonts w:ascii="宋体" w:hAnsi="宋体" w:cs="宋体" w:hint="eastAsia"/>
          <w:b/>
          <w:sz w:val="28"/>
          <w:szCs w:val="28"/>
        </w:rPr>
        <w:t>2017年大商所PVC主力合约收盘价格</w:t>
      </w:r>
    </w:p>
    <w:p w:rsidR="007D7B74" w:rsidRDefault="00AE1F6F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AE1F6F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173149"/>
            <wp:effectExtent l="19050" t="0" r="10160" b="8201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C26C7" w:rsidRDefault="006C26C7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</w:p>
    <w:p w:rsidR="00A91591" w:rsidRDefault="00A9159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</w:p>
    <w:p w:rsidR="007D7B74" w:rsidRDefault="009851BE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5866D5" w:rsidRDefault="005866D5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7D7B74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39" w:name="_Toc483664856"/>
            <w:bookmarkStart w:id="40" w:name="_Toc489608586"/>
            <w:bookmarkStart w:id="41" w:name="_Toc485914309"/>
            <w:bookmarkStart w:id="42" w:name="_Toc487798664"/>
            <w:bookmarkStart w:id="43" w:name="_Toc488391997"/>
            <w:bookmarkStart w:id="44" w:name="_Toc488997539"/>
            <w:bookmarkStart w:id="45" w:name="_Toc295460178"/>
            <w:bookmarkStart w:id="46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AE1F6F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6570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6445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7962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17220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-1548</w:t>
            </w:r>
          </w:p>
        </w:tc>
      </w:tr>
      <w:tr w:rsidR="00AE1F6F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6505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4750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15982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-1238</w:t>
            </w:r>
          </w:p>
        </w:tc>
      </w:tr>
      <w:tr w:rsidR="00AE1F6F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6560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6465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6535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4138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13878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-2104</w:t>
            </w:r>
          </w:p>
        </w:tc>
      </w:tr>
      <w:tr w:rsidR="00AE1F6F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6485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6510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974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13294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-584</w:t>
            </w:r>
          </w:p>
        </w:tc>
      </w:tr>
      <w:tr w:rsidR="00AE1F6F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6730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6485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1396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12324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F6F" w:rsidRPr="00AE1F6F" w:rsidRDefault="00AE1F6F" w:rsidP="00AE1F6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1F6F">
              <w:rPr>
                <w:rFonts w:asciiTheme="minorEastAsia" w:eastAsiaTheme="minorEastAsia" w:hAnsiTheme="minorEastAsia" w:hint="eastAsia"/>
                <w:sz w:val="20"/>
                <w:szCs w:val="20"/>
              </w:rPr>
              <w:t>-970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47" w:name="_Toc502312500"/>
      <w:bookmarkStart w:id="48" w:name="_Toc502324694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7D7B74" w:rsidRDefault="005866D5" w:rsidP="00475C68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2017年国内PVC厂家价格走势图</w:t>
      </w:r>
    </w:p>
    <w:p w:rsidR="007D7B74" w:rsidRDefault="007D7B74">
      <w:pPr>
        <w:rPr>
          <w:szCs w:val="21"/>
        </w:rPr>
      </w:pPr>
    </w:p>
    <w:p w:rsidR="007D7B74" w:rsidRDefault="0003056D">
      <w:pPr>
        <w:rPr>
          <w:szCs w:val="21"/>
        </w:rPr>
      </w:pPr>
      <w:r w:rsidRPr="0003056D">
        <w:rPr>
          <w:noProof/>
          <w:szCs w:val="21"/>
        </w:rPr>
        <w:drawing>
          <wp:inline distT="0" distB="0" distL="0" distR="0">
            <wp:extent cx="5400040" cy="3445829"/>
            <wp:effectExtent l="19050" t="0" r="10160" b="2221"/>
            <wp:docPr id="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7D7B74" w:rsidRDefault="00B123F0">
      <w:pPr>
        <w:rPr>
          <w:szCs w:val="21"/>
        </w:rPr>
      </w:pPr>
      <w:r>
        <w:rPr>
          <w:szCs w:val="21"/>
        </w:rPr>
        <w:br/>
      </w:r>
      <w:r w:rsidR="009851BE" w:rsidRPr="009851BE">
        <w:lastRenderedPageBreak/>
        <w:pict>
          <v:shape id="文本框 17" o:spid="_x0000_s1034" type="#_x0000_t202" style="position:absolute;left:0;text-align:left;margin-left:127.5pt;margin-top:14pt;width:154.2pt;height:34.95pt;z-index:251662336;mso-position-horizontal-relative:text;mso-position-vertical-relative:text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>
              <w:txbxContent>
                <w:p w:rsidR="005866D5" w:rsidRDefault="005866D5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5866D5" w:rsidRDefault="005866D5"/>
              </w:txbxContent>
            </v:textbox>
            <w10:wrap type="square"/>
          </v:shape>
        </w:pict>
      </w:r>
    </w:p>
    <w:p w:rsidR="007D7B74" w:rsidRDefault="007D7B74"/>
    <w:p w:rsidR="00B123F0" w:rsidRDefault="00B123F0"/>
    <w:p w:rsidR="007D7B74" w:rsidRDefault="007D7B74" w:rsidP="00B123F0"/>
    <w:p w:rsidR="007D7B74" w:rsidRDefault="005866D5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3"/>
        <w:gridCol w:w="1692"/>
        <w:gridCol w:w="1693"/>
      </w:tblGrid>
      <w:tr w:rsidR="007D7B74">
        <w:trPr>
          <w:trHeight w:val="315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9" w:name="_Toc483664857"/>
            <w:bookmarkStart w:id="50" w:name="_Toc489608587"/>
            <w:bookmarkStart w:id="51" w:name="_Toc485914310"/>
            <w:bookmarkStart w:id="52" w:name="_Toc247424468"/>
            <w:bookmarkStart w:id="53" w:name="_Toc295460179"/>
            <w:bookmarkStart w:id="54" w:name="_Toc488997540"/>
            <w:bookmarkStart w:id="55" w:name="_Toc488391998"/>
            <w:bookmarkStart w:id="56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7D7B74">
        <w:trPr>
          <w:trHeight w:val="312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7D7B74">
        <w:trPr>
          <w:trHeight w:val="285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WS1000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03056D" w:rsidTr="002234A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03056D" w:rsidTr="002234A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03056D" w:rsidTr="002234A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  <w:tr w:rsidR="0003056D" w:rsidTr="002234A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  <w:tr w:rsidR="0003056D" w:rsidTr="002234A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056D" w:rsidRPr="0003056D" w:rsidRDefault="0003056D" w:rsidP="0003056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056D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57" w:name="_Toc502312501"/>
      <w:bookmarkStart w:id="58" w:name="_Toc502324695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7D7B74" w:rsidRDefault="005866D5" w:rsidP="00A9159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2017年国内PVC市场价格走势图</w:t>
      </w:r>
    </w:p>
    <w:p w:rsidR="007D7B74" w:rsidRDefault="007D7B74"/>
    <w:p w:rsidR="007D7B74" w:rsidRDefault="00386F9E">
      <w:r w:rsidRPr="00386F9E">
        <w:rPr>
          <w:noProof/>
        </w:rPr>
        <w:drawing>
          <wp:inline distT="0" distB="0" distL="0" distR="0">
            <wp:extent cx="5400040" cy="3331275"/>
            <wp:effectExtent l="19050" t="0" r="10160" b="2475"/>
            <wp:docPr id="10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91591" w:rsidRDefault="00A91591"/>
    <w:p w:rsidR="00A91591" w:rsidRDefault="00A91591"/>
    <w:p w:rsidR="00A91591" w:rsidRDefault="00A91591"/>
    <w:p w:rsidR="00A91591" w:rsidRDefault="00A91591"/>
    <w:p w:rsidR="007D7B74" w:rsidRDefault="009851BE">
      <w:pPr>
        <w:rPr>
          <w:rFonts w:ascii="宋体"/>
          <w:b/>
        </w:rPr>
      </w:pPr>
      <w:r w:rsidRPr="009851BE">
        <w:rPr>
          <w:szCs w:val="24"/>
        </w:rPr>
        <w:lastRenderedPageBreak/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7D7B74" w:rsidRDefault="007D7B74">
      <w:pPr>
        <w:rPr>
          <w:rFonts w:ascii="宋体"/>
          <w:b/>
        </w:rPr>
      </w:pPr>
    </w:p>
    <w:p w:rsidR="00A91591" w:rsidRDefault="00A91591">
      <w:pPr>
        <w:rPr>
          <w:rFonts w:ascii="宋体"/>
          <w:b/>
        </w:rPr>
      </w:pPr>
    </w:p>
    <w:p w:rsidR="007D7B74" w:rsidRDefault="005866D5" w:rsidP="00A91591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59" w:name="_Toc247424469"/>
      <w:bookmarkStart w:id="60" w:name="_Toc295460180"/>
      <w:bookmarkStart w:id="61" w:name="_Toc488997541"/>
      <w:bookmarkStart w:id="62" w:name="_Toc488391999"/>
      <w:bookmarkStart w:id="63" w:name="_Toc483664858"/>
      <w:bookmarkStart w:id="64" w:name="_Toc489608588"/>
      <w:bookmarkStart w:id="65" w:name="_Toc487798666"/>
      <w:bookmarkStart w:id="66" w:name="_Toc485914311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7D7B74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386F9E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6390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6520</w:t>
            </w:r>
          </w:p>
        </w:tc>
      </w:tr>
      <w:tr w:rsidR="00386F9E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</w:tr>
      <w:tr w:rsidR="00386F9E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</w:tr>
      <w:tr w:rsidR="00386F9E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</w:tr>
      <w:tr w:rsidR="00386F9E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86F9E" w:rsidRPr="00386F9E" w:rsidRDefault="00386F9E" w:rsidP="00386F9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86F9E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</w:tr>
    </w:tbl>
    <w:p w:rsidR="007D7B74" w:rsidRDefault="007D7B74">
      <w:pPr>
        <w:rPr>
          <w:rFonts w:asciiTheme="majorEastAsia" w:eastAsiaTheme="majorEastAsia" w:hAnsiTheme="majorEastAsia"/>
          <w:szCs w:val="28"/>
        </w:rPr>
      </w:pPr>
    </w:p>
    <w:p w:rsidR="007D7B74" w:rsidRDefault="007D7B74">
      <w:pPr>
        <w:pStyle w:val="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67" w:name="_Toc502312502"/>
      <w:bookmarkStart w:id="68" w:name="_Toc502324696"/>
      <w:r w:rsidRPr="003637F5">
        <w:rPr>
          <w:rFonts w:ascii="宋体" w:hAnsi="宋体" w:cs="宋体" w:hint="eastAsia"/>
          <w:sz w:val="30"/>
          <w:szCs w:val="30"/>
        </w:rPr>
        <w:t>2.5国际PVC市场价格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7D7B74" w:rsidRDefault="005866D5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2017</w:t>
      </w:r>
      <w:r>
        <w:rPr>
          <w:rFonts w:ascii="仿宋" w:eastAsia="仿宋" w:hAnsi="仿宋" w:hint="eastAsia"/>
          <w:b/>
          <w:sz w:val="28"/>
          <w:szCs w:val="28"/>
        </w:rPr>
        <w:t>年国际</w:t>
      </w:r>
      <w:r>
        <w:rPr>
          <w:rFonts w:ascii="仿宋" w:eastAsia="仿宋" w:hAnsi="仿宋"/>
          <w:b/>
          <w:sz w:val="28"/>
          <w:szCs w:val="28"/>
        </w:rPr>
        <w:t>PVC</w:t>
      </w:r>
      <w:r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7D7B74" w:rsidRDefault="00743EAD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743EAD">
        <w:rPr>
          <w:noProof/>
          <w:szCs w:val="21"/>
        </w:rPr>
        <w:drawing>
          <wp:inline distT="0" distB="0" distL="0" distR="0">
            <wp:extent cx="5400040" cy="3183774"/>
            <wp:effectExtent l="19050" t="0" r="10160" b="0"/>
            <wp:docPr id="4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91591" w:rsidRDefault="00A91591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</w:p>
    <w:p w:rsidR="00A91591" w:rsidRDefault="00A91591" w:rsidP="00A91591">
      <w:pPr>
        <w:widowControl/>
        <w:spacing w:beforeAutospacing="1" w:after="375" w:line="420" w:lineRule="atLeast"/>
        <w:rPr>
          <w:szCs w:val="21"/>
        </w:rPr>
      </w:pPr>
    </w:p>
    <w:p w:rsidR="00A91591" w:rsidRPr="00A91591" w:rsidRDefault="009851BE">
      <w:pPr>
        <w:rPr>
          <w:rFonts w:ascii="宋体" w:hAnsi="宋体"/>
        </w:rPr>
      </w:pPr>
      <w:r w:rsidRPr="009851BE">
        <w:rPr>
          <w:rFonts w:ascii="Times New Roman" w:hAnsi="Times New Roman"/>
          <w:szCs w:val="24"/>
        </w:rPr>
        <w:lastRenderedPageBreak/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7D7B74" w:rsidRPr="00A91591" w:rsidRDefault="005866D5" w:rsidP="00A91591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7D7B74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743EAD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17/11/30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760</w:t>
            </w:r>
          </w:p>
        </w:tc>
      </w:tr>
      <w:tr w:rsidR="00743EAD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17/12/07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780</w:t>
            </w:r>
          </w:p>
        </w:tc>
      </w:tr>
      <w:tr w:rsidR="00743EAD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800</w:t>
            </w:r>
          </w:p>
        </w:tc>
      </w:tr>
      <w:tr w:rsidR="00743EAD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17/12/21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875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3EAD" w:rsidRPr="00743EAD" w:rsidRDefault="00743EA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43EAD">
              <w:rPr>
                <w:rFonts w:asciiTheme="majorEastAsia" w:eastAsiaTheme="majorEastAsia" w:hAnsiTheme="majorEastAsia" w:hint="eastAsia"/>
                <w:sz w:val="20"/>
                <w:szCs w:val="20"/>
              </w:rPr>
              <w:t>810</w:t>
            </w:r>
          </w:p>
        </w:tc>
      </w:tr>
    </w:tbl>
    <w:p w:rsidR="007D7B74" w:rsidRDefault="007D7B74">
      <w:pPr>
        <w:rPr>
          <w:sz w:val="18"/>
          <w:szCs w:val="18"/>
        </w:rPr>
      </w:pPr>
    </w:p>
    <w:p w:rsidR="007D7B74" w:rsidRDefault="005866D5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69" w:name="_Toc485914312"/>
      <w:bookmarkStart w:id="70" w:name="_Toc488997542"/>
      <w:bookmarkStart w:id="71" w:name="_Toc487798667"/>
      <w:bookmarkStart w:id="72" w:name="_Toc489608589"/>
      <w:bookmarkStart w:id="73" w:name="_Toc488392000"/>
      <w:bookmarkStart w:id="74" w:name="_Toc295460181"/>
      <w:bookmarkStart w:id="75" w:name="_Toc247424474"/>
      <w:bookmarkStart w:id="76" w:name="_Toc483664859"/>
      <w:bookmarkStart w:id="77" w:name="_Toc502312503"/>
      <w:bookmarkStart w:id="78" w:name="_Toc502324697"/>
      <w:r>
        <w:rPr>
          <w:rFonts w:ascii="宋体" w:hAnsi="宋体" w:hint="eastAsia"/>
          <w:sz w:val="30"/>
          <w:szCs w:val="30"/>
        </w:rPr>
        <w:t>三、相关产品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79" w:name="_Toc483664860"/>
      <w:bookmarkStart w:id="80" w:name="_Toc295460182"/>
      <w:bookmarkStart w:id="81" w:name="_Toc488392001"/>
      <w:bookmarkStart w:id="82" w:name="_Toc487798668"/>
      <w:bookmarkStart w:id="83" w:name="_Toc489608590"/>
      <w:bookmarkStart w:id="84" w:name="_Toc485914313"/>
      <w:bookmarkStart w:id="85" w:name="_Toc247424475"/>
      <w:bookmarkStart w:id="86" w:name="_Toc488997543"/>
      <w:bookmarkStart w:id="87" w:name="_Toc502312504"/>
      <w:bookmarkStart w:id="88" w:name="_Toc502324698"/>
      <w:r>
        <w:rPr>
          <w:rFonts w:ascii="宋体" w:hAnsi="宋体" w:cs="宋体" w:hint="eastAsia"/>
          <w:sz w:val="30"/>
          <w:szCs w:val="30"/>
        </w:rPr>
        <w:t>3.1原油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 w:rsidRPr="003D6775">
        <w:rPr>
          <w:rFonts w:ascii="宋体" w:hAnsi="宋体" w:cs="宋体" w:hint="eastAsia"/>
          <w:b/>
          <w:sz w:val="28"/>
          <w:szCs w:val="28"/>
        </w:rPr>
        <w:t>2017年国际原油期货价格走势图</w:t>
      </w:r>
    </w:p>
    <w:p w:rsidR="007D7B74" w:rsidRDefault="006E3200">
      <w:pPr>
        <w:jc w:val="center"/>
      </w:pPr>
      <w:r w:rsidRPr="006E3200">
        <w:rPr>
          <w:noProof/>
        </w:rPr>
        <w:drawing>
          <wp:inline distT="0" distB="0" distL="0" distR="0">
            <wp:extent cx="5086350" cy="3457575"/>
            <wp:effectExtent l="19050" t="0" r="19050" b="0"/>
            <wp:docPr id="1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7B74" w:rsidRDefault="007D7B74"/>
    <w:p w:rsidR="007D7B74" w:rsidRDefault="007D7B74">
      <w:pPr>
        <w:rPr>
          <w:szCs w:val="21"/>
        </w:rPr>
      </w:pPr>
    </w:p>
    <w:p w:rsidR="007D7B74" w:rsidRDefault="005866D5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7D7B74" w:rsidRDefault="005866D5" w:rsidP="00272CA8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7D7B74" w:rsidRDefault="007D7B74">
      <w:pPr>
        <w:ind w:leftChars="412" w:left="865"/>
        <w:rPr>
          <w:rFonts w:ascii="宋体" w:hAnsi="宋体" w:cs="宋体"/>
          <w:sz w:val="18"/>
          <w:szCs w:val="18"/>
        </w:rPr>
      </w:pPr>
    </w:p>
    <w:p w:rsidR="007D7B74" w:rsidRDefault="007D7B74">
      <w:pPr>
        <w:ind w:leftChars="100" w:left="210" w:firstLineChars="312" w:firstLine="655"/>
        <w:rPr>
          <w:rFonts w:ascii="宋体"/>
          <w:szCs w:val="21"/>
        </w:rPr>
      </w:pPr>
    </w:p>
    <w:p w:rsidR="00A91591" w:rsidRDefault="00A91591">
      <w:pPr>
        <w:ind w:leftChars="100" w:left="210" w:firstLineChars="312" w:firstLine="655"/>
        <w:rPr>
          <w:rFonts w:ascii="宋体"/>
          <w:szCs w:val="21"/>
        </w:rPr>
      </w:pPr>
    </w:p>
    <w:p w:rsidR="007D7B74" w:rsidRDefault="009851BE">
      <w:pPr>
        <w:ind w:leftChars="100" w:left="210" w:firstLineChars="312" w:firstLine="655"/>
        <w:rPr>
          <w:rFonts w:ascii="宋体"/>
          <w:szCs w:val="21"/>
        </w:rPr>
      </w:pPr>
      <w:r w:rsidRPr="009851BE">
        <w:rPr>
          <w:szCs w:val="24"/>
        </w:rPr>
        <w:lastRenderedPageBreak/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7D7B7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89" w:name="_Toc295460183"/>
            <w:bookmarkStart w:id="90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6E3200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57.16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63.41</w:t>
            </w:r>
          </w:p>
        </w:tc>
      </w:tr>
      <w:tr w:rsidR="006E3200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57.46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63.8</w:t>
            </w:r>
          </w:p>
        </w:tc>
      </w:tr>
      <w:tr w:rsidR="006E3200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58.09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64.56</w:t>
            </w:r>
          </w:p>
        </w:tc>
      </w:tr>
      <w:tr w:rsidR="006E3200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58.36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64.9</w:t>
            </w:r>
          </w:p>
        </w:tc>
      </w:tr>
      <w:tr w:rsidR="006E3200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59.84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3200" w:rsidRPr="006E3200" w:rsidRDefault="006E320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3200">
              <w:rPr>
                <w:rFonts w:asciiTheme="minorEastAsia" w:eastAsiaTheme="minorEastAsia" w:hAnsiTheme="minorEastAsia" w:hint="eastAsia"/>
                <w:sz w:val="20"/>
                <w:szCs w:val="20"/>
              </w:rPr>
              <w:t>66.72</w:t>
            </w:r>
          </w:p>
        </w:tc>
      </w:tr>
    </w:tbl>
    <w:p w:rsidR="007D7B74" w:rsidRDefault="005866D5">
      <w:pPr>
        <w:pStyle w:val="2"/>
        <w:spacing w:line="415" w:lineRule="auto"/>
      </w:pPr>
      <w:r>
        <w:rPr>
          <w:rFonts w:hint="eastAsia"/>
        </w:rPr>
        <w:t xml:space="preserve">　</w:t>
      </w:r>
      <w:bookmarkStart w:id="91" w:name="_Toc487798669"/>
      <w:bookmarkStart w:id="92" w:name="_Toc488392002"/>
      <w:bookmarkStart w:id="93" w:name="_Toc483664861"/>
      <w:bookmarkStart w:id="94" w:name="_Toc489608591"/>
      <w:bookmarkStart w:id="95" w:name="_Toc485914314"/>
      <w:bookmarkStart w:id="96" w:name="_Toc488997544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97" w:name="_Toc502312505"/>
      <w:bookmarkStart w:id="98" w:name="_Toc502324699"/>
      <w:r>
        <w:rPr>
          <w:rFonts w:ascii="宋体" w:hAnsi="宋体" w:cs="宋体" w:hint="eastAsia"/>
          <w:sz w:val="30"/>
          <w:szCs w:val="30"/>
        </w:rPr>
        <w:t>3.2 乙烯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7D7B74" w:rsidRDefault="005866D5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2017年国际乙烯单体市场价格走势图</w:t>
      </w:r>
    </w:p>
    <w:p w:rsidR="007D7B74" w:rsidRDefault="00B51E9D">
      <w:pPr>
        <w:widowControl/>
        <w:spacing w:beforeAutospacing="1" w:after="375" w:line="420" w:lineRule="atLeast"/>
        <w:ind w:firstLine="420"/>
        <w:jc w:val="center"/>
      </w:pPr>
      <w:r w:rsidRPr="00B51E9D">
        <w:rPr>
          <w:noProof/>
        </w:rPr>
        <w:drawing>
          <wp:inline distT="0" distB="0" distL="0" distR="0">
            <wp:extent cx="5353050" cy="3209925"/>
            <wp:effectExtent l="19050" t="0" r="19050" b="0"/>
            <wp:docPr id="1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91591">
        <w:rPr>
          <w:rFonts w:hint="eastAsia"/>
        </w:rPr>
        <w:br/>
      </w:r>
    </w:p>
    <w:p w:rsidR="00A91591" w:rsidRDefault="00A91591">
      <w:pPr>
        <w:widowControl/>
        <w:spacing w:beforeAutospacing="1" w:after="375" w:line="420" w:lineRule="atLeast"/>
        <w:ind w:firstLine="420"/>
        <w:jc w:val="center"/>
      </w:pPr>
    </w:p>
    <w:p w:rsidR="00A91591" w:rsidRDefault="00A91591">
      <w:pPr>
        <w:widowControl/>
        <w:spacing w:beforeAutospacing="1" w:after="375" w:line="420" w:lineRule="atLeast"/>
        <w:ind w:firstLine="420"/>
        <w:jc w:val="center"/>
      </w:pPr>
    </w:p>
    <w:p w:rsidR="007D7B74" w:rsidRPr="00A91591" w:rsidRDefault="009851BE" w:rsidP="00A91591">
      <w:pPr>
        <w:widowControl/>
        <w:spacing w:beforeAutospacing="1" w:after="375" w:line="420" w:lineRule="atLeast"/>
        <w:ind w:firstLine="420"/>
        <w:jc w:val="center"/>
      </w:pPr>
      <w:r>
        <w:lastRenderedPageBreak/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5866D5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99" w:name="_Toc487798670"/>
      <w:bookmarkStart w:id="100" w:name="_Toc489608592"/>
      <w:bookmarkStart w:id="101" w:name="_Toc483664862"/>
      <w:bookmarkStart w:id="102" w:name="_Toc485914315"/>
      <w:bookmarkStart w:id="103" w:name="_Toc488392003"/>
      <w:bookmarkStart w:id="104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7D7B74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B51E9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1360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1153</w:t>
            </w:r>
          </w:p>
        </w:tc>
      </w:tr>
      <w:tr w:rsidR="00B51E9D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1360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1152</w:t>
            </w:r>
          </w:p>
        </w:tc>
      </w:tr>
      <w:tr w:rsidR="00B51E9D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1360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1152</w:t>
            </w:r>
          </w:p>
        </w:tc>
      </w:tr>
      <w:tr w:rsidR="00B51E9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1360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1156</w:t>
            </w:r>
          </w:p>
        </w:tc>
      </w:tr>
      <w:tr w:rsidR="00B51E9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9D" w:rsidRPr="00B51E9D" w:rsidRDefault="00B51E9D" w:rsidP="00B51E9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51E9D">
              <w:rPr>
                <w:rFonts w:asciiTheme="minorEastAsia" w:eastAsiaTheme="minorEastAsia" w:hAnsiTheme="minorEastAsia" w:hint="eastAsia"/>
                <w:sz w:val="20"/>
                <w:szCs w:val="20"/>
              </w:rPr>
              <w:t>1175.5</w:t>
            </w:r>
          </w:p>
        </w:tc>
      </w:tr>
    </w:tbl>
    <w:p w:rsidR="007D7B74" w:rsidRDefault="007D7B74" w:rsidP="00871D30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05" w:name="_Toc502312506"/>
      <w:bookmarkStart w:id="106" w:name="_Toc502324700"/>
      <w:r>
        <w:rPr>
          <w:rFonts w:ascii="宋体" w:hAnsi="宋体" w:cs="宋体" w:hint="eastAsia"/>
          <w:sz w:val="30"/>
          <w:szCs w:val="30"/>
        </w:rPr>
        <w:t>3.3 EDC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7D7B74" w:rsidRDefault="005866D5" w:rsidP="00A91591">
      <w:pPr>
        <w:jc w:val="center"/>
        <w:rPr>
          <w:rFonts w:ascii="宋体" w:hAnsi="宋体" w:cs="宋体"/>
          <w:b/>
          <w:sz w:val="28"/>
          <w:szCs w:val="28"/>
        </w:rPr>
      </w:pPr>
      <w:r w:rsidRPr="00A96AC2">
        <w:rPr>
          <w:rFonts w:ascii="宋体" w:hAnsi="宋体" w:cs="宋体" w:hint="eastAsia"/>
          <w:b/>
          <w:sz w:val="28"/>
          <w:szCs w:val="28"/>
        </w:rPr>
        <w:t>2017年国际EDC市场价格走势图</w:t>
      </w:r>
    </w:p>
    <w:p w:rsidR="007D7B74" w:rsidRDefault="00E46156">
      <w:r w:rsidRPr="00E46156">
        <w:rPr>
          <w:noProof/>
        </w:rPr>
        <w:drawing>
          <wp:inline distT="0" distB="0" distL="0" distR="0">
            <wp:extent cx="5400040" cy="3180649"/>
            <wp:effectExtent l="19050" t="0" r="10160" b="701"/>
            <wp:docPr id="7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D7B74" w:rsidRDefault="007D7B74"/>
    <w:p w:rsidR="007D7B74" w:rsidRDefault="009851BE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5866D5" w:rsidRDefault="005866D5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7D7B74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E4615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17/12/01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115</w:t>
            </w:r>
          </w:p>
        </w:tc>
      </w:tr>
      <w:tr w:rsidR="00E4615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lastRenderedPageBreak/>
              <w:t>17/12/08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115</w:t>
            </w:r>
          </w:p>
        </w:tc>
      </w:tr>
      <w:tr w:rsidR="00E46156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17/12/15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115</w:t>
            </w:r>
          </w:p>
        </w:tc>
      </w:tr>
      <w:tr w:rsidR="00E4615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17/12/22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6156" w:rsidRPr="00E46156" w:rsidRDefault="00E46156" w:rsidP="00E4615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46156">
              <w:rPr>
                <w:rFonts w:asciiTheme="majorEastAsia" w:eastAsiaTheme="majorEastAsia" w:hAnsiTheme="majorEastAsia" w:hint="eastAsia"/>
                <w:sz w:val="20"/>
                <w:szCs w:val="20"/>
              </w:rPr>
              <w:t>120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07" w:name="_Toc487798671"/>
      <w:bookmarkStart w:id="108" w:name="_Toc489608593"/>
      <w:bookmarkStart w:id="109" w:name="_Toc488997546"/>
      <w:bookmarkStart w:id="110" w:name="_Toc322078441"/>
      <w:bookmarkStart w:id="111" w:name="_Toc247424478"/>
      <w:bookmarkStart w:id="112" w:name="_Toc286647029"/>
      <w:bookmarkStart w:id="113" w:name="_Toc488392004"/>
      <w:bookmarkStart w:id="114" w:name="_Toc485914316"/>
      <w:bookmarkStart w:id="115" w:name="_Toc283391557"/>
      <w:bookmarkStart w:id="116" w:name="_Toc295460185"/>
      <w:bookmarkStart w:id="117" w:name="_Toc292436437"/>
      <w:bookmarkStart w:id="118" w:name="_Toc483664863"/>
      <w:bookmarkStart w:id="119" w:name="_Toc291835541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20" w:name="_Toc502312507"/>
      <w:bookmarkStart w:id="121" w:name="_Toc502324701"/>
      <w:r>
        <w:rPr>
          <w:rFonts w:ascii="宋体" w:hAnsi="宋体" w:cs="宋体" w:hint="eastAsia"/>
          <w:sz w:val="30"/>
          <w:szCs w:val="30"/>
        </w:rPr>
        <w:t>3.4 VCM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 w:rsidRPr="00A96AC2">
        <w:rPr>
          <w:rFonts w:ascii="宋体" w:hAnsi="宋体" w:cs="宋体" w:hint="eastAsia"/>
          <w:b/>
          <w:sz w:val="28"/>
          <w:szCs w:val="28"/>
        </w:rPr>
        <w:t>2017年国际VCM市场价格走势图</w:t>
      </w:r>
    </w:p>
    <w:p w:rsidR="007D7B74" w:rsidRDefault="00D67120">
      <w:r w:rsidRPr="00D67120">
        <w:rPr>
          <w:noProof/>
        </w:rPr>
        <w:drawing>
          <wp:inline distT="0" distB="0" distL="0" distR="0">
            <wp:extent cx="5400040" cy="3140023"/>
            <wp:effectExtent l="19050" t="0" r="10160" b="3227"/>
            <wp:docPr id="8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7B74" w:rsidRDefault="007D7B74">
      <w:pPr>
        <w:spacing w:line="360" w:lineRule="auto"/>
        <w:rPr>
          <w:sz w:val="18"/>
          <w:szCs w:val="18"/>
        </w:rPr>
      </w:pPr>
    </w:p>
    <w:p w:rsidR="007D7B74" w:rsidRDefault="009851BE">
      <w:pPr>
        <w:spacing w:line="360" w:lineRule="auto"/>
        <w:rPr>
          <w:sz w:val="18"/>
          <w:szCs w:val="18"/>
        </w:rPr>
      </w:pPr>
      <w:r w:rsidRPr="009851BE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5866D5" w:rsidRDefault="005866D5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7D7B7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bookmarkEnd w:id="89"/>
      <w:bookmarkEnd w:id="90"/>
      <w:tr w:rsidR="00D67120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D67120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D67120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D67120" w:rsidRPr="00301D45" w:rsidTr="00301D4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670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535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120" w:rsidRPr="00D67120" w:rsidRDefault="00D671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67120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</w:tr>
    </w:tbl>
    <w:p w:rsidR="007D7B74" w:rsidRDefault="007D7B74">
      <w:bookmarkStart w:id="122" w:name="_Toc488392005"/>
      <w:bookmarkStart w:id="123" w:name="_Toc489608594"/>
      <w:bookmarkStart w:id="124" w:name="_Toc295460186"/>
      <w:bookmarkStart w:id="125" w:name="_Toc247424479"/>
      <w:bookmarkStart w:id="126" w:name="_Toc485914317"/>
      <w:bookmarkStart w:id="127" w:name="_Toc483664864"/>
      <w:bookmarkStart w:id="128" w:name="_Toc488997547"/>
      <w:bookmarkStart w:id="129" w:name="_Toc487798672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0" w:name="_Toc502312508"/>
      <w:bookmarkStart w:id="131" w:name="_Toc502324702"/>
      <w:r>
        <w:rPr>
          <w:rFonts w:ascii="宋体" w:hAnsi="宋体" w:cs="宋体" w:hint="eastAsia"/>
          <w:sz w:val="30"/>
          <w:szCs w:val="30"/>
        </w:rPr>
        <w:t>3.5电石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7D7B74" w:rsidRDefault="007D7B74"/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lastRenderedPageBreak/>
        <w:t>2017年国内电石市场价格走势图</w:t>
      </w:r>
    </w:p>
    <w:p w:rsidR="007D7B74" w:rsidRPr="00475C68" w:rsidRDefault="00727A1F" w:rsidP="00475C6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727A1F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0040" cy="3175375"/>
            <wp:effectExtent l="19050" t="0" r="10160" b="5975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D7B74" w:rsidRDefault="005866D5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32" w:name="_GoBack"/>
      <w:bookmarkEnd w:id="132"/>
      <w:r w:rsidR="009851BE" w:rsidRPr="009851BE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5866D5" w:rsidRDefault="005866D5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7D7B74" w:rsidRDefault="007D7B74">
      <w:pPr>
        <w:wordWrap w:val="0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7D7B7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727A1F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17/12/25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3300</w:t>
            </w:r>
          </w:p>
        </w:tc>
      </w:tr>
      <w:tr w:rsidR="00727A1F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17/12/26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3300</w:t>
            </w:r>
          </w:p>
        </w:tc>
      </w:tr>
      <w:tr w:rsidR="00727A1F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17/12/27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3300</w:t>
            </w:r>
          </w:p>
        </w:tc>
      </w:tr>
      <w:tr w:rsidR="00727A1F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17/12/28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3300</w:t>
            </w:r>
          </w:p>
        </w:tc>
      </w:tr>
      <w:tr w:rsidR="00727A1F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17/12/29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7A1F" w:rsidRPr="00727A1F" w:rsidRDefault="00727A1F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727A1F">
              <w:rPr>
                <w:rFonts w:asciiTheme="majorEastAsia" w:eastAsiaTheme="majorEastAsia" w:hAnsiTheme="majorEastAsia" w:hint="eastAsia"/>
                <w:sz w:val="20"/>
                <w:szCs w:val="20"/>
              </w:rPr>
              <w:t>3300</w:t>
            </w:r>
          </w:p>
        </w:tc>
      </w:tr>
    </w:tbl>
    <w:p w:rsidR="007D7B74" w:rsidRDefault="007D7B74">
      <w:pPr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133" w:name="_Toc260227055"/>
      <w:bookmarkStart w:id="134" w:name="_Toc260229009"/>
      <w:bookmarkStart w:id="135" w:name="_Toc262550199"/>
      <w:bookmarkStart w:id="136" w:name="_Toc261616908"/>
      <w:bookmarkStart w:id="137" w:name="_Toc401302144"/>
      <w:bookmarkStart w:id="138" w:name="_Toc488997548"/>
      <w:bookmarkStart w:id="139" w:name="_Toc487798673"/>
      <w:bookmarkStart w:id="140" w:name="_Toc483664865"/>
      <w:bookmarkStart w:id="141" w:name="_Toc488392006"/>
      <w:bookmarkStart w:id="142" w:name="_Toc489608595"/>
      <w:bookmarkStart w:id="143" w:name="_Toc485914318"/>
      <w:bookmarkStart w:id="144" w:name="_Toc295460173"/>
      <w:bookmarkStart w:id="145" w:name="_Toc262826500"/>
      <w:bookmarkStart w:id="146" w:name="_Toc502312509"/>
      <w:bookmarkStart w:id="147" w:name="_Toc502324703"/>
      <w:r>
        <w:rPr>
          <w:rFonts w:hint="eastAsia"/>
          <w:sz w:val="30"/>
          <w:szCs w:val="30"/>
        </w:rPr>
        <w:t>专题：</w:t>
      </w:r>
      <w:bookmarkEnd w:id="133"/>
      <w:bookmarkEnd w:id="134"/>
      <w:bookmarkEnd w:id="135"/>
      <w:r>
        <w:rPr>
          <w:rFonts w:hint="eastAsia"/>
          <w:sz w:val="30"/>
          <w:szCs w:val="30"/>
        </w:rPr>
        <w:t>宏观统计数据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:rsidR="007E7F8E" w:rsidRDefault="007E7F8E" w:rsidP="007E7F8E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E7F8E">
        <w:rPr>
          <w:rFonts w:ascii="仿宋" w:eastAsia="仿宋" w:hAnsi="仿宋" w:cs="仿宋"/>
          <w:sz w:val="28"/>
          <w:szCs w:val="28"/>
        </w:rPr>
        <w:t>1-11</w:t>
      </w:r>
      <w:r w:rsidRPr="007E7F8E">
        <w:rPr>
          <w:rFonts w:ascii="仿宋" w:eastAsia="仿宋" w:hAnsi="仿宋" w:cs="仿宋" w:hint="eastAsia"/>
          <w:sz w:val="28"/>
          <w:szCs w:val="28"/>
        </w:rPr>
        <w:t>月份，商品房销售面积</w:t>
      </w:r>
      <w:r w:rsidRPr="007E7F8E">
        <w:rPr>
          <w:rFonts w:ascii="仿宋" w:eastAsia="仿宋" w:hAnsi="仿宋" w:cs="仿宋"/>
          <w:sz w:val="28"/>
          <w:szCs w:val="28"/>
        </w:rPr>
        <w:t>146568</w:t>
      </w:r>
      <w:r w:rsidRPr="007E7F8E">
        <w:rPr>
          <w:rFonts w:ascii="仿宋" w:eastAsia="仿宋" w:hAnsi="仿宋" w:cs="仿宋" w:hint="eastAsia"/>
          <w:sz w:val="28"/>
          <w:szCs w:val="28"/>
        </w:rPr>
        <w:t>万平方米，同比增长</w:t>
      </w:r>
      <w:r w:rsidRPr="007E7F8E">
        <w:rPr>
          <w:rFonts w:ascii="仿宋" w:eastAsia="仿宋" w:hAnsi="仿宋" w:cs="仿宋"/>
          <w:sz w:val="28"/>
          <w:szCs w:val="28"/>
        </w:rPr>
        <w:t>7.9%</w:t>
      </w:r>
      <w:r w:rsidRPr="007E7F8E">
        <w:rPr>
          <w:rFonts w:ascii="仿宋" w:eastAsia="仿宋" w:hAnsi="仿宋" w:cs="仿宋" w:hint="eastAsia"/>
          <w:sz w:val="28"/>
          <w:szCs w:val="28"/>
        </w:rPr>
        <w:t>，增速比</w:t>
      </w:r>
      <w:r w:rsidRPr="007E7F8E">
        <w:rPr>
          <w:rFonts w:ascii="仿宋" w:eastAsia="仿宋" w:hAnsi="仿宋" w:cs="仿宋"/>
          <w:sz w:val="28"/>
          <w:szCs w:val="28"/>
        </w:rPr>
        <w:t>1-10</w:t>
      </w:r>
      <w:r w:rsidRPr="007E7F8E">
        <w:rPr>
          <w:rFonts w:ascii="仿宋" w:eastAsia="仿宋" w:hAnsi="仿宋" w:cs="仿宋" w:hint="eastAsia"/>
          <w:sz w:val="28"/>
          <w:szCs w:val="28"/>
        </w:rPr>
        <w:t>月份回落</w:t>
      </w:r>
      <w:r w:rsidRPr="007E7F8E">
        <w:rPr>
          <w:rFonts w:ascii="仿宋" w:eastAsia="仿宋" w:hAnsi="仿宋" w:cs="仿宋"/>
          <w:sz w:val="28"/>
          <w:szCs w:val="28"/>
        </w:rPr>
        <w:t>0.3</w:t>
      </w:r>
      <w:r w:rsidRPr="007E7F8E">
        <w:rPr>
          <w:rFonts w:ascii="仿宋" w:eastAsia="仿宋" w:hAnsi="仿宋" w:cs="仿宋" w:hint="eastAsia"/>
          <w:sz w:val="28"/>
          <w:szCs w:val="28"/>
        </w:rPr>
        <w:t>个百分点。其中，住宅销售面积增长</w:t>
      </w:r>
      <w:r w:rsidRPr="007E7F8E">
        <w:rPr>
          <w:rFonts w:ascii="仿宋" w:eastAsia="仿宋" w:hAnsi="仿宋" w:cs="仿宋"/>
          <w:sz w:val="28"/>
          <w:szCs w:val="28"/>
        </w:rPr>
        <w:t>5.4%</w:t>
      </w:r>
      <w:r w:rsidRPr="007E7F8E">
        <w:rPr>
          <w:rFonts w:ascii="仿宋" w:eastAsia="仿宋" w:hAnsi="仿宋" w:cs="仿宋" w:hint="eastAsia"/>
          <w:sz w:val="28"/>
          <w:szCs w:val="28"/>
        </w:rPr>
        <w:t>，办公楼销售面积增长</w:t>
      </w:r>
      <w:r w:rsidRPr="007E7F8E">
        <w:rPr>
          <w:rFonts w:ascii="仿宋" w:eastAsia="仿宋" w:hAnsi="仿宋" w:cs="仿宋"/>
          <w:sz w:val="28"/>
          <w:szCs w:val="28"/>
        </w:rPr>
        <w:t>26.7%</w:t>
      </w:r>
      <w:r w:rsidRPr="007E7F8E">
        <w:rPr>
          <w:rFonts w:ascii="仿宋" w:eastAsia="仿宋" w:hAnsi="仿宋" w:cs="仿宋" w:hint="eastAsia"/>
          <w:sz w:val="28"/>
          <w:szCs w:val="28"/>
        </w:rPr>
        <w:t>，商业营业用房销售面积增长</w:t>
      </w:r>
      <w:r w:rsidRPr="007E7F8E">
        <w:rPr>
          <w:rFonts w:ascii="仿宋" w:eastAsia="仿宋" w:hAnsi="仿宋" w:cs="仿宋"/>
          <w:sz w:val="28"/>
          <w:szCs w:val="28"/>
        </w:rPr>
        <w:t>19.3%</w:t>
      </w:r>
      <w:r w:rsidRPr="007E7F8E">
        <w:rPr>
          <w:rFonts w:ascii="仿宋" w:eastAsia="仿宋" w:hAnsi="仿宋" w:cs="仿宋" w:hint="eastAsia"/>
          <w:sz w:val="28"/>
          <w:szCs w:val="28"/>
        </w:rPr>
        <w:t>。商品房销售额</w:t>
      </w:r>
      <w:r w:rsidRPr="007E7F8E">
        <w:rPr>
          <w:rFonts w:ascii="仿宋" w:eastAsia="仿宋" w:hAnsi="仿宋" w:cs="仿宋"/>
          <w:sz w:val="28"/>
          <w:szCs w:val="28"/>
        </w:rPr>
        <w:t>115481</w:t>
      </w:r>
      <w:r w:rsidRPr="007E7F8E">
        <w:rPr>
          <w:rFonts w:ascii="仿宋" w:eastAsia="仿宋" w:hAnsi="仿宋" w:cs="仿宋" w:hint="eastAsia"/>
          <w:sz w:val="28"/>
          <w:szCs w:val="28"/>
        </w:rPr>
        <w:t>亿元，增长</w:t>
      </w:r>
      <w:r w:rsidRPr="007E7F8E">
        <w:rPr>
          <w:rFonts w:ascii="仿宋" w:eastAsia="仿宋" w:hAnsi="仿宋" w:cs="仿宋"/>
          <w:sz w:val="28"/>
          <w:szCs w:val="28"/>
        </w:rPr>
        <w:t>12.7%</w:t>
      </w:r>
      <w:r w:rsidRPr="007E7F8E">
        <w:rPr>
          <w:rFonts w:ascii="仿宋" w:eastAsia="仿宋" w:hAnsi="仿宋" w:cs="仿宋" w:hint="eastAsia"/>
          <w:sz w:val="28"/>
          <w:szCs w:val="28"/>
        </w:rPr>
        <w:t>，增速提高</w:t>
      </w:r>
      <w:r w:rsidRPr="007E7F8E">
        <w:rPr>
          <w:rFonts w:ascii="仿宋" w:eastAsia="仿宋" w:hAnsi="仿宋" w:cs="仿宋"/>
          <w:sz w:val="28"/>
          <w:szCs w:val="28"/>
        </w:rPr>
        <w:t>0.1</w:t>
      </w:r>
      <w:r w:rsidRPr="007E7F8E">
        <w:rPr>
          <w:rFonts w:ascii="仿宋" w:eastAsia="仿宋" w:hAnsi="仿宋" w:cs="仿宋" w:hint="eastAsia"/>
          <w:sz w:val="28"/>
          <w:szCs w:val="28"/>
        </w:rPr>
        <w:t>个百分点。其中，住宅销售额增长</w:t>
      </w:r>
      <w:r w:rsidRPr="007E7F8E">
        <w:rPr>
          <w:rFonts w:ascii="仿宋" w:eastAsia="仿宋" w:hAnsi="仿宋" w:cs="仿宋"/>
          <w:sz w:val="28"/>
          <w:szCs w:val="28"/>
        </w:rPr>
        <w:t>9.9%</w:t>
      </w:r>
      <w:r w:rsidRPr="007E7F8E">
        <w:rPr>
          <w:rFonts w:ascii="仿宋" w:eastAsia="仿宋" w:hAnsi="仿宋" w:cs="仿宋" w:hint="eastAsia"/>
          <w:sz w:val="28"/>
          <w:szCs w:val="28"/>
        </w:rPr>
        <w:t>，办公楼销售额增长</w:t>
      </w:r>
      <w:r w:rsidRPr="007E7F8E">
        <w:rPr>
          <w:rFonts w:ascii="仿宋" w:eastAsia="仿宋" w:hAnsi="仿宋" w:cs="仿宋"/>
          <w:sz w:val="28"/>
          <w:szCs w:val="28"/>
        </w:rPr>
        <w:t>19.4%</w:t>
      </w:r>
      <w:r w:rsidRPr="007E7F8E">
        <w:rPr>
          <w:rFonts w:ascii="仿宋" w:eastAsia="仿宋" w:hAnsi="仿宋" w:cs="仿宋" w:hint="eastAsia"/>
          <w:sz w:val="28"/>
          <w:szCs w:val="28"/>
        </w:rPr>
        <w:t>，商业营业用房销售额增长</w:t>
      </w:r>
      <w:r w:rsidRPr="007E7F8E">
        <w:rPr>
          <w:rFonts w:ascii="仿宋" w:eastAsia="仿宋" w:hAnsi="仿宋" w:cs="仿宋"/>
          <w:sz w:val="28"/>
          <w:szCs w:val="28"/>
        </w:rPr>
        <w:t>26.2%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</w:p>
    <w:p w:rsidR="007E7F8E" w:rsidRDefault="007E7F8E" w:rsidP="007E7F8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E7F8E">
        <w:rPr>
          <w:rFonts w:ascii="仿宋" w:eastAsia="仿宋" w:hAnsi="仿宋" w:cs="仿宋"/>
          <w:sz w:val="28"/>
          <w:szCs w:val="28"/>
        </w:rPr>
        <w:lastRenderedPageBreak/>
        <w:t>2017</w:t>
      </w:r>
      <w:r w:rsidRPr="007E7F8E">
        <w:rPr>
          <w:rFonts w:ascii="仿宋" w:eastAsia="仿宋" w:hAnsi="仿宋" w:cs="仿宋" w:hint="eastAsia"/>
          <w:sz w:val="28"/>
          <w:szCs w:val="28"/>
        </w:rPr>
        <w:t>年</w:t>
      </w:r>
      <w:r w:rsidRPr="007E7F8E">
        <w:rPr>
          <w:rFonts w:ascii="仿宋" w:eastAsia="仿宋" w:hAnsi="仿宋" w:cs="仿宋"/>
          <w:sz w:val="28"/>
          <w:szCs w:val="28"/>
        </w:rPr>
        <w:t>11</w:t>
      </w:r>
      <w:r w:rsidRPr="007E7F8E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7E7F8E">
        <w:rPr>
          <w:rFonts w:ascii="仿宋" w:eastAsia="仿宋" w:hAnsi="仿宋" w:cs="仿宋"/>
          <w:sz w:val="28"/>
          <w:szCs w:val="28"/>
        </w:rPr>
        <w:t>1.7%</w:t>
      </w:r>
      <w:r w:rsidRPr="007E7F8E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7E7F8E">
        <w:rPr>
          <w:rFonts w:ascii="仿宋" w:eastAsia="仿宋" w:hAnsi="仿宋" w:cs="仿宋"/>
          <w:sz w:val="28"/>
          <w:szCs w:val="28"/>
        </w:rPr>
        <w:t>1.8%</w:t>
      </w:r>
      <w:r w:rsidRPr="007E7F8E">
        <w:rPr>
          <w:rFonts w:ascii="仿宋" w:eastAsia="仿宋" w:hAnsi="仿宋" w:cs="仿宋" w:hint="eastAsia"/>
          <w:sz w:val="28"/>
          <w:szCs w:val="28"/>
        </w:rPr>
        <w:t>，农村上涨</w:t>
      </w:r>
      <w:r w:rsidRPr="007E7F8E">
        <w:rPr>
          <w:rFonts w:ascii="仿宋" w:eastAsia="仿宋" w:hAnsi="仿宋" w:cs="仿宋"/>
          <w:sz w:val="28"/>
          <w:szCs w:val="28"/>
        </w:rPr>
        <w:t>1.5%</w:t>
      </w:r>
      <w:r w:rsidRPr="007E7F8E">
        <w:rPr>
          <w:rFonts w:ascii="仿宋" w:eastAsia="仿宋" w:hAnsi="仿宋" w:cs="仿宋" w:hint="eastAsia"/>
          <w:sz w:val="28"/>
          <w:szCs w:val="28"/>
        </w:rPr>
        <w:t>；食品价格下降</w:t>
      </w:r>
      <w:r w:rsidRPr="007E7F8E">
        <w:rPr>
          <w:rFonts w:ascii="仿宋" w:eastAsia="仿宋" w:hAnsi="仿宋" w:cs="仿宋"/>
          <w:sz w:val="28"/>
          <w:szCs w:val="28"/>
        </w:rPr>
        <w:t>1.1%</w:t>
      </w:r>
      <w:r w:rsidRPr="007E7F8E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7E7F8E">
        <w:rPr>
          <w:rFonts w:ascii="仿宋" w:eastAsia="仿宋" w:hAnsi="仿宋" w:cs="仿宋"/>
          <w:sz w:val="28"/>
          <w:szCs w:val="28"/>
        </w:rPr>
        <w:t>2.5%</w:t>
      </w:r>
      <w:r w:rsidRPr="007E7F8E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7E7F8E">
        <w:rPr>
          <w:rFonts w:ascii="仿宋" w:eastAsia="仿宋" w:hAnsi="仿宋" w:cs="仿宋"/>
          <w:sz w:val="28"/>
          <w:szCs w:val="28"/>
        </w:rPr>
        <w:t>0.9%</w:t>
      </w:r>
      <w:r w:rsidRPr="007E7F8E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7E7F8E">
        <w:rPr>
          <w:rFonts w:ascii="仿宋" w:eastAsia="仿宋" w:hAnsi="仿宋" w:cs="仿宋"/>
          <w:sz w:val="28"/>
          <w:szCs w:val="28"/>
        </w:rPr>
        <w:t>3.1%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  <w:r w:rsidRPr="007E7F8E">
        <w:rPr>
          <w:rFonts w:ascii="仿宋" w:eastAsia="仿宋" w:hAnsi="仿宋" w:cs="仿宋"/>
          <w:sz w:val="28"/>
          <w:szCs w:val="28"/>
        </w:rPr>
        <w:t>1-11</w:t>
      </w:r>
      <w:r w:rsidRPr="007E7F8E">
        <w:rPr>
          <w:rFonts w:ascii="仿宋" w:eastAsia="仿宋" w:hAnsi="仿宋" w:cs="仿宋" w:hint="eastAsia"/>
          <w:sz w:val="28"/>
          <w:szCs w:val="28"/>
        </w:rPr>
        <w:t>月平均，全国居民消费价格总水平比去年同期上涨</w:t>
      </w:r>
      <w:r w:rsidRPr="007E7F8E">
        <w:rPr>
          <w:rFonts w:ascii="仿宋" w:eastAsia="仿宋" w:hAnsi="仿宋" w:cs="仿宋"/>
          <w:sz w:val="28"/>
          <w:szCs w:val="28"/>
        </w:rPr>
        <w:t>1.5%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  <w:r w:rsidRPr="007E7F8E">
        <w:rPr>
          <w:rFonts w:ascii="仿宋" w:eastAsia="仿宋" w:hAnsi="仿宋" w:cs="仿宋"/>
          <w:sz w:val="28"/>
          <w:szCs w:val="28"/>
        </w:rPr>
        <w:t>11</w:t>
      </w:r>
      <w:r w:rsidRPr="007E7F8E">
        <w:rPr>
          <w:rFonts w:ascii="仿宋" w:eastAsia="仿宋" w:hAnsi="仿宋" w:cs="仿宋" w:hint="eastAsia"/>
          <w:sz w:val="28"/>
          <w:szCs w:val="28"/>
        </w:rPr>
        <w:t>月份，全国居民消费价格环比持平。其中，城市和农村均持平；食品价格下降</w:t>
      </w:r>
      <w:r w:rsidRPr="007E7F8E">
        <w:rPr>
          <w:rFonts w:ascii="仿宋" w:eastAsia="仿宋" w:hAnsi="仿宋" w:cs="仿宋"/>
          <w:sz w:val="28"/>
          <w:szCs w:val="28"/>
        </w:rPr>
        <w:t>0.5%</w:t>
      </w:r>
      <w:r w:rsidRPr="007E7F8E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7E7F8E">
        <w:rPr>
          <w:rFonts w:ascii="仿宋" w:eastAsia="仿宋" w:hAnsi="仿宋" w:cs="仿宋"/>
          <w:sz w:val="28"/>
          <w:szCs w:val="28"/>
        </w:rPr>
        <w:t>0.1%</w:t>
      </w:r>
      <w:r w:rsidRPr="007E7F8E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7E7F8E">
        <w:rPr>
          <w:rFonts w:ascii="仿宋" w:eastAsia="仿宋" w:hAnsi="仿宋" w:cs="仿宋"/>
          <w:sz w:val="28"/>
          <w:szCs w:val="28"/>
        </w:rPr>
        <w:t>0.1%</w:t>
      </w:r>
      <w:r w:rsidRPr="007E7F8E">
        <w:rPr>
          <w:rFonts w:ascii="仿宋" w:eastAsia="仿宋" w:hAnsi="仿宋" w:cs="仿宋" w:hint="eastAsia"/>
          <w:sz w:val="28"/>
          <w:szCs w:val="28"/>
        </w:rPr>
        <w:t>，服务价格下降</w:t>
      </w:r>
      <w:r w:rsidRPr="007E7F8E">
        <w:rPr>
          <w:rFonts w:ascii="仿宋" w:eastAsia="仿宋" w:hAnsi="仿宋" w:cs="仿宋"/>
          <w:sz w:val="28"/>
          <w:szCs w:val="28"/>
        </w:rPr>
        <w:t>0.1%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682AB3" w:rsidP="00682AB3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82AB3">
        <w:rPr>
          <w:rFonts w:ascii="仿宋" w:eastAsia="仿宋" w:hAnsi="仿宋" w:cs="仿宋"/>
          <w:sz w:val="28"/>
          <w:szCs w:val="28"/>
        </w:rPr>
        <w:t>2017</w:t>
      </w:r>
      <w:r w:rsidRPr="00682AB3">
        <w:rPr>
          <w:rFonts w:ascii="仿宋" w:eastAsia="仿宋" w:hAnsi="仿宋" w:cs="仿宋" w:hint="eastAsia"/>
          <w:sz w:val="28"/>
          <w:szCs w:val="28"/>
        </w:rPr>
        <w:t>年</w:t>
      </w:r>
      <w:r w:rsidRPr="00682AB3">
        <w:rPr>
          <w:rFonts w:ascii="仿宋" w:eastAsia="仿宋" w:hAnsi="仿宋" w:cs="仿宋"/>
          <w:sz w:val="28"/>
          <w:szCs w:val="28"/>
        </w:rPr>
        <w:t>1-11</w:t>
      </w:r>
      <w:r w:rsidRPr="00682AB3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682AB3">
        <w:rPr>
          <w:rFonts w:ascii="仿宋" w:eastAsia="仿宋" w:hAnsi="仿宋" w:cs="仿宋"/>
          <w:sz w:val="28"/>
          <w:szCs w:val="28"/>
        </w:rPr>
        <w:t>575057</w:t>
      </w:r>
      <w:r w:rsidRPr="00682AB3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82AB3">
        <w:rPr>
          <w:rFonts w:ascii="仿宋" w:eastAsia="仿宋" w:hAnsi="仿宋" w:cs="仿宋"/>
          <w:sz w:val="28"/>
          <w:szCs w:val="28"/>
        </w:rPr>
        <w:t>7.2%</w:t>
      </w:r>
      <w:r w:rsidRPr="00682AB3">
        <w:rPr>
          <w:rFonts w:ascii="仿宋" w:eastAsia="仿宋" w:hAnsi="仿宋" w:cs="仿宋" w:hint="eastAsia"/>
          <w:sz w:val="28"/>
          <w:szCs w:val="28"/>
        </w:rPr>
        <w:t>，增速比</w:t>
      </w:r>
      <w:r w:rsidRPr="00682AB3">
        <w:rPr>
          <w:rFonts w:ascii="仿宋" w:eastAsia="仿宋" w:hAnsi="仿宋" w:cs="仿宋"/>
          <w:sz w:val="28"/>
          <w:szCs w:val="28"/>
        </w:rPr>
        <w:t>1-10</w:t>
      </w:r>
      <w:r w:rsidRPr="00682AB3">
        <w:rPr>
          <w:rFonts w:ascii="仿宋" w:eastAsia="仿宋" w:hAnsi="仿宋" w:cs="仿宋" w:hint="eastAsia"/>
          <w:sz w:val="28"/>
          <w:szCs w:val="28"/>
        </w:rPr>
        <w:t>月份回落</w:t>
      </w:r>
      <w:r w:rsidRPr="00682AB3">
        <w:rPr>
          <w:rFonts w:ascii="仿宋" w:eastAsia="仿宋" w:hAnsi="仿宋" w:cs="仿宋"/>
          <w:sz w:val="28"/>
          <w:szCs w:val="28"/>
        </w:rPr>
        <w:t>0.1</w:t>
      </w:r>
      <w:r w:rsidRPr="00682AB3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682AB3">
        <w:rPr>
          <w:rFonts w:ascii="仿宋" w:eastAsia="仿宋" w:hAnsi="仿宋" w:cs="仿宋"/>
          <w:sz w:val="28"/>
          <w:szCs w:val="28"/>
        </w:rPr>
        <w:t>11</w:t>
      </w:r>
      <w:r w:rsidRPr="00682AB3">
        <w:rPr>
          <w:rFonts w:ascii="仿宋" w:eastAsia="仿宋" w:hAnsi="仿宋" w:cs="仿宋" w:hint="eastAsia"/>
          <w:sz w:val="28"/>
          <w:szCs w:val="28"/>
        </w:rPr>
        <w:t>月份比</w:t>
      </w:r>
      <w:r w:rsidRPr="00682AB3">
        <w:rPr>
          <w:rFonts w:ascii="仿宋" w:eastAsia="仿宋" w:hAnsi="仿宋" w:cs="仿宋"/>
          <w:sz w:val="28"/>
          <w:szCs w:val="28"/>
        </w:rPr>
        <w:t>10</w:t>
      </w:r>
      <w:r w:rsidRPr="00682AB3">
        <w:rPr>
          <w:rFonts w:ascii="仿宋" w:eastAsia="仿宋" w:hAnsi="仿宋" w:cs="仿宋" w:hint="eastAsia"/>
          <w:sz w:val="28"/>
          <w:szCs w:val="28"/>
        </w:rPr>
        <w:t>月份增长</w:t>
      </w:r>
      <w:r w:rsidRPr="00682AB3">
        <w:rPr>
          <w:rFonts w:ascii="仿宋" w:eastAsia="仿宋" w:hAnsi="仿宋" w:cs="仿宋"/>
          <w:sz w:val="28"/>
          <w:szCs w:val="28"/>
        </w:rPr>
        <w:t>0.53%</w:t>
      </w:r>
      <w:r w:rsidRPr="00682AB3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7D7B74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7D7B74" w:rsidRDefault="005866D5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7D7B74" w:rsidRDefault="005866D5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7D7B74" w:rsidRDefault="007D7B74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7D7B74" w:rsidSect="007D7B74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287" w:rsidRDefault="008D4287" w:rsidP="007D7B74">
      <w:r>
        <w:separator/>
      </w:r>
    </w:p>
  </w:endnote>
  <w:endnote w:type="continuationSeparator" w:id="1">
    <w:p w:rsidR="008D4287" w:rsidRDefault="008D4287" w:rsidP="007D7B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6D5" w:rsidRDefault="009851BE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5866D5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72A96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5866D5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5866D5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72A96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5866D5" w:rsidRDefault="005866D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287" w:rsidRDefault="008D4287" w:rsidP="007D7B74">
      <w:r>
        <w:separator/>
      </w:r>
    </w:p>
  </w:footnote>
  <w:footnote w:type="continuationSeparator" w:id="1">
    <w:p w:rsidR="008D4287" w:rsidRDefault="008D4287" w:rsidP="007D7B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6D5" w:rsidRDefault="005866D5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66D5" w:rsidRDefault="005866D5">
    <w:pPr>
      <w:pStyle w:val="a5"/>
      <w:pBdr>
        <w:bottom w:val="none" w:sz="0" w:space="0" w:color="auto"/>
      </w:pBdr>
    </w:pPr>
  </w:p>
  <w:p w:rsidR="005866D5" w:rsidRDefault="005866D5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7650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7DFB"/>
    <w:rsid w:val="000133F2"/>
    <w:rsid w:val="00025F3A"/>
    <w:rsid w:val="0003056D"/>
    <w:rsid w:val="000308BA"/>
    <w:rsid w:val="0003481E"/>
    <w:rsid w:val="00034D91"/>
    <w:rsid w:val="00035EF6"/>
    <w:rsid w:val="0004312A"/>
    <w:rsid w:val="00043BD5"/>
    <w:rsid w:val="000538D5"/>
    <w:rsid w:val="000619A2"/>
    <w:rsid w:val="0006271A"/>
    <w:rsid w:val="00072A96"/>
    <w:rsid w:val="0007451C"/>
    <w:rsid w:val="00083CF6"/>
    <w:rsid w:val="00085917"/>
    <w:rsid w:val="00085939"/>
    <w:rsid w:val="00096A95"/>
    <w:rsid w:val="00096CEE"/>
    <w:rsid w:val="000B0FBD"/>
    <w:rsid w:val="000C2753"/>
    <w:rsid w:val="000C5BD8"/>
    <w:rsid w:val="000C6A76"/>
    <w:rsid w:val="000D3807"/>
    <w:rsid w:val="000D7161"/>
    <w:rsid w:val="000E75D7"/>
    <w:rsid w:val="000F4871"/>
    <w:rsid w:val="000F5020"/>
    <w:rsid w:val="001006E5"/>
    <w:rsid w:val="0010493A"/>
    <w:rsid w:val="00106FBB"/>
    <w:rsid w:val="001076A7"/>
    <w:rsid w:val="001128DB"/>
    <w:rsid w:val="001209C8"/>
    <w:rsid w:val="00122991"/>
    <w:rsid w:val="00134A19"/>
    <w:rsid w:val="00135602"/>
    <w:rsid w:val="00140694"/>
    <w:rsid w:val="0014454E"/>
    <w:rsid w:val="001470D3"/>
    <w:rsid w:val="0018339A"/>
    <w:rsid w:val="00193843"/>
    <w:rsid w:val="001944C7"/>
    <w:rsid w:val="001A611D"/>
    <w:rsid w:val="001A6CDE"/>
    <w:rsid w:val="001B0566"/>
    <w:rsid w:val="001C20CD"/>
    <w:rsid w:val="001D3943"/>
    <w:rsid w:val="001D51C3"/>
    <w:rsid w:val="001D66C9"/>
    <w:rsid w:val="001E436A"/>
    <w:rsid w:val="001E44DF"/>
    <w:rsid w:val="001F5133"/>
    <w:rsid w:val="001F53BC"/>
    <w:rsid w:val="0020375C"/>
    <w:rsid w:val="0021248D"/>
    <w:rsid w:val="002153A3"/>
    <w:rsid w:val="00215CC5"/>
    <w:rsid w:val="0022723B"/>
    <w:rsid w:val="00233C66"/>
    <w:rsid w:val="0023654D"/>
    <w:rsid w:val="0023692F"/>
    <w:rsid w:val="002432F1"/>
    <w:rsid w:val="00254B8C"/>
    <w:rsid w:val="0026357C"/>
    <w:rsid w:val="0027222D"/>
    <w:rsid w:val="00272CA8"/>
    <w:rsid w:val="00277D2C"/>
    <w:rsid w:val="00284A3C"/>
    <w:rsid w:val="00285155"/>
    <w:rsid w:val="00294308"/>
    <w:rsid w:val="00294BF0"/>
    <w:rsid w:val="002B1650"/>
    <w:rsid w:val="002B4374"/>
    <w:rsid w:val="002B7E00"/>
    <w:rsid w:val="002C1E4D"/>
    <w:rsid w:val="002C3D9A"/>
    <w:rsid w:val="002C5A7C"/>
    <w:rsid w:val="002D2965"/>
    <w:rsid w:val="002D67FA"/>
    <w:rsid w:val="002E08B2"/>
    <w:rsid w:val="002F230B"/>
    <w:rsid w:val="00300114"/>
    <w:rsid w:val="00301D45"/>
    <w:rsid w:val="0030370A"/>
    <w:rsid w:val="00324E26"/>
    <w:rsid w:val="00327218"/>
    <w:rsid w:val="00330140"/>
    <w:rsid w:val="00342E76"/>
    <w:rsid w:val="003430CA"/>
    <w:rsid w:val="00345994"/>
    <w:rsid w:val="00351054"/>
    <w:rsid w:val="00361079"/>
    <w:rsid w:val="003637F5"/>
    <w:rsid w:val="00363A5A"/>
    <w:rsid w:val="00386F9E"/>
    <w:rsid w:val="003C03BF"/>
    <w:rsid w:val="003D5435"/>
    <w:rsid w:val="003D6775"/>
    <w:rsid w:val="003E5A2D"/>
    <w:rsid w:val="003F4A5A"/>
    <w:rsid w:val="003F534D"/>
    <w:rsid w:val="00400BB7"/>
    <w:rsid w:val="004012AC"/>
    <w:rsid w:val="00403EAD"/>
    <w:rsid w:val="00404F29"/>
    <w:rsid w:val="004240C3"/>
    <w:rsid w:val="004438D9"/>
    <w:rsid w:val="004457C0"/>
    <w:rsid w:val="004468EC"/>
    <w:rsid w:val="00447A7E"/>
    <w:rsid w:val="00455424"/>
    <w:rsid w:val="00460727"/>
    <w:rsid w:val="00475C68"/>
    <w:rsid w:val="0048213C"/>
    <w:rsid w:val="00487D2C"/>
    <w:rsid w:val="00491A4E"/>
    <w:rsid w:val="00491FD8"/>
    <w:rsid w:val="0049544D"/>
    <w:rsid w:val="00497981"/>
    <w:rsid w:val="004A028A"/>
    <w:rsid w:val="004A325A"/>
    <w:rsid w:val="004B3F10"/>
    <w:rsid w:val="004B7B29"/>
    <w:rsid w:val="004C4D15"/>
    <w:rsid w:val="004E5F2C"/>
    <w:rsid w:val="004F27BF"/>
    <w:rsid w:val="005000A9"/>
    <w:rsid w:val="005027CA"/>
    <w:rsid w:val="00514F38"/>
    <w:rsid w:val="00516BB6"/>
    <w:rsid w:val="0052739A"/>
    <w:rsid w:val="005369A0"/>
    <w:rsid w:val="00537871"/>
    <w:rsid w:val="00562C5F"/>
    <w:rsid w:val="00564DD0"/>
    <w:rsid w:val="005728D8"/>
    <w:rsid w:val="00583127"/>
    <w:rsid w:val="005866D5"/>
    <w:rsid w:val="00587A17"/>
    <w:rsid w:val="0059522B"/>
    <w:rsid w:val="005A0041"/>
    <w:rsid w:val="005B2422"/>
    <w:rsid w:val="005B32F2"/>
    <w:rsid w:val="005C0E51"/>
    <w:rsid w:val="005C27BC"/>
    <w:rsid w:val="005D235E"/>
    <w:rsid w:val="005D7BFA"/>
    <w:rsid w:val="005E152A"/>
    <w:rsid w:val="005E5645"/>
    <w:rsid w:val="005E6DA3"/>
    <w:rsid w:val="005F185E"/>
    <w:rsid w:val="005F1E5F"/>
    <w:rsid w:val="005F335A"/>
    <w:rsid w:val="005F4661"/>
    <w:rsid w:val="00612B48"/>
    <w:rsid w:val="00620F37"/>
    <w:rsid w:val="006349D1"/>
    <w:rsid w:val="00635DE9"/>
    <w:rsid w:val="006456B0"/>
    <w:rsid w:val="00645CD6"/>
    <w:rsid w:val="00655213"/>
    <w:rsid w:val="0066117C"/>
    <w:rsid w:val="006653C3"/>
    <w:rsid w:val="00682AB3"/>
    <w:rsid w:val="0068419C"/>
    <w:rsid w:val="00687DFE"/>
    <w:rsid w:val="00695DC6"/>
    <w:rsid w:val="0069612A"/>
    <w:rsid w:val="006A1C4E"/>
    <w:rsid w:val="006A5CC5"/>
    <w:rsid w:val="006B00C4"/>
    <w:rsid w:val="006B780F"/>
    <w:rsid w:val="006C26C7"/>
    <w:rsid w:val="006E0B9A"/>
    <w:rsid w:val="006E3200"/>
    <w:rsid w:val="006E3F43"/>
    <w:rsid w:val="007116AF"/>
    <w:rsid w:val="00712DCA"/>
    <w:rsid w:val="00725225"/>
    <w:rsid w:val="007274C1"/>
    <w:rsid w:val="00727A1F"/>
    <w:rsid w:val="00735CCE"/>
    <w:rsid w:val="007419C8"/>
    <w:rsid w:val="00743E17"/>
    <w:rsid w:val="00743EAD"/>
    <w:rsid w:val="00743F73"/>
    <w:rsid w:val="007441A5"/>
    <w:rsid w:val="00746C21"/>
    <w:rsid w:val="00746C71"/>
    <w:rsid w:val="007477A6"/>
    <w:rsid w:val="007510DA"/>
    <w:rsid w:val="007545F7"/>
    <w:rsid w:val="00760F98"/>
    <w:rsid w:val="00761DA8"/>
    <w:rsid w:val="00762659"/>
    <w:rsid w:val="00764161"/>
    <w:rsid w:val="00777E3C"/>
    <w:rsid w:val="00791197"/>
    <w:rsid w:val="007A2906"/>
    <w:rsid w:val="007A4701"/>
    <w:rsid w:val="007B1F58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D7B74"/>
    <w:rsid w:val="007E15A8"/>
    <w:rsid w:val="007E325A"/>
    <w:rsid w:val="007E3D63"/>
    <w:rsid w:val="007E47F0"/>
    <w:rsid w:val="007E65C9"/>
    <w:rsid w:val="007E7F8E"/>
    <w:rsid w:val="00800CDB"/>
    <w:rsid w:val="0080544C"/>
    <w:rsid w:val="00810EAE"/>
    <w:rsid w:val="008117C9"/>
    <w:rsid w:val="00813D36"/>
    <w:rsid w:val="0081768D"/>
    <w:rsid w:val="008236E7"/>
    <w:rsid w:val="00823AC9"/>
    <w:rsid w:val="00824F69"/>
    <w:rsid w:val="008253ED"/>
    <w:rsid w:val="008322E6"/>
    <w:rsid w:val="00851423"/>
    <w:rsid w:val="008567F6"/>
    <w:rsid w:val="00857BA3"/>
    <w:rsid w:val="00871D30"/>
    <w:rsid w:val="00872209"/>
    <w:rsid w:val="0087364C"/>
    <w:rsid w:val="00884C52"/>
    <w:rsid w:val="00885481"/>
    <w:rsid w:val="00891E12"/>
    <w:rsid w:val="008A13F1"/>
    <w:rsid w:val="008A16F4"/>
    <w:rsid w:val="008A4ADF"/>
    <w:rsid w:val="008C0961"/>
    <w:rsid w:val="008C0DDF"/>
    <w:rsid w:val="008D0BC3"/>
    <w:rsid w:val="008D4287"/>
    <w:rsid w:val="008F0C22"/>
    <w:rsid w:val="008F0EA6"/>
    <w:rsid w:val="009067E8"/>
    <w:rsid w:val="00910F41"/>
    <w:rsid w:val="00911C20"/>
    <w:rsid w:val="00914E5F"/>
    <w:rsid w:val="009373E9"/>
    <w:rsid w:val="00953D05"/>
    <w:rsid w:val="0096172A"/>
    <w:rsid w:val="00965694"/>
    <w:rsid w:val="009714AB"/>
    <w:rsid w:val="00981905"/>
    <w:rsid w:val="009851BE"/>
    <w:rsid w:val="00990AE6"/>
    <w:rsid w:val="00993180"/>
    <w:rsid w:val="00993879"/>
    <w:rsid w:val="0099657D"/>
    <w:rsid w:val="009A6423"/>
    <w:rsid w:val="009A7964"/>
    <w:rsid w:val="009B2B0B"/>
    <w:rsid w:val="009B4D23"/>
    <w:rsid w:val="009B4DE2"/>
    <w:rsid w:val="009B6896"/>
    <w:rsid w:val="009D4C30"/>
    <w:rsid w:val="009D59ED"/>
    <w:rsid w:val="009D5BA1"/>
    <w:rsid w:val="009E1398"/>
    <w:rsid w:val="00A039D4"/>
    <w:rsid w:val="00A05943"/>
    <w:rsid w:val="00A0658F"/>
    <w:rsid w:val="00A11BB0"/>
    <w:rsid w:val="00A13F55"/>
    <w:rsid w:val="00A202F9"/>
    <w:rsid w:val="00A31F3B"/>
    <w:rsid w:val="00A3381B"/>
    <w:rsid w:val="00A431A7"/>
    <w:rsid w:val="00A45A0A"/>
    <w:rsid w:val="00A47797"/>
    <w:rsid w:val="00A54A17"/>
    <w:rsid w:val="00A564D5"/>
    <w:rsid w:val="00A70333"/>
    <w:rsid w:val="00A724EB"/>
    <w:rsid w:val="00A7553D"/>
    <w:rsid w:val="00A77016"/>
    <w:rsid w:val="00A86414"/>
    <w:rsid w:val="00A9016F"/>
    <w:rsid w:val="00A91591"/>
    <w:rsid w:val="00A96AC2"/>
    <w:rsid w:val="00AA2B10"/>
    <w:rsid w:val="00AA726E"/>
    <w:rsid w:val="00AB6ECB"/>
    <w:rsid w:val="00AB77E9"/>
    <w:rsid w:val="00AC0BBE"/>
    <w:rsid w:val="00AD0D88"/>
    <w:rsid w:val="00AD4A90"/>
    <w:rsid w:val="00AD545F"/>
    <w:rsid w:val="00AD5D7D"/>
    <w:rsid w:val="00AE1F6F"/>
    <w:rsid w:val="00AE47CF"/>
    <w:rsid w:val="00AE5627"/>
    <w:rsid w:val="00AF48E9"/>
    <w:rsid w:val="00B048E7"/>
    <w:rsid w:val="00B10BC4"/>
    <w:rsid w:val="00B123F0"/>
    <w:rsid w:val="00B306B3"/>
    <w:rsid w:val="00B31CA8"/>
    <w:rsid w:val="00B36608"/>
    <w:rsid w:val="00B4232A"/>
    <w:rsid w:val="00B42350"/>
    <w:rsid w:val="00B42A6D"/>
    <w:rsid w:val="00B42DF1"/>
    <w:rsid w:val="00B44411"/>
    <w:rsid w:val="00B51E9D"/>
    <w:rsid w:val="00B57551"/>
    <w:rsid w:val="00B62BC8"/>
    <w:rsid w:val="00B65FD7"/>
    <w:rsid w:val="00B76376"/>
    <w:rsid w:val="00B779AB"/>
    <w:rsid w:val="00BA72F0"/>
    <w:rsid w:val="00BA7BA1"/>
    <w:rsid w:val="00BB56DD"/>
    <w:rsid w:val="00BD5E1E"/>
    <w:rsid w:val="00BE4EC7"/>
    <w:rsid w:val="00BE5DEE"/>
    <w:rsid w:val="00BE7E7B"/>
    <w:rsid w:val="00BF3636"/>
    <w:rsid w:val="00C043A4"/>
    <w:rsid w:val="00C04AAC"/>
    <w:rsid w:val="00C12E62"/>
    <w:rsid w:val="00C14D9D"/>
    <w:rsid w:val="00C14FC0"/>
    <w:rsid w:val="00C16639"/>
    <w:rsid w:val="00C1768C"/>
    <w:rsid w:val="00C3412F"/>
    <w:rsid w:val="00C40029"/>
    <w:rsid w:val="00C42911"/>
    <w:rsid w:val="00C50B6A"/>
    <w:rsid w:val="00C641DD"/>
    <w:rsid w:val="00C64DB3"/>
    <w:rsid w:val="00C70A39"/>
    <w:rsid w:val="00C92DB0"/>
    <w:rsid w:val="00C92F00"/>
    <w:rsid w:val="00CA2500"/>
    <w:rsid w:val="00CB3350"/>
    <w:rsid w:val="00CB48B7"/>
    <w:rsid w:val="00CC67C0"/>
    <w:rsid w:val="00CC7472"/>
    <w:rsid w:val="00CD2145"/>
    <w:rsid w:val="00CD2B03"/>
    <w:rsid w:val="00CD3B11"/>
    <w:rsid w:val="00CD7279"/>
    <w:rsid w:val="00CE3D30"/>
    <w:rsid w:val="00CE4B61"/>
    <w:rsid w:val="00CE6635"/>
    <w:rsid w:val="00CF01D1"/>
    <w:rsid w:val="00CF6D64"/>
    <w:rsid w:val="00D013C8"/>
    <w:rsid w:val="00D14616"/>
    <w:rsid w:val="00D15608"/>
    <w:rsid w:val="00D1688D"/>
    <w:rsid w:val="00D16CB4"/>
    <w:rsid w:val="00D241EB"/>
    <w:rsid w:val="00D436F2"/>
    <w:rsid w:val="00D56D51"/>
    <w:rsid w:val="00D67120"/>
    <w:rsid w:val="00D70F3A"/>
    <w:rsid w:val="00D9274F"/>
    <w:rsid w:val="00D9634D"/>
    <w:rsid w:val="00DA010F"/>
    <w:rsid w:val="00DA113E"/>
    <w:rsid w:val="00DB121A"/>
    <w:rsid w:val="00DB7721"/>
    <w:rsid w:val="00DD14F8"/>
    <w:rsid w:val="00DD3ECF"/>
    <w:rsid w:val="00DF738C"/>
    <w:rsid w:val="00E12651"/>
    <w:rsid w:val="00E21742"/>
    <w:rsid w:val="00E21C2B"/>
    <w:rsid w:val="00E22F7D"/>
    <w:rsid w:val="00E251C6"/>
    <w:rsid w:val="00E269BF"/>
    <w:rsid w:val="00E30E69"/>
    <w:rsid w:val="00E46156"/>
    <w:rsid w:val="00E50622"/>
    <w:rsid w:val="00E51B0B"/>
    <w:rsid w:val="00E551D3"/>
    <w:rsid w:val="00E5577A"/>
    <w:rsid w:val="00E57FC7"/>
    <w:rsid w:val="00E6031F"/>
    <w:rsid w:val="00E70F83"/>
    <w:rsid w:val="00E71AEA"/>
    <w:rsid w:val="00E71B40"/>
    <w:rsid w:val="00E90BA4"/>
    <w:rsid w:val="00E94998"/>
    <w:rsid w:val="00E960D1"/>
    <w:rsid w:val="00E97139"/>
    <w:rsid w:val="00EA21F5"/>
    <w:rsid w:val="00EB41F5"/>
    <w:rsid w:val="00EB5F32"/>
    <w:rsid w:val="00EC1596"/>
    <w:rsid w:val="00EC6EDD"/>
    <w:rsid w:val="00EC7A75"/>
    <w:rsid w:val="00ED4E0B"/>
    <w:rsid w:val="00EE240D"/>
    <w:rsid w:val="00EE5CEB"/>
    <w:rsid w:val="00EF033D"/>
    <w:rsid w:val="00EF2763"/>
    <w:rsid w:val="00EF685F"/>
    <w:rsid w:val="00F07379"/>
    <w:rsid w:val="00F12A47"/>
    <w:rsid w:val="00F15674"/>
    <w:rsid w:val="00F16010"/>
    <w:rsid w:val="00F168F6"/>
    <w:rsid w:val="00F267F7"/>
    <w:rsid w:val="00F27154"/>
    <w:rsid w:val="00F32F44"/>
    <w:rsid w:val="00F36DE5"/>
    <w:rsid w:val="00F51A12"/>
    <w:rsid w:val="00F57BBF"/>
    <w:rsid w:val="00F6141E"/>
    <w:rsid w:val="00F63B59"/>
    <w:rsid w:val="00F72F1C"/>
    <w:rsid w:val="00F90807"/>
    <w:rsid w:val="00F913D1"/>
    <w:rsid w:val="00FA620A"/>
    <w:rsid w:val="00FA6990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768A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7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D7B74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7B7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7D7B74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7D7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7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D7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7D7B74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7D7B74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7D7B74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7D7B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7D7B74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7D7B74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7D7B74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7D7B74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7D7B74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7D7B74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7D7B74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7D7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7D7B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7D7B74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0013;&#21326;&#21830;&#21153;&#32593;VIP&#26381;&#21153;&#21608;&#25253;&#65306;&#30005;&#30707;-PVC&#21608;&#25253;20171229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26032;&#24314;&#25991;&#20214;&#22841;%20(3)\&#21270;&#24037;&#34920;&#26684;\05pvc&#26399;&#36135;&#30701;&#2044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&#26032;&#24314;&#25991;&#20214;&#22841;%20(3)\&#21270;&#24037;&#34920;&#26684;\01pvc&#20986;&#21378;&#20215;&#26684;&#34920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&#26032;&#24314;&#25991;&#20214;&#22841;%20(3)\&#21270;&#24037;&#34920;&#26684;\&#24066;&#22330;&#20215;&#26684;&#36208;&#21183;&#22270;&#22270;%20(1)%20(1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6032;&#24314;&#25991;&#20214;&#22841;%20(3)\&#21270;&#24037;&#34920;&#26684;\01pvc&#20986;&#21378;&#20215;&#26684;&#3492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6032;&#24314;&#25991;&#20214;&#22841;%20(3)\&#21608;&#25253;\&#21608;&#25253;&#29992;-&#22269;&#38469;&#21407;&#27833;&#20215;&#26684;170424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&#26032;&#24314;&#25991;&#20214;&#22841;%20(3)\&#21270;&#24037;&#34920;&#26684;\01pvc&#20986;&#21378;&#20215;&#26684;&#34920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6032;&#24314;&#25991;&#20214;&#22841;%20(3)\&#21270;&#24037;&#34920;&#26684;\01pvc&#20986;&#21378;&#20215;&#26684;&#34920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6032;&#24314;&#25991;&#20214;&#22841;%20(3)\&#21270;&#24037;&#34920;&#26684;\01pvc&#20986;&#21378;&#20215;&#26684;&#34920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E:\&#26032;&#24314;&#25991;&#20214;&#22841;%20(3)\&#21270;&#24037;&#34920;&#26684;\&#24066;&#22330;&#20215;&#26684;&#36208;&#21183;&#22270;&#22270;%20(1)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765"/>
          <c:h val="0.672415680045806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'!$B$7:$B$2101</c:f>
              <c:numCache>
                <c:formatCode>yy/mm/dd</c:formatCode>
                <c:ptCount val="2087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</c:numCache>
            </c:numRef>
          </c:cat>
          <c:val>
            <c:numRef>
              <c:f>'pvc期货  '!$H$7:$H$2101</c:f>
              <c:numCache>
                <c:formatCode>0_);[Red]\(0\)</c:formatCode>
                <c:ptCount val="2087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</c:numCache>
            </c:numRef>
          </c:val>
        </c:ser>
        <c:marker val="1"/>
        <c:axId val="187455360"/>
        <c:axId val="204873728"/>
      </c:lineChart>
      <c:dateAx>
        <c:axId val="187455360"/>
        <c:scaling>
          <c:orientation val="minMax"/>
          <c:max val="43091"/>
          <c:min val="42757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4873728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4873728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7455360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72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3697514851558934E-2"/>
          <c:y val="0.21764737139156679"/>
          <c:w val="0.863866255142342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重点PVC厂家价格!$A$16:$A$2175</c:f>
              <c:numCache>
                <c:formatCode>yy/mm/dd</c:formatCode>
                <c:ptCount val="2160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</c:numCache>
            </c:numRef>
          </c:cat>
          <c:val>
            <c:numRef>
              <c:f>重点PVC厂家价格!$B$16:$B$2175</c:f>
              <c:numCache>
                <c:formatCode>General</c:formatCode>
                <c:ptCount val="2160"/>
                <c:pt idx="0">
                  <c:v>6700</c:v>
                </c:pt>
                <c:pt idx="1">
                  <c:v>6850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6950</c:v>
                </c:pt>
                <c:pt idx="6">
                  <c:v>7050</c:v>
                </c:pt>
                <c:pt idx="7">
                  <c:v>7150</c:v>
                </c:pt>
                <c:pt idx="8">
                  <c:v>7200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7600</c:v>
                </c:pt>
                <c:pt idx="13">
                  <c:v>7750</c:v>
                </c:pt>
                <c:pt idx="14">
                  <c:v>7850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7950</c:v>
                </c:pt>
                <c:pt idx="19">
                  <c:v>7650</c:v>
                </c:pt>
                <c:pt idx="20">
                  <c:v>7700</c:v>
                </c:pt>
                <c:pt idx="21">
                  <c:v>7700</c:v>
                </c:pt>
                <c:pt idx="22">
                  <c:v>7800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8000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7800</c:v>
                </c:pt>
                <c:pt idx="32">
                  <c:v>7650</c:v>
                </c:pt>
                <c:pt idx="33">
                  <c:v>7650</c:v>
                </c:pt>
                <c:pt idx="34">
                  <c:v>7650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7300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7350</c:v>
                </c:pt>
                <c:pt idx="46">
                  <c:v>7450</c:v>
                </c:pt>
                <c:pt idx="47">
                  <c:v>7450</c:v>
                </c:pt>
                <c:pt idx="48">
                  <c:v>7450</c:v>
                </c:pt>
                <c:pt idx="49">
                  <c:v>7650</c:v>
                </c:pt>
                <c:pt idx="50">
                  <c:v>7750</c:v>
                </c:pt>
                <c:pt idx="51">
                  <c:v>7750</c:v>
                </c:pt>
                <c:pt idx="52">
                  <c:v>7850</c:v>
                </c:pt>
                <c:pt idx="53">
                  <c:v>7950</c:v>
                </c:pt>
                <c:pt idx="54">
                  <c:v>8050</c:v>
                </c:pt>
                <c:pt idx="55">
                  <c:v>8250</c:v>
                </c:pt>
                <c:pt idx="56">
                  <c:v>8250</c:v>
                </c:pt>
                <c:pt idx="57">
                  <c:v>8400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8600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8800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8900</c:v>
                </c:pt>
                <c:pt idx="74">
                  <c:v>8700</c:v>
                </c:pt>
                <c:pt idx="75">
                  <c:v>8500</c:v>
                </c:pt>
                <c:pt idx="76">
                  <c:v>8250</c:v>
                </c:pt>
                <c:pt idx="77">
                  <c:v>8000</c:v>
                </c:pt>
                <c:pt idx="78">
                  <c:v>8000</c:v>
                </c:pt>
                <c:pt idx="79">
                  <c:v>8000</c:v>
                </c:pt>
                <c:pt idx="80">
                  <c:v>7350</c:v>
                </c:pt>
                <c:pt idx="81">
                  <c:v>6600</c:v>
                </c:pt>
                <c:pt idx="82">
                  <c:v>6600</c:v>
                </c:pt>
                <c:pt idx="83">
                  <c:v>6400</c:v>
                </c:pt>
                <c:pt idx="84">
                  <c:v>6300</c:v>
                </c:pt>
                <c:pt idx="85">
                  <c:v>6000</c:v>
                </c:pt>
                <c:pt idx="86">
                  <c:v>5500</c:v>
                </c:pt>
                <c:pt idx="87">
                  <c:v>5500</c:v>
                </c:pt>
                <c:pt idx="88">
                  <c:v>6150</c:v>
                </c:pt>
                <c:pt idx="89">
                  <c:v>6150</c:v>
                </c:pt>
                <c:pt idx="90">
                  <c:v>6250</c:v>
                </c:pt>
                <c:pt idx="91">
                  <c:v>6250</c:v>
                </c:pt>
                <c:pt idx="92">
                  <c:v>6500</c:v>
                </c:pt>
                <c:pt idx="93">
                  <c:v>6500</c:v>
                </c:pt>
                <c:pt idx="94">
                  <c:v>6500</c:v>
                </c:pt>
                <c:pt idx="95">
                  <c:v>6350</c:v>
                </c:pt>
                <c:pt idx="96">
                  <c:v>6350</c:v>
                </c:pt>
                <c:pt idx="97">
                  <c:v>6400</c:v>
                </c:pt>
                <c:pt idx="98">
                  <c:v>6550</c:v>
                </c:pt>
                <c:pt idx="99">
                  <c:v>6550</c:v>
                </c:pt>
                <c:pt idx="100">
                  <c:v>6500</c:v>
                </c:pt>
                <c:pt idx="101">
                  <c:v>6200</c:v>
                </c:pt>
                <c:pt idx="102">
                  <c:v>5900</c:v>
                </c:pt>
                <c:pt idx="103">
                  <c:v>6200</c:v>
                </c:pt>
                <c:pt idx="104">
                  <c:v>6350</c:v>
                </c:pt>
                <c:pt idx="105">
                  <c:v>6350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6850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6500</c:v>
                </c:pt>
                <c:pt idx="115">
                  <c:v>6250</c:v>
                </c:pt>
                <c:pt idx="116">
                  <c:v>6500</c:v>
                </c:pt>
                <c:pt idx="117">
                  <c:v>6650</c:v>
                </c:pt>
                <c:pt idx="118">
                  <c:v>6650</c:v>
                </c:pt>
                <c:pt idx="119">
                  <c:v>6650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6750</c:v>
                </c:pt>
                <c:pt idx="124">
                  <c:v>6900</c:v>
                </c:pt>
                <c:pt idx="125">
                  <c:v>6900</c:v>
                </c:pt>
                <c:pt idx="126">
                  <c:v>6900</c:v>
                </c:pt>
                <c:pt idx="127">
                  <c:v>6750</c:v>
                </c:pt>
                <c:pt idx="128">
                  <c:v>6750</c:v>
                </c:pt>
                <c:pt idx="129">
                  <c:v>6750</c:v>
                </c:pt>
                <c:pt idx="130">
                  <c:v>6700</c:v>
                </c:pt>
                <c:pt idx="131">
                  <c:v>6700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6550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6750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7100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7200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7600</c:v>
                </c:pt>
                <c:pt idx="197">
                  <c:v>7450</c:v>
                </c:pt>
                <c:pt idx="198">
                  <c:v>7450</c:v>
                </c:pt>
                <c:pt idx="199">
                  <c:v>7450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7550</c:v>
                </c:pt>
                <c:pt idx="213">
                  <c:v>7420</c:v>
                </c:pt>
                <c:pt idx="214">
                  <c:v>7420</c:v>
                </c:pt>
                <c:pt idx="215">
                  <c:v>7420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7550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7350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7400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7500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7550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7400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7350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7400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7300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7100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7300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7400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7550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7650</c:v>
                </c:pt>
                <c:pt idx="359">
                  <c:v>7750</c:v>
                </c:pt>
                <c:pt idx="360">
                  <c:v>7750</c:v>
                </c:pt>
                <c:pt idx="361">
                  <c:v>7750</c:v>
                </c:pt>
                <c:pt idx="362">
                  <c:v>7900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8000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8200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8150</c:v>
                </c:pt>
                <c:pt idx="378">
                  <c:v>8250</c:v>
                </c:pt>
                <c:pt idx="379">
                  <c:v>8250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8150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8200</c:v>
                </c:pt>
                <c:pt idx="389">
                  <c:v>8400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8800</c:v>
                </c:pt>
                <c:pt idx="406">
                  <c:v>8800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8700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8300</c:v>
                </c:pt>
                <c:pt idx="428">
                  <c:v>8100</c:v>
                </c:pt>
                <c:pt idx="429">
                  <c:v>8100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8200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8050</c:v>
                </c:pt>
                <c:pt idx="446">
                  <c:v>7900</c:v>
                </c:pt>
                <c:pt idx="447">
                  <c:v>7900</c:v>
                </c:pt>
                <c:pt idx="448">
                  <c:v>7900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7950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8000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8100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8050</c:v>
                </c:pt>
                <c:pt idx="477">
                  <c:v>7900</c:v>
                </c:pt>
                <c:pt idx="478">
                  <c:v>7900</c:v>
                </c:pt>
                <c:pt idx="479">
                  <c:v>7900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7950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8300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8200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8400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8050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8200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8150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8200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8400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8100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8200</c:v>
                </c:pt>
                <c:pt idx="577">
                  <c:v>8100</c:v>
                </c:pt>
                <c:pt idx="578">
                  <c:v>8100</c:v>
                </c:pt>
                <c:pt idx="579">
                  <c:v>8100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8150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7950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7900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7550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6950</c:v>
                </c:pt>
                <c:pt idx="626">
                  <c:v>6850</c:v>
                </c:pt>
                <c:pt idx="627">
                  <c:v>6850</c:v>
                </c:pt>
                <c:pt idx="628">
                  <c:v>6850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6750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6700</c:v>
                </c:pt>
                <c:pt idx="652">
                  <c:v>6750</c:v>
                </c:pt>
                <c:pt idx="653">
                  <c:v>6750</c:v>
                </c:pt>
                <c:pt idx="654">
                  <c:v>6700</c:v>
                </c:pt>
                <c:pt idx="655">
                  <c:v>6700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6700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6650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6700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6600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6750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6850</c:v>
                </c:pt>
                <c:pt idx="711">
                  <c:v>6700</c:v>
                </c:pt>
                <c:pt idx="712">
                  <c:v>6700</c:v>
                </c:pt>
                <c:pt idx="713">
                  <c:v>6700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6750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6800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6800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7000</c:v>
                </c:pt>
                <c:pt idx="754">
                  <c:v>6850</c:v>
                </c:pt>
                <c:pt idx="755">
                  <c:v>6850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6950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6850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6800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6650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6700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6650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6750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6800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6850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6950</c:v>
                </c:pt>
                <c:pt idx="863">
                  <c:v>6900</c:v>
                </c:pt>
                <c:pt idx="864">
                  <c:v>6950</c:v>
                </c:pt>
                <c:pt idx="865">
                  <c:v>6950</c:v>
                </c:pt>
                <c:pt idx="866">
                  <c:v>6850</c:v>
                </c:pt>
                <c:pt idx="867">
                  <c:v>6850</c:v>
                </c:pt>
                <c:pt idx="868">
                  <c:v>6850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6750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6600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6450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6400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6450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6500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6650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6700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6750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7050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7400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7500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7200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7000</c:v>
                </c:pt>
                <c:pt idx="1030">
                  <c:v>6850</c:v>
                </c:pt>
                <c:pt idx="1031">
                  <c:v>6850</c:v>
                </c:pt>
                <c:pt idx="1032">
                  <c:v>6850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6800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6750</c:v>
                </c:pt>
                <c:pt idx="1058">
                  <c:v>6850</c:v>
                </c:pt>
                <c:pt idx="1059">
                  <c:v>6850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6950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7050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7150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7080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6900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6800</c:v>
                </c:pt>
                <c:pt idx="1219">
                  <c:v>6750</c:v>
                </c:pt>
                <c:pt idx="1220">
                  <c:v>6750</c:v>
                </c:pt>
                <c:pt idx="1221">
                  <c:v>6750</c:v>
                </c:pt>
                <c:pt idx="1222">
                  <c:v>6600</c:v>
                </c:pt>
                <c:pt idx="1223">
                  <c:v>6600</c:v>
                </c:pt>
                <c:pt idx="1224">
                  <c:v>6600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6500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6600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6550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6580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6550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6490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6470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6400</c:v>
                </c:pt>
                <c:pt idx="1391">
                  <c:v>6300</c:v>
                </c:pt>
                <c:pt idx="1392">
                  <c:v>6300</c:v>
                </c:pt>
                <c:pt idx="1393">
                  <c:v>6300</c:v>
                </c:pt>
                <c:pt idx="1394">
                  <c:v>6200</c:v>
                </c:pt>
                <c:pt idx="1395">
                  <c:v>6200</c:v>
                </c:pt>
                <c:pt idx="1396">
                  <c:v>6200</c:v>
                </c:pt>
                <c:pt idx="1397">
                  <c:v>6150</c:v>
                </c:pt>
                <c:pt idx="1398">
                  <c:v>6150</c:v>
                </c:pt>
                <c:pt idx="1399">
                  <c:v>6150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5900</c:v>
                </c:pt>
                <c:pt idx="1410">
                  <c:v>5900</c:v>
                </c:pt>
                <c:pt idx="1411">
                  <c:v>5900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5850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5800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5700</c:v>
                </c:pt>
                <c:pt idx="1432">
                  <c:v>5650</c:v>
                </c:pt>
                <c:pt idx="1433">
                  <c:v>5650</c:v>
                </c:pt>
                <c:pt idx="1434">
                  <c:v>5650</c:v>
                </c:pt>
                <c:pt idx="1435">
                  <c:v>5500</c:v>
                </c:pt>
                <c:pt idx="1436">
                  <c:v>5500</c:v>
                </c:pt>
                <c:pt idx="1437">
                  <c:v>5500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5420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5500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5600</c:v>
                </c:pt>
                <c:pt idx="1479">
                  <c:v>5800</c:v>
                </c:pt>
                <c:pt idx="1480">
                  <c:v>5900</c:v>
                </c:pt>
                <c:pt idx="1481">
                  <c:v>5900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5950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5950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5750</c:v>
                </c:pt>
                <c:pt idx="1539">
                  <c:v>5750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5550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5500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5420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5400</c:v>
                </c:pt>
                <c:pt idx="1637">
                  <c:v>5350</c:v>
                </c:pt>
                <c:pt idx="1638">
                  <c:v>5350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5300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5370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5400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5500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5470</c:v>
                </c:pt>
                <c:pt idx="1712">
                  <c:v>5500</c:v>
                </c:pt>
                <c:pt idx="1713">
                  <c:v>5500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5580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5540</c:v>
                </c:pt>
                <c:pt idx="1735">
                  <c:v>5530</c:v>
                </c:pt>
                <c:pt idx="1736">
                  <c:v>5530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5520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5550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5650</c:v>
                </c:pt>
                <c:pt idx="1803">
                  <c:v>5650</c:v>
                </c:pt>
                <c:pt idx="1804">
                  <c:v>5650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5700</c:v>
                </c:pt>
                <c:pt idx="1809">
                  <c:v>5750</c:v>
                </c:pt>
                <c:pt idx="1810">
                  <c:v>5750</c:v>
                </c:pt>
                <c:pt idx="1811">
                  <c:v>5800</c:v>
                </c:pt>
                <c:pt idx="1812">
                  <c:v>5800</c:v>
                </c:pt>
                <c:pt idx="1813">
                  <c:v>5800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5850</c:v>
                </c:pt>
                <c:pt idx="1818">
                  <c:v>5950</c:v>
                </c:pt>
                <c:pt idx="1819">
                  <c:v>6050</c:v>
                </c:pt>
                <c:pt idx="1820">
                  <c:v>6150</c:v>
                </c:pt>
                <c:pt idx="1821">
                  <c:v>6150</c:v>
                </c:pt>
                <c:pt idx="1822">
                  <c:v>6150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6250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6300</c:v>
                </c:pt>
                <c:pt idx="1839">
                  <c:v>6350</c:v>
                </c:pt>
                <c:pt idx="1840">
                  <c:v>6400</c:v>
                </c:pt>
                <c:pt idx="1841">
                  <c:v>6400</c:v>
                </c:pt>
                <c:pt idx="1842">
                  <c:v>6400</c:v>
                </c:pt>
                <c:pt idx="1843">
                  <c:v>6500</c:v>
                </c:pt>
                <c:pt idx="1844">
                  <c:v>6500</c:v>
                </c:pt>
                <c:pt idx="1845">
                  <c:v>6500</c:v>
                </c:pt>
                <c:pt idx="1846">
                  <c:v>6600</c:v>
                </c:pt>
                <c:pt idx="1847">
                  <c:v>6600</c:v>
                </c:pt>
                <c:pt idx="1848">
                  <c:v>6600</c:v>
                </c:pt>
                <c:pt idx="1849">
                  <c:v>6850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6950</c:v>
                </c:pt>
                <c:pt idx="1858">
                  <c:v>7100</c:v>
                </c:pt>
                <c:pt idx="1859">
                  <c:v>7100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7250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7300</c:v>
                </c:pt>
                <c:pt idx="1873">
                  <c:v>7450</c:v>
                </c:pt>
                <c:pt idx="1874">
                  <c:v>7450</c:v>
                </c:pt>
                <c:pt idx="1875">
                  <c:v>7500</c:v>
                </c:pt>
                <c:pt idx="1876">
                  <c:v>7500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7600</c:v>
                </c:pt>
                <c:pt idx="1881">
                  <c:v>8000</c:v>
                </c:pt>
                <c:pt idx="1882">
                  <c:v>8000</c:v>
                </c:pt>
                <c:pt idx="1883">
                  <c:v>8000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8200</c:v>
                </c:pt>
                <c:pt idx="1894">
                  <c:v>8000</c:v>
                </c:pt>
                <c:pt idx="1895">
                  <c:v>8000</c:v>
                </c:pt>
                <c:pt idx="1896">
                  <c:v>7950</c:v>
                </c:pt>
                <c:pt idx="1897">
                  <c:v>7950</c:v>
                </c:pt>
                <c:pt idx="1898">
                  <c:v>7850</c:v>
                </c:pt>
                <c:pt idx="1899">
                  <c:v>7850</c:v>
                </c:pt>
                <c:pt idx="1900">
                  <c:v>7750</c:v>
                </c:pt>
                <c:pt idx="1901">
                  <c:v>7750</c:v>
                </c:pt>
                <c:pt idx="1902">
                  <c:v>7650</c:v>
                </c:pt>
                <c:pt idx="1903">
                  <c:v>7650</c:v>
                </c:pt>
                <c:pt idx="1904">
                  <c:v>7550</c:v>
                </c:pt>
                <c:pt idx="1905">
                  <c:v>7550</c:v>
                </c:pt>
                <c:pt idx="1906">
                  <c:v>7550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7350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6850</c:v>
                </c:pt>
                <c:pt idx="1916">
                  <c:v>6800</c:v>
                </c:pt>
                <c:pt idx="1917">
                  <c:v>6700</c:v>
                </c:pt>
                <c:pt idx="1918">
                  <c:v>6700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6600</c:v>
                </c:pt>
                <c:pt idx="1923">
                  <c:v>6700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6600</c:v>
                </c:pt>
                <c:pt idx="1935">
                  <c:v>6750</c:v>
                </c:pt>
                <c:pt idx="1936">
                  <c:v>6800</c:v>
                </c:pt>
                <c:pt idx="1937">
                  <c:v>6900</c:v>
                </c:pt>
                <c:pt idx="1938">
                  <c:v>6900</c:v>
                </c:pt>
                <c:pt idx="1939">
                  <c:v>6900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6950</c:v>
                </c:pt>
                <c:pt idx="1949">
                  <c:v>6850</c:v>
                </c:pt>
                <c:pt idx="1950">
                  <c:v>6850</c:v>
                </c:pt>
                <c:pt idx="1951">
                  <c:v>6850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6800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6650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6600</c:v>
                </c:pt>
                <c:pt idx="1976">
                  <c:v>6500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6450</c:v>
                </c:pt>
                <c:pt idx="1983">
                  <c:v>6300</c:v>
                </c:pt>
                <c:pt idx="1984">
                  <c:v>6200</c:v>
                </c:pt>
                <c:pt idx="1985">
                  <c:v>6150</c:v>
                </c:pt>
                <c:pt idx="1986">
                  <c:v>6150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6050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1998">
                  <c:v>6300</c:v>
                </c:pt>
                <c:pt idx="2040">
                  <c:v>6400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6800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6900</c:v>
                </c:pt>
                <c:pt idx="2060">
                  <c:v>7000</c:v>
                </c:pt>
                <c:pt idx="2061">
                  <c:v>7200</c:v>
                </c:pt>
                <c:pt idx="2062">
                  <c:v>7200</c:v>
                </c:pt>
                <c:pt idx="2063">
                  <c:v>7300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7400</c:v>
                </c:pt>
                <c:pt idx="2070">
                  <c:v>7300</c:v>
                </c:pt>
                <c:pt idx="2071">
                  <c:v>7300</c:v>
                </c:pt>
                <c:pt idx="2072">
                  <c:v>7300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7400</c:v>
                </c:pt>
                <c:pt idx="2080">
                  <c:v>7500</c:v>
                </c:pt>
                <c:pt idx="2081">
                  <c:v>7650</c:v>
                </c:pt>
                <c:pt idx="2082">
                  <c:v>7650</c:v>
                </c:pt>
                <c:pt idx="2083">
                  <c:v>7650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7750</c:v>
                </c:pt>
                <c:pt idx="2095">
                  <c:v>7550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7400</c:v>
                </c:pt>
                <c:pt idx="2100">
                  <c:v>7200</c:v>
                </c:pt>
                <c:pt idx="2101">
                  <c:v>7200</c:v>
                </c:pt>
                <c:pt idx="2102">
                  <c:v>7100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6850</c:v>
                </c:pt>
                <c:pt idx="2108">
                  <c:v>6850</c:v>
                </c:pt>
                <c:pt idx="2109">
                  <c:v>6750</c:v>
                </c:pt>
                <c:pt idx="2110">
                  <c:v>6750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6670</c:v>
                </c:pt>
                <c:pt idx="2121">
                  <c:v>6670</c:v>
                </c:pt>
                <c:pt idx="2122">
                  <c:v>6670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6600</c:v>
                </c:pt>
                <c:pt idx="2127">
                  <c:v>6500</c:v>
                </c:pt>
                <c:pt idx="2128">
                  <c:v>6500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6400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6450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6550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6650</c:v>
                </c:pt>
                <c:pt idx="2153">
                  <c:v>6700</c:v>
                </c:pt>
                <c:pt idx="2154">
                  <c:v>6600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重点PVC厂家价格!$A$16:$A$2175</c:f>
              <c:numCache>
                <c:formatCode>yy/mm/dd</c:formatCode>
                <c:ptCount val="2160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</c:numCache>
            </c:numRef>
          </c:cat>
          <c:val>
            <c:numRef>
              <c:f>重点PVC厂家价格!$D$16:$D$2175</c:f>
              <c:numCache>
                <c:formatCode>General</c:formatCode>
                <c:ptCount val="2160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重点PVC厂家价格!$A$16:$A$2175</c:f>
              <c:numCache>
                <c:formatCode>yy/mm/dd</c:formatCode>
                <c:ptCount val="2160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</c:numCache>
            </c:numRef>
          </c:cat>
          <c:val>
            <c:numRef>
              <c:f>重点PVC厂家价格!$E$16:$E$2175</c:f>
              <c:numCache>
                <c:formatCode>General</c:formatCode>
                <c:ptCount val="2160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</c:numCache>
            </c:numRef>
          </c:val>
        </c:ser>
        <c:marker val="1"/>
        <c:axId val="205065600"/>
        <c:axId val="20507148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05065600"/>
        <c:scaling>
          <c:orientation val="minMax"/>
          <c:max val="43086"/>
          <c:min val="42372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5071488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507148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5065600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7145"/>
          <c:w val="0.3075632016586232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-2017</a:t>
            </a:r>
            <a:r>
              <a:rPr lang="zh-CN" altLang="en-US"/>
              <a:t>年</a:t>
            </a:r>
            <a:r>
              <a:rPr lang="en-US" altLang="zh-CN"/>
              <a:t>12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476449052684358"/>
          <c:y val="3.87471994832556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301"/>
          <c:w val="0.81708579531006897"/>
          <c:h val="0.667020069461027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'!$B$21:$B$2111</c:f>
              <c:numCache>
                <c:formatCode>yy/mm/dd</c:formatCode>
                <c:ptCount val="209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</c:numCache>
            </c:numRef>
          </c:cat>
          <c:val>
            <c:numRef>
              <c:f>'国内电石法PVC市场价格 '!$C$21:$C$2111</c:f>
              <c:numCache>
                <c:formatCode>General</c:formatCode>
                <c:ptCount val="2091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'!$B$21:$B$2111</c:f>
              <c:numCache>
                <c:formatCode>yy/mm/dd</c:formatCode>
                <c:ptCount val="209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</c:numCache>
            </c:numRef>
          </c:cat>
          <c:val>
            <c:numRef>
              <c:f>'国内电石法PVC市场价格 '!$D$21:$D$2111</c:f>
              <c:numCache>
                <c:formatCode>General</c:formatCode>
                <c:ptCount val="2091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6550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'!$B$21:$B$2111</c:f>
              <c:numCache>
                <c:formatCode>yy/mm/dd</c:formatCode>
                <c:ptCount val="209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</c:numCache>
            </c:numRef>
          </c:cat>
          <c:val>
            <c:numRef>
              <c:f>'国内电石法PVC市场价格 '!$E$21:$E$2111</c:f>
              <c:numCache>
                <c:formatCode>General</c:formatCode>
                <c:ptCount val="2091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'!$B$21:$B$2111</c:f>
              <c:numCache>
                <c:formatCode>yy/mm/dd</c:formatCode>
                <c:ptCount val="209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</c:numCache>
            </c:numRef>
          </c:cat>
          <c:val>
            <c:numRef>
              <c:f>'国内电石法PVC市场价格 '!$F$21:$F$2111</c:f>
              <c:numCache>
                <c:formatCode>General</c:formatCode>
                <c:ptCount val="2091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'!$B$21:$B$2111</c:f>
              <c:numCache>
                <c:formatCode>yy/mm/dd</c:formatCode>
                <c:ptCount val="209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</c:numCache>
            </c:numRef>
          </c:cat>
          <c:val>
            <c:numRef>
              <c:f>'国内电石法PVC市场价格 '!$G$21:$G$2111</c:f>
              <c:numCache>
                <c:formatCode>General</c:formatCode>
                <c:ptCount val="2091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6632.1428571428569</c:v>
                </c:pt>
                <c:pt idx="114">
                  <c:v>7056.521739130435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</c:numCache>
            </c:numRef>
          </c:val>
        </c:ser>
        <c:marker val="1"/>
        <c:axId val="205153024"/>
        <c:axId val="205154560"/>
      </c:lineChart>
      <c:dateAx>
        <c:axId val="205153024"/>
        <c:scaling>
          <c:orientation val="minMax"/>
          <c:max val="43091"/>
          <c:min val="42391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5154560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515456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5153024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0.121342912943963"/>
          <c:y val="0.17997726356285518"/>
          <c:w val="0.10666666666666855"/>
          <c:h val="0.21204150077124301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0426"/>
          <c:h val="0.650569084263313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PVC外盘'!$A$7:$A$570</c:f>
              <c:numCache>
                <c:formatCode>yy/mm/dd</c:formatCode>
                <c:ptCount val="447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</c:numCache>
            </c:numRef>
          </c:cat>
          <c:val>
            <c:numRef>
              <c:f>'乙烯法PVC国际价格表  周四 PVC外盘'!$B$7:$B$570</c:f>
              <c:numCache>
                <c:formatCode>0_ </c:formatCode>
                <c:ptCount val="447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PVC外盘'!$A$7:$A$570</c:f>
              <c:numCache>
                <c:formatCode>yy/mm/dd</c:formatCode>
                <c:ptCount val="447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</c:numCache>
            </c:numRef>
          </c:cat>
          <c:val>
            <c:numRef>
              <c:f>'乙烯法PVC国际价格表  周四 PVC外盘'!$C$7:$C$570</c:f>
              <c:numCache>
                <c:formatCode>0_ </c:formatCode>
                <c:ptCount val="447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</c:numCache>
            </c:numRef>
          </c:val>
        </c:ser>
        <c:marker val="1"/>
        <c:axId val="206692736"/>
        <c:axId val="206695040"/>
      </c:lineChart>
      <c:dateAx>
        <c:axId val="206692736"/>
        <c:scaling>
          <c:orientation val="minMax"/>
          <c:max val="43086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6695040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6695040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6692736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12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752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118"/>
          <c:h val="0.65798707294552494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Sheet1!$B$4:$B$510</c:f>
              <c:numCache>
                <c:formatCode>yy/mm/dd</c:formatCode>
                <c:ptCount val="507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43098</c:v>
                </c:pt>
              </c:numCache>
            </c:numRef>
          </c:cat>
          <c:val>
            <c:numRef>
              <c:f>Sheet1!$C$4:$C$510</c:f>
              <c:numCache>
                <c:formatCode>General</c:formatCode>
                <c:ptCount val="507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30.439999999999987</c:v>
                </c:pt>
                <c:pt idx="6">
                  <c:v>30.479999999999986</c:v>
                </c:pt>
                <c:pt idx="7">
                  <c:v>31.2</c:v>
                </c:pt>
                <c:pt idx="8">
                  <c:v>29.419999999999987</c:v>
                </c:pt>
                <c:pt idx="10">
                  <c:v>28.459999999999987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27.939999999999987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29.439999999999987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31.479999999999986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59.839999999999996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Sheet1!$B$4:$B$510</c:f>
              <c:numCache>
                <c:formatCode>yy/mm/dd</c:formatCode>
                <c:ptCount val="507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43098</c:v>
                </c:pt>
              </c:numCache>
            </c:numRef>
          </c:cat>
          <c:val>
            <c:numRef>
              <c:f>Sheet1!$D$4:$D$510</c:f>
              <c:numCache>
                <c:formatCode>General</c:formatCode>
                <c:ptCount val="507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30.310000000000016</c:v>
                </c:pt>
                <c:pt idx="7">
                  <c:v>31.03</c:v>
                </c:pt>
                <c:pt idx="8">
                  <c:v>28.939999999999987</c:v>
                </c:pt>
                <c:pt idx="9">
                  <c:v>28.55</c:v>
                </c:pt>
                <c:pt idx="10">
                  <c:v>28.759999999999987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66.72</c:v>
                </c:pt>
              </c:numCache>
            </c:numRef>
          </c:val>
        </c:ser>
        <c:marker val="1"/>
        <c:axId val="235393408"/>
        <c:axId val="235395328"/>
      </c:lineChart>
      <c:dateAx>
        <c:axId val="235393408"/>
        <c:scaling>
          <c:orientation val="minMax"/>
          <c:max val="43097"/>
          <c:min val="42428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3539532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35395328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35393408"/>
        <c:crossesAt val="42428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072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5738"/>
          <c:h val="0.6695925552601959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每日外盘1'!$A$7:$A$2320</c:f>
              <c:numCache>
                <c:formatCode>yy/mm/dd</c:formatCode>
                <c:ptCount val="231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每日外盘1'!$A$7:$A$2320</c:f>
              <c:numCache>
                <c:formatCode>yy/mm/dd</c:formatCode>
                <c:ptCount val="231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每日外盘1'!$A$7:$C$2339</c:f>
              <c:numCache>
                <c:formatCode>yy/mm/dd</c:formatCode>
                <c:ptCount val="2329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</c:numCache>
            </c:numRef>
          </c:cat>
          <c:val>
            <c:numRef>
              <c:f>'乙烯单体价格表  每日外盘1'!$D$9:$D$2339</c:f>
              <c:numCache>
                <c:formatCode>General</c:formatCode>
                <c:ptCount val="2327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每日外盘1'!$A$7:$C$2339</c:f>
              <c:numCache>
                <c:formatCode>yy/mm/dd</c:formatCode>
                <c:ptCount val="2329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</c:numCache>
            </c:numRef>
          </c:cat>
          <c:val>
            <c:numRef>
              <c:f>'乙烯单体价格表  每日外盘1'!$E$7:$E$2339</c:f>
              <c:numCache>
                <c:formatCode>General</c:formatCode>
                <c:ptCount val="2329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每日外盘1'!$A$7:$A$2339</c:f>
              <c:numCache>
                <c:formatCode>yy/mm/dd</c:formatCode>
                <c:ptCount val="2329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</c:numCache>
            </c:numRef>
          </c:cat>
          <c:val>
            <c:numRef>
              <c:f>'乙烯单体价格表  每日外盘1'!$F$7:$F$2339</c:f>
              <c:numCache>
                <c:formatCode>General</c:formatCode>
                <c:ptCount val="2329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</c:numCache>
            </c:numRef>
          </c:val>
        </c:ser>
        <c:marker val="1"/>
        <c:axId val="267221248"/>
        <c:axId val="267256960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每日外盘1'!$A$7:$A$2320</c15:sqref>
                        </c15:formulaRef>
                      </c:ext>
                    </c:extLst>
                    <c:numCache>
                      <c:formatCode>yy/mm/dd</c:formatCode>
                      <c:ptCount val="2310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21976.5</c:v>
                      </c:pt>
                      <c:pt idx="1228" c:formatCode="0_ ">
                        <c:v>21976.5</c:v>
                      </c:pt>
                      <c:pt idx="1229" c:formatCode="0_ ">
                        <c:v>21976.5</c:v>
                      </c:pt>
                      <c:pt idx="1230" c:formatCode="0_ ">
                        <c:v>21976.5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67221248"/>
        <c:scaling>
          <c:orientation val="minMax"/>
          <c:max val="43086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7256960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67256960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722124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3155"/>
          <c:w val="0.49649214900769839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2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7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'!$A$6:$A$564</c:f>
              <c:numCache>
                <c:formatCode>yy/mm/dd</c:formatCode>
                <c:ptCount val="55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</c:numCache>
            </c:numRef>
          </c:cat>
          <c:val>
            <c:numRef>
              <c:f>'国际EDC市场价格   周五 每周五中间体 '!$B$6:$B$564</c:f>
              <c:numCache>
                <c:formatCode>0_ </c:formatCode>
                <c:ptCount val="559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190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'!$A$6:$A$561</c:f>
              <c:numCache>
                <c:formatCode>yy/mm/dd</c:formatCode>
                <c:ptCount val="55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'!$A$6:$A$564</c:f>
              <c:numCache>
                <c:formatCode>yy/mm/dd</c:formatCode>
                <c:ptCount val="55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</c:numCache>
            </c:numRef>
          </c:cat>
          <c:val>
            <c:numRef>
              <c:f>'国际EDC市场价格   周五 每周五中间体 '!$D$6:$D$564</c:f>
              <c:numCache>
                <c:formatCode>0_ </c:formatCode>
                <c:ptCount val="559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'!$A$6:$A$564</c:f>
              <c:numCache>
                <c:formatCode>yy/mm/dd</c:formatCode>
                <c:ptCount val="55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</c:numCache>
            </c:numRef>
          </c:cat>
          <c:val>
            <c:numRef>
              <c:f>'国际EDC市场价格   周五 每周五中间体 '!$E$6:$E$564</c:f>
              <c:numCache>
                <c:formatCode>0_ </c:formatCode>
                <c:ptCount val="559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</c:numCache>
            </c:numRef>
          </c:val>
        </c:ser>
        <c:marker val="1"/>
        <c:axId val="268054912"/>
        <c:axId val="268223616"/>
      </c:lineChart>
      <c:dateAx>
        <c:axId val="268054912"/>
        <c:scaling>
          <c:orientation val="minMax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8223616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68223616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805491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4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88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周五中间体'!$A$7:$A$563</c:f>
              <c:numCache>
                <c:formatCode>yy/mm/dd</c:formatCode>
                <c:ptCount val="557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</c:numCache>
            </c:numRef>
          </c:cat>
          <c:val>
            <c:numRef>
              <c:f>'国际VCM市场价格  周五中间体'!$B$7:$B$563</c:f>
              <c:numCache>
                <c:formatCode>0_ </c:formatCode>
                <c:ptCount val="557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formatCode="General">
                  <c:v>699</c:v>
                </c:pt>
                <c:pt idx="525" formatCode="General">
                  <c:v>699</c:v>
                </c:pt>
                <c:pt idx="526" formatCode="General">
                  <c:v>665</c:v>
                </c:pt>
                <c:pt idx="527" formatCode="General">
                  <c:v>670</c:v>
                </c:pt>
                <c:pt idx="528" formatCode="General">
                  <c:v>670</c:v>
                </c:pt>
                <c:pt idx="529" formatCode="General">
                  <c:v>650</c:v>
                </c:pt>
                <c:pt idx="530" formatCode="General">
                  <c:v>650</c:v>
                </c:pt>
                <c:pt idx="531" formatCode="General">
                  <c:v>645</c:v>
                </c:pt>
                <c:pt idx="532" formatCode="General">
                  <c:v>620</c:v>
                </c:pt>
                <c:pt idx="533" formatCode="General">
                  <c:v>600</c:v>
                </c:pt>
                <c:pt idx="534" formatCode="General">
                  <c:v>600</c:v>
                </c:pt>
                <c:pt idx="535" formatCode="General">
                  <c:v>600</c:v>
                </c:pt>
                <c:pt idx="536" formatCode="General">
                  <c:v>610</c:v>
                </c:pt>
                <c:pt idx="537" formatCode="General">
                  <c:v>645</c:v>
                </c:pt>
                <c:pt idx="538" formatCode="General">
                  <c:v>660</c:v>
                </c:pt>
                <c:pt idx="539" formatCode="General">
                  <c:v>660</c:v>
                </c:pt>
                <c:pt idx="540" formatCode="General">
                  <c:v>665</c:v>
                </c:pt>
                <c:pt idx="541" formatCode="General">
                  <c:v>705</c:v>
                </c:pt>
                <c:pt idx="542" formatCode="General">
                  <c:v>725</c:v>
                </c:pt>
                <c:pt idx="543" formatCode="General">
                  <c:v>730</c:v>
                </c:pt>
                <c:pt idx="544" formatCode="General">
                  <c:v>730</c:v>
                </c:pt>
                <c:pt idx="545" formatCode="General">
                  <c:v>760</c:v>
                </c:pt>
                <c:pt idx="546" formatCode="General">
                  <c:v>750</c:v>
                </c:pt>
                <c:pt idx="547" formatCode="General">
                  <c:v>740</c:v>
                </c:pt>
                <c:pt idx="548" formatCode="General">
                  <c:v>740</c:v>
                </c:pt>
                <c:pt idx="549" formatCode="General">
                  <c:v>720</c:v>
                </c:pt>
                <c:pt idx="550" formatCode="General">
                  <c:v>719</c:v>
                </c:pt>
                <c:pt idx="551" formatCode="General">
                  <c:v>710</c:v>
                </c:pt>
                <c:pt idx="552" formatCode="General">
                  <c:v>710</c:v>
                </c:pt>
                <c:pt idx="553" formatCode="General">
                  <c:v>695</c:v>
                </c:pt>
                <c:pt idx="554" formatCode="General">
                  <c:v>690</c:v>
                </c:pt>
                <c:pt idx="555" formatCode="General">
                  <c:v>680</c:v>
                </c:pt>
                <c:pt idx="556" formatCode="General">
                  <c:v>670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周五中间体'!$A$7:$A$560</c:f>
              <c:numCache>
                <c:formatCode>yy/mm/dd</c:formatCode>
                <c:ptCount val="55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周五中间体'!$A$7:$A$563</c:f>
              <c:numCache>
                <c:formatCode>yy/mm/dd</c:formatCode>
                <c:ptCount val="557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</c:numCache>
            </c:numRef>
          </c:cat>
          <c:val>
            <c:numRef>
              <c:f>'国际VCM市场价格  周五中间体'!$D$7:$D$563</c:f>
              <c:numCache>
                <c:formatCode>0_ </c:formatCode>
                <c:ptCount val="557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formatCode="General">
                  <c:v>675</c:v>
                </c:pt>
                <c:pt idx="525" formatCode="General">
                  <c:v>675</c:v>
                </c:pt>
                <c:pt idx="526" formatCode="General">
                  <c:v>675</c:v>
                </c:pt>
                <c:pt idx="527" formatCode="General">
                  <c:v>685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685</c:v>
                </c:pt>
                <c:pt idx="532" formatCode="General">
                  <c:v>685</c:v>
                </c:pt>
                <c:pt idx="533" formatCode="General">
                  <c:v>635</c:v>
                </c:pt>
                <c:pt idx="534" formatCode="General">
                  <c:v>635</c:v>
                </c:pt>
                <c:pt idx="535" formatCode="General">
                  <c:v>585</c:v>
                </c:pt>
                <c:pt idx="536" formatCode="General">
                  <c:v>585</c:v>
                </c:pt>
                <c:pt idx="537" formatCode="General">
                  <c:v>580</c:v>
                </c:pt>
                <c:pt idx="538" formatCode="General">
                  <c:v>580</c:v>
                </c:pt>
                <c:pt idx="539" formatCode="General">
                  <c:v>580</c:v>
                </c:pt>
                <c:pt idx="540" formatCode="General">
                  <c:v>580</c:v>
                </c:pt>
                <c:pt idx="541" formatCode="General">
                  <c:v>605</c:v>
                </c:pt>
                <c:pt idx="542" formatCode="General">
                  <c:v>605</c:v>
                </c:pt>
                <c:pt idx="543" formatCode="General">
                  <c:v>605</c:v>
                </c:pt>
                <c:pt idx="544" formatCode="General">
                  <c:v>605</c:v>
                </c:pt>
                <c:pt idx="545" formatCode="General">
                  <c:v>605</c:v>
                </c:pt>
                <c:pt idx="546" formatCode="General">
                  <c:v>605</c:v>
                </c:pt>
                <c:pt idx="547" formatCode="General">
                  <c:v>605</c:v>
                </c:pt>
                <c:pt idx="548" formatCode="General">
                  <c:v>605</c:v>
                </c:pt>
                <c:pt idx="549" formatCode="General">
                  <c:v>570</c:v>
                </c:pt>
                <c:pt idx="550" formatCode="General">
                  <c:v>570</c:v>
                </c:pt>
                <c:pt idx="551" formatCode="General">
                  <c:v>570</c:v>
                </c:pt>
                <c:pt idx="552" formatCode="General">
                  <c:v>545</c:v>
                </c:pt>
                <c:pt idx="553" formatCode="General">
                  <c:v>545</c:v>
                </c:pt>
                <c:pt idx="554" formatCode="General">
                  <c:v>545</c:v>
                </c:pt>
                <c:pt idx="555" formatCode="General">
                  <c:v>545</c:v>
                </c:pt>
                <c:pt idx="556" formatCode="General">
                  <c:v>535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周五中间体'!$A$7:$A$563</c:f>
              <c:numCache>
                <c:formatCode>yy/mm/dd</c:formatCode>
                <c:ptCount val="557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</c:numCache>
            </c:numRef>
          </c:cat>
          <c:val>
            <c:numRef>
              <c:f>'国际VCM市场价格  周五中间体'!$E$7:$E$563</c:f>
              <c:numCache>
                <c:formatCode>0_ </c:formatCode>
                <c:ptCount val="557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formatCode="General">
                  <c:v>675</c:v>
                </c:pt>
                <c:pt idx="525" formatCode="General">
                  <c:v>670</c:v>
                </c:pt>
                <c:pt idx="526" formatCode="General">
                  <c:v>675</c:v>
                </c:pt>
                <c:pt idx="527" formatCode="General">
                  <c:v>675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680</c:v>
                </c:pt>
                <c:pt idx="532" formatCode="General">
                  <c:v>685</c:v>
                </c:pt>
                <c:pt idx="533" formatCode="General">
                  <c:v>685</c:v>
                </c:pt>
                <c:pt idx="534" formatCode="General">
                  <c:v>680</c:v>
                </c:pt>
                <c:pt idx="535" formatCode="General">
                  <c:v>680</c:v>
                </c:pt>
                <c:pt idx="536" formatCode="General">
                  <c:v>695</c:v>
                </c:pt>
                <c:pt idx="537" formatCode="General">
                  <c:v>690</c:v>
                </c:pt>
                <c:pt idx="538" formatCode="General">
                  <c:v>690</c:v>
                </c:pt>
                <c:pt idx="539" formatCode="General">
                  <c:v>690</c:v>
                </c:pt>
                <c:pt idx="540" formatCode="General">
                  <c:v>690</c:v>
                </c:pt>
                <c:pt idx="541" formatCode="General">
                  <c:v>720</c:v>
                </c:pt>
                <c:pt idx="542" formatCode="General">
                  <c:v>725</c:v>
                </c:pt>
                <c:pt idx="543" formatCode="General">
                  <c:v>750</c:v>
                </c:pt>
                <c:pt idx="544" formatCode="General">
                  <c:v>765</c:v>
                </c:pt>
                <c:pt idx="545" formatCode="General">
                  <c:v>765</c:v>
                </c:pt>
                <c:pt idx="546" formatCode="General">
                  <c:v>765</c:v>
                </c:pt>
                <c:pt idx="547" formatCode="General">
                  <c:v>765</c:v>
                </c:pt>
                <c:pt idx="548" formatCode="General">
                  <c:v>705</c:v>
                </c:pt>
                <c:pt idx="549" formatCode="General">
                  <c:v>670</c:v>
                </c:pt>
                <c:pt idx="550" formatCode="General">
                  <c:v>670</c:v>
                </c:pt>
                <c:pt idx="551" formatCode="General">
                  <c:v>655</c:v>
                </c:pt>
                <c:pt idx="552" formatCode="General">
                  <c:v>655</c:v>
                </c:pt>
                <c:pt idx="553" formatCode="General">
                  <c:v>650</c:v>
                </c:pt>
                <c:pt idx="554" formatCode="General">
                  <c:v>650</c:v>
                </c:pt>
                <c:pt idx="555" formatCode="General">
                  <c:v>650</c:v>
                </c:pt>
                <c:pt idx="556" formatCode="General">
                  <c:v>660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周五中间体'!$A$7:$A$560</c:f>
              <c:numCache>
                <c:formatCode>yy/mm/dd</c:formatCode>
                <c:ptCount val="55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</c:numCache>
            </c:numRef>
          </c:val>
        </c:ser>
        <c:marker val="1"/>
        <c:axId val="277821312"/>
        <c:axId val="278149376"/>
      </c:lineChart>
      <c:dateAx>
        <c:axId val="277821312"/>
        <c:scaling>
          <c:orientation val="minMax"/>
          <c:max val="43086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78149376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278149376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77821312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9163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7405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4628044682820486E-2"/>
          <c:y val="0.12869681987426004"/>
          <c:w val="0.85674931129480114"/>
          <c:h val="0.681296703115874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新电石市场价格!$A$1614:$A$2101</c:f>
              <c:numCache>
                <c:formatCode>yy/mm/dd</c:formatCode>
                <c:ptCount val="48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</c:numCache>
            </c:numRef>
          </c:cat>
          <c:val>
            <c:numRef>
              <c:f>新电石市场价格!$C$1612:$C$2101</c:f>
              <c:numCache>
                <c:formatCode>General</c:formatCode>
                <c:ptCount val="490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新电石市场价格!$A$1614:$A$2101</c:f>
              <c:numCache>
                <c:formatCode>yy/mm/dd</c:formatCode>
                <c:ptCount val="48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</c:numCache>
            </c:numRef>
          </c:cat>
          <c:val>
            <c:numRef>
              <c:f>新电石市场价格!$D$1612:$D$2101</c:f>
              <c:numCache>
                <c:formatCode>General</c:formatCode>
                <c:ptCount val="490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新电石市场价格!$A$1614:$A$2101</c:f>
              <c:numCache>
                <c:formatCode>yy/mm/dd</c:formatCode>
                <c:ptCount val="48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</c:numCache>
            </c:numRef>
          </c:cat>
          <c:val>
            <c:numRef>
              <c:f>新电石市场价格!$E$1612:$E$2101</c:f>
              <c:numCache>
                <c:formatCode>General</c:formatCode>
                <c:ptCount val="490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新电石市场价格!$A$1614:$A$2101</c:f>
              <c:numCache>
                <c:formatCode>yy/mm/dd</c:formatCode>
                <c:ptCount val="48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</c:numCache>
            </c:numRef>
          </c:cat>
          <c:val>
            <c:numRef>
              <c:f>新电石市场价格!$F$1613:$F$2101</c:f>
              <c:numCache>
                <c:formatCode>General</c:formatCode>
                <c:ptCount val="489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</c:numCache>
            </c:numRef>
          </c:val>
        </c:ser>
        <c:marker val="1"/>
        <c:axId val="280374656"/>
        <c:axId val="280448384"/>
      </c:lineChart>
      <c:dateAx>
        <c:axId val="280374656"/>
        <c:scaling>
          <c:orientation val="minMax"/>
          <c:max val="43084"/>
          <c:min val="42782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80448384"/>
        <c:crossesAt val="1800"/>
        <c:auto val="1"/>
        <c:lblOffset val="100"/>
        <c:baseTimeUnit val="days"/>
      </c:dateAx>
      <c:valAx>
        <c:axId val="280448384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80374656"/>
        <c:crosses val="autoZero"/>
        <c:crossBetween val="between"/>
        <c:majorUnit val="3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0118089103596534E-2"/>
          <c:y val="0.15329457364341101"/>
          <c:w val="0.64358561460012564"/>
          <c:h val="6.1821705426356607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DE8854-CE21-4ACD-98B4-4B314A7B8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15</Pages>
  <Words>750</Words>
  <Characters>4278</Characters>
  <Application>Microsoft Office Word</Application>
  <DocSecurity>0</DocSecurity>
  <Lines>35</Lines>
  <Paragraphs>10</Paragraphs>
  <ScaleCrop>false</ScaleCrop>
  <Company>china</Company>
  <LinksUpToDate>false</LinksUpToDate>
  <CharactersWithSpaces>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144</cp:revision>
  <dcterms:created xsi:type="dcterms:W3CDTF">2017-12-15T04:22:00Z</dcterms:created>
  <dcterms:modified xsi:type="dcterms:W3CDTF">2017-12-29T07:29:00Z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