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kern w:val="2"/>
                                <w:lang w:val="en-US"/>
                              </w:rPr>
                            </w:pPr>
                            <w:bookmarkStart w:id="78" w:name="_Toc485828984"/>
                            <w:bookmarkStart w:id="79" w:name="_Toc505349996"/>
                            <w:r>
                              <w:rPr>
                                <w:rFonts w:hint="eastAsia"/>
                                <w:kern w:val="2"/>
                              </w:rPr>
                              <w:t>2018.3.</w:t>
                            </w:r>
                            <w:bookmarkEnd w:id="78"/>
                            <w:bookmarkEnd w:id="79"/>
                            <w:r>
                              <w:rPr>
                                <w:rFonts w:hint="eastAsia"/>
                                <w:kern w:val="2"/>
                                <w:lang w:val="en-US" w:eastAsia="zh-CN"/>
                              </w:rPr>
                              <w:t>23</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kern w:val="2"/>
                          <w:lang w:val="en-US"/>
                        </w:rPr>
                      </w:pPr>
                      <w:bookmarkStart w:id="78" w:name="_Toc485828984"/>
                      <w:bookmarkStart w:id="79" w:name="_Toc505349996"/>
                      <w:r>
                        <w:rPr>
                          <w:rFonts w:hint="eastAsia"/>
                          <w:kern w:val="2"/>
                        </w:rPr>
                        <w:t>2018.3.</w:t>
                      </w:r>
                      <w:bookmarkEnd w:id="78"/>
                      <w:bookmarkEnd w:id="79"/>
                      <w:r>
                        <w:rPr>
                          <w:rFonts w:hint="eastAsia"/>
                          <w:kern w:val="2"/>
                          <w:lang w:val="en-US" w:eastAsia="zh-CN"/>
                        </w:rPr>
                        <w:t>23</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cs="Arial"/>
                                <w:bCs/>
                                <w:kern w:val="0"/>
                              </w:rPr>
                              <w:t>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cs="Arial"/>
                          <w:bCs/>
                          <w:kern w:val="0"/>
                        </w:rPr>
                        <w:t>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pPr>
      <w:bookmarkStart w:id="4" w:name="_Toc281568195"/>
      <w:bookmarkStart w:id="5" w:name="_Toc460250400"/>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pPr>
        <w:ind w:firstLine="400" w:firstLineChars="200"/>
        <w:rPr>
          <w:rFonts w:ascii="宋体" w:hAnsi="宋体" w:cs="宋体"/>
          <w:kern w:val="0"/>
          <w:sz w:val="20"/>
          <w:szCs w:val="20"/>
        </w:rPr>
      </w:pPr>
      <w:r>
        <w:rPr>
          <w:rFonts w:hint="eastAsia" w:ascii="宋体" w:hAnsi="宋体" w:cs="宋体"/>
          <w:kern w:val="0"/>
          <w:sz w:val="20"/>
          <w:szCs w:val="20"/>
        </w:rPr>
        <w:t>单位：美元/桶</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10"/>
        <w:gridCol w:w="908"/>
        <w:gridCol w:w="6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0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3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2018-3-21</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65.17</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69.47</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美国原油库存下降，美国能源信息局的数据显示，上周美国汽油库存下降170万桶，蒸馏油库存下降200万桶。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2018-3-20</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63.4</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67.42</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市场对中东地区局势紧张可能影响原油产量的担忧上升，助推国际油价当天上涨。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2018-3-19</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62.06</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66.05</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美国原油产量持续增加令市场承压，美国能源信息局数据显示，受页岩油产量持续上升等因素推动，目前美国原油日产量高达1038万桶，已超过沙特阿拉伯成为全球第二大产油国。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62.34</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66.21</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美国能源信息局日前的数据显示，美国汽油库存减少量远超市场预期，这抵消了原油库存增加的利空，在16日继续支撑国际油价上涨。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2018-3-15</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61.19</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65.12</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美国汽油库存减少，美国能源信息局14日的数据显示，美国汽油库存减少量远超市场预期，这抵消了原油库存增加的利空，在15日继续支撑国际油价上涨。</w:t>
            </w:r>
          </w:p>
        </w:tc>
      </w:tr>
    </w:tbl>
    <w:p>
      <w:pPr>
        <w:rPr>
          <w:rFonts w:ascii="宋体" w:hAnsi="宋体" w:cs="宋体"/>
          <w:kern w:val="0"/>
          <w:sz w:val="20"/>
          <w:szCs w:val="20"/>
        </w:rPr>
      </w:pPr>
    </w:p>
    <w:p>
      <w:pPr>
        <w:spacing w:line="360" w:lineRule="auto"/>
        <w:ind w:firstLine="300" w:firstLineChars="100"/>
        <w:outlineLvl w:val="1"/>
        <w:rPr>
          <w:rFonts w:ascii="黑体" w:eastAsia="黑体"/>
          <w:sz w:val="30"/>
          <w:szCs w:val="30"/>
        </w:rPr>
      </w:pPr>
      <w:bookmarkStart w:id="8" w:name="_Toc505350000"/>
      <w:r>
        <w:rPr>
          <w:rFonts w:hint="eastAsia" w:ascii="黑体" w:eastAsia="黑体"/>
          <w:sz w:val="30"/>
          <w:szCs w:val="30"/>
        </w:rPr>
        <w:t>1. 2  国际原油市场价格走势图</w:t>
      </w:r>
      <w:bookmarkEnd w:id="8"/>
    </w:p>
    <w:p>
      <w:pPr>
        <w:spacing w:line="360" w:lineRule="auto"/>
        <w:jc w:val="center"/>
        <w:rPr>
          <w:sz w:val="20"/>
          <w:szCs w:val="20"/>
        </w:rPr>
      </w:pPr>
    </w:p>
    <w:p>
      <w:pPr>
        <w:spacing w:line="360" w:lineRule="auto"/>
        <w:rPr>
          <w:sz w:val="20"/>
          <w:szCs w:val="20"/>
        </w:rPr>
      </w:pPr>
      <w:r>
        <w:drawing>
          <wp:inline distT="0" distB="0" distL="114300" distR="114300">
            <wp:extent cx="6064250" cy="4799965"/>
            <wp:effectExtent l="0" t="0" r="1270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064250" cy="4799965"/>
                    </a:xfrm>
                    <a:prstGeom prst="rect">
                      <a:avLst/>
                    </a:prstGeom>
                    <a:noFill/>
                    <a:ln w="9525">
                      <a:noFill/>
                    </a:ln>
                  </pic:spPr>
                </pic:pic>
              </a:graphicData>
            </a:graphic>
          </wp:inline>
        </w:drawing>
      </w: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158203127"/>
      <w:bookmarkStart w:id="14" w:name="_Toc239847712"/>
      <w:r>
        <w:rPr>
          <w:rFonts w:hint="eastAsia" w:ascii="黑体" w:hAnsi="宋体" w:eastAsia="黑体"/>
          <w:b/>
          <w:sz w:val="30"/>
          <w:szCs w:val="30"/>
        </w:rPr>
        <w:t>.近期影响国际原油市场的主要因素</w:t>
      </w:r>
      <w:bookmarkEnd w:id="9"/>
      <w:bookmarkEnd w:id="10"/>
    </w:p>
    <w:p>
      <w:pPr>
        <w:numPr>
          <w:ilvl w:val="0"/>
          <w:numId w:val="2"/>
        </w:numPr>
        <w:outlineLvl w:val="1"/>
        <w:rPr>
          <w:rFonts w:ascii="黑体" w:hAnsi="宋体" w:eastAsia="黑体"/>
          <w:b/>
          <w:sz w:val="28"/>
          <w:szCs w:val="28"/>
        </w:rPr>
      </w:pPr>
      <w:bookmarkStart w:id="15" w:name="_Toc504051939"/>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因进口减少，上周美国原油库存意外下降，而汽油和馏分油库存同样减少。截至3月16日当周，美国原油库存减少262万桶，至4.2831亿桶，市场此前预期为增加256万桶。俄克拉荷马州库欣的原油库存增加90.5万桶/日。截至3月16日当周，美国汽油库存减少169万桶至2.4307亿桶，分析师预估为减少201万桶;包括取暖油和柴油在内的馏分油库存减少202万桶至1.3104亿桶，分析师预估为减少175万桶。炼厂原油加工量增加41万桶/日。炼厂产能利用率增加1.7个百分点。美国上周净进口量减少59.4万桶/日。过去四周美国汽油需求为928万桶/日，较上年同期增加1.9%。过去四周美国馏分油需求为390万桶/日，较上年同期下跌4.5%。美国石油协会(API)数据显示，因炼厂增加产出，上周美国原油库存意外减少，汽油和馏分油库存也下降。截至3月16日当周，美国原油库存减少270万桶，至4.253亿桶，此前分析师预计为增加260万桶。美国原油期货交割地-俄克拉荷马州库存的原油库存增加160万桶。截至3月16日当周，美国汽油库存减少110万桶，分析师预计为减少200万桶;包括柴油和取暖油在内的馏分油库存减少190万桶，分析师预估为减少170万桶。上周美国原油进口减少57.2万桶/日，至740万桶/日。炼厂每日炼油量增加43.9万桶。</w:t>
      </w:r>
    </w:p>
    <w:p>
      <w:pPr>
        <w:pStyle w:val="19"/>
        <w:ind w:firstLine="560" w:firstLineChars="200"/>
        <w:rPr>
          <w:rFonts w:hint="eastAsia" w:ascii="华文仿宋" w:hAnsi="华文仿宋" w:eastAsia="华文仿宋"/>
          <w:sz w:val="28"/>
          <w:szCs w:val="28"/>
        </w:rPr>
      </w:pPr>
    </w:p>
    <w:p>
      <w:pPr>
        <w:outlineLvl w:val="1"/>
        <w:rPr>
          <w:rFonts w:hint="eastAsia" w:ascii="黑体" w:hAnsi="宋体" w:eastAsia="黑体"/>
          <w:b/>
          <w:sz w:val="28"/>
          <w:szCs w:val="28"/>
        </w:rPr>
      </w:pPr>
      <w:bookmarkStart w:id="16" w:name="_Toc504051940"/>
      <w:r>
        <w:rPr>
          <w:rFonts w:hint="eastAsia" w:ascii="黑体" w:hAnsi="宋体" w:eastAsia="黑体"/>
          <w:b/>
          <w:sz w:val="28"/>
          <w:szCs w:val="28"/>
        </w:rPr>
        <w:t>2、美国经济形势</w:t>
      </w:r>
      <w:bookmarkEnd w:id="16"/>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北京时间22日消息 主要股指在午盘走强，受油价大涨刺激，能源与原材料板块领涨。投资者在等待美联储利率决定，市场普遍预计美联储将加息，这将是自2015年底以来第六次加息。</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截至美东时间中午12：30(北京时间凌晨0：30)，道琼斯(24682.3105, -44.96, -0.18%)工业平均指数上涨131.83点，报24858.39点，涨幅为0.53%;标准普尔500指数上涨11.31点，报2728.15点，涨幅为0.41%;纳斯达克(7345.2854, -19.02, -0.26%)综合指数上涨24.25点，报7388.55点，涨幅为0.33%。。</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能源板块上涨2.6%，原油期货创七周新高。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当前市场所有目光聚焦美联储，投资者预计美联储将宣布加息，这将是今年首次加息。现在最重要的问题是，美联储主席鲍威尔与他的同事是否会暗示今年将加息四次，而不是三次。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10年期国债收益率上升3个基点，至2.90%，美元指数下跌0.40%，报90.41点。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美联储公开市场委员会将在北京时间凌晨2点宣布利率决定，鲍威尔将在2点半举行新闻发布会。</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美国四季度经常项目赤字较三季度修正后的1015亿美元增长26%，至1282亿美元，高于1250亿美元预期。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美国2月二手房签约销量经季调后达到554万套。</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分析师点评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London Capital Group分析师Jasper Lawler表示，“我们认为投资者将在周三交易中保持警觉，加息是肯定的，市场分歧在于是加息四次还是三次。”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他表示，“我们将密切关注国债收益率的变化，如果美联储准备加快收紧货币政策，那么国债收益率将会上升。由于国债收益率的飙升是此次股市调整的诱因，因此投资者应该做好保护措施，以防大跌重演。”</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焦点个股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General Mills大跌9.25%，该公司财报及业绩预告均令投资者失望。</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Facebook(169.39, 1.24,0.74%)上涨2.16%，该股本周仍下跌8%左右。该公司此前披露，第三方公司Cambridge Analytica在2016年大选期间未经同意便使用了约5000万用户数据。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MuleSoft上涨5.90%，Salesforce(121.7, -3.42,-2.73%).com周二收盘后表示正在买进该公司股票。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Proteostasis Therapeutics上涨2.96%，这一生物技术公司周二收盘后表示，因市场状况欠佳，已决定撤销发行新股。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西南航空下跌5.19%，该公司下调了第一财季营收目标。</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因二手房销量止跌回升，开发商板块上涨。D.R. Horton上涨2.32%，Lennar上涨2.23%。</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其它市场</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亚洲股市涨跌互见，日本股市因公共假日休市。欧洲股市大多低收。</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原油期货大涨2.50%，创近七周新高，数据显示，美国上周库存意外下降。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黄金期货上涨1%，报每盎司1325美元。</w:t>
      </w:r>
    </w:p>
    <w:p>
      <w:pPr>
        <w:pStyle w:val="19"/>
        <w:ind w:firstLine="560" w:firstLineChars="200"/>
        <w:rPr>
          <w:rFonts w:hint="eastAsia" w:ascii="华文仿宋" w:hAnsi="华文仿宋" w:eastAsia="华文仿宋"/>
          <w:sz w:val="28"/>
          <w:szCs w:val="28"/>
        </w:rPr>
      </w:pPr>
    </w:p>
    <w:p>
      <w:pPr>
        <w:pStyle w:val="19"/>
        <w:outlineLvl w:val="1"/>
        <w:rPr>
          <w:rFonts w:hint="eastAsia" w:ascii="黑体" w:eastAsia="黑体"/>
          <w:b/>
          <w:sz w:val="28"/>
          <w:szCs w:val="28"/>
        </w:rPr>
      </w:pPr>
      <w:bookmarkStart w:id="17" w:name="_Toc504051941"/>
      <w:r>
        <w:rPr>
          <w:rFonts w:hint="eastAsia" w:ascii="黑体" w:eastAsia="黑体"/>
          <w:b/>
          <w:sz w:val="28"/>
          <w:szCs w:val="28"/>
        </w:rPr>
        <w:t>3、世界经济形势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据财政部网站21日消息，3月19-20日，二十国集团(G20)财长和央行行长会议在阿根廷布宜诺斯艾利斯举行。财政部副部长朱光耀出席上述会议并发言。</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朱光耀表示，当前数字经济蓬勃发展，这是创新的成果，数字经济的发展反过来又促进了生产率的提升，增加了经济增长动力。与此同时，数字经济发展也给税收征管、反洗钱等领域带来新挑战。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各方需要关注数字经济征税单边短期措施的外溢效应，以及可能对现行国际税收规则造成的影响，避免因短期税收利益阻碍创新及数字经济的长远发展。G20应继续加强协调，于2020年就数字经济征税长期解决方案达成共识。</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讨论世界经济形势和中国改革开放进程时，朱光耀表示，今年正值中国改革开放四十周年。四十年来，中国的面貌发生了根本改观，这是有目共睹的事实。中国的快速发展首先惠及亿万中国人民，极大提高了民众生活质量和水平，与此同时为全球减贫和经济增长做出了重大的实质性贡献。中国对全球减贫的贡献率超过百分之七十，对全球经济增长的贡献率超过百分之三十。习近平主席强调，中国的改革开放只有进行时，没有完成时。开放也是改革，要寓改革于开放之中。中国政府将结合纪念改革开放四十周年之机，推出新的、力度更大的改革开放措施。当前，全球经济仍存在众多不确定性和风险，G20应继续团结一致、密切合作，而不是相互指责。中国愿与其他G20成员一道，协调推进结构性改革，促进全球经济实现强劲、可持续、平衡、包容增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本次会议是阿根廷担任2018年G20主席国后举办的首次财长和央行行长会，主要讨论了全球经济形势、未来的工作、基础设施、金融监管、国际金融架构、国际税收和反恐融资等议题，并发表了公报。会前还举行了G20财政和央行副手会议。</w:t>
      </w:r>
    </w:p>
    <w:p>
      <w:pPr>
        <w:outlineLvl w:val="1"/>
        <w:rPr>
          <w:rFonts w:ascii="黑体" w:hAnsi="宋体" w:eastAsia="黑体"/>
          <w:b/>
          <w:sz w:val="30"/>
          <w:szCs w:val="30"/>
        </w:rPr>
      </w:pPr>
    </w:p>
    <w:p>
      <w:pPr>
        <w:outlineLvl w:val="1"/>
        <w:rPr>
          <w:rFonts w:ascii="宋体" w:hAnsi="宋体" w:cs="Arial"/>
          <w:b/>
          <w:bCs/>
          <w:kern w:val="0"/>
          <w:sz w:val="32"/>
          <w:szCs w:val="32"/>
        </w:rPr>
      </w:pPr>
      <w:bookmarkStart w:id="18" w:name="_Toc505350005"/>
      <w:r>
        <w:rPr>
          <w:rFonts w:hint="eastAsia" w:ascii="仿宋_GB2312" w:eastAsia="仿宋_GB2312"/>
          <w:b/>
          <w:sz w:val="28"/>
          <w:szCs w:val="28"/>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年1月份全国原油进出口统计数据</w:t>
      </w:r>
      <w:bookmarkEnd w:id="18"/>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83"/>
        <w:gridCol w:w="1895"/>
        <w:gridCol w:w="1730"/>
        <w:gridCol w:w="1684"/>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产销国</w:t>
            </w:r>
          </w:p>
        </w:tc>
        <w:tc>
          <w:tcPr>
            <w:tcW w:w="189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进口数量</w:t>
            </w:r>
          </w:p>
        </w:tc>
        <w:tc>
          <w:tcPr>
            <w:tcW w:w="173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进口美元</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出口数量</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伊拉克</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649494341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295125382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伊朗</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943366000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421461546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俄罗斯联邦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99864784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49200471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刚果</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255795196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107889892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利比亚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20672306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10257774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加纳</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132671920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66541399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加蓬</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129756267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64076661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南苏丹共和国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159379482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72051537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南非</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266215900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122051485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印度尼西亚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41124820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22689795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厄瓜多尔</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102926111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45625351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哈萨克斯坦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143132970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60868946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哥伦比亚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137664807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62325974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埃及</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63926475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32154627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墨西哥</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68508391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25765400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委内瑞拉</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816471814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299596959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安哥拉</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252105000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131417141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尼日尔</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巴西</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140424285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66525116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挪威</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228951700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118717850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日本</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41961499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17127955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沙特阿拉伯</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34929719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15932221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泰国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36642535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18087616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澳大利亚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85599910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42682318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科威特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119059947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53705470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美国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132535675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59187615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苏丹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英国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129555227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65681207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蒙古</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3547040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1599605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赤道几内亚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137232210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73218356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越南</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136406400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70399997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阿拉伯联合酋长国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82845204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40150928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阿曼</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240933340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108399075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阿根廷</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150477808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72787884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马来西亚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42623042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21210458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仿宋" w:hAnsi="华文仿宋" w:eastAsia="华文仿宋" w:cs="宋体"/>
                <w:kern w:val="0"/>
                <w:sz w:val="28"/>
                <w:szCs w:val="28"/>
                <w:lang w:val="en-US" w:eastAsia="zh-CN" w:bidi="ar-SA"/>
              </w:rPr>
            </w:pPr>
            <w:r>
              <w:rPr>
                <w:rFonts w:hint="default" w:ascii="华文仿宋" w:hAnsi="华文仿宋" w:eastAsia="华文仿宋" w:cs="宋体"/>
                <w:kern w:val="0"/>
                <w:sz w:val="28"/>
                <w:szCs w:val="28"/>
                <w:lang w:val="en-US" w:eastAsia="zh-CN" w:bidi="ar-SA"/>
              </w:rPr>
              <w:t>0</w:t>
            </w:r>
          </w:p>
        </w:tc>
      </w:tr>
    </w:tbl>
    <w:p>
      <w:pPr>
        <w:rPr>
          <w:rFonts w:ascii="宋体" w:hAnsi="宋体"/>
        </w:rPr>
      </w:pPr>
    </w:p>
    <w:p>
      <w:pPr>
        <w:numPr>
          <w:ilvl w:val="0"/>
          <w:numId w:val="0"/>
        </w:numPr>
        <w:tabs>
          <w:tab w:val="left" w:pos="798"/>
        </w:tabs>
        <w:ind w:leftChars="99"/>
        <w:outlineLvl w:val="1"/>
        <w:rPr>
          <w:rFonts w:hint="eastAsia" w:ascii="仿宋_GB2312" w:hAnsi="宋体" w:eastAsia="仿宋_GB2312" w:cs="Arial"/>
          <w:b/>
          <w:bCs/>
          <w:kern w:val="0"/>
          <w:sz w:val="30"/>
          <w:szCs w:val="30"/>
        </w:rPr>
      </w:pPr>
      <w:bookmarkStart w:id="19" w:name="_Toc505350006"/>
      <w:r>
        <w:rPr>
          <w:rFonts w:hint="eastAsia" w:ascii="仿宋_GB2312" w:hAnsi="宋体" w:eastAsia="仿宋_GB2312" w:cs="Arial"/>
          <w:b/>
          <w:bCs/>
          <w:kern w:val="0"/>
          <w:sz w:val="30"/>
          <w:szCs w:val="30"/>
          <w:lang w:eastAsia="zh-CN"/>
        </w:rPr>
        <w:t>（四）</w:t>
      </w:r>
      <w:r>
        <w:rPr>
          <w:rFonts w:hint="eastAsia" w:ascii="仿宋_GB2312" w:hAnsi="宋体" w:eastAsia="仿宋_GB2312" w:cs="Arial"/>
          <w:b/>
          <w:bCs/>
          <w:kern w:val="0"/>
          <w:sz w:val="30"/>
          <w:szCs w:val="30"/>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本周WTI原油价格在6</w:t>
      </w:r>
      <w:r>
        <w:rPr>
          <w:rFonts w:hint="eastAsia" w:ascii="华文仿宋" w:hAnsi="华文仿宋" w:eastAsia="华文仿宋"/>
          <w:sz w:val="28"/>
          <w:szCs w:val="28"/>
          <w:lang w:val="en-US" w:eastAsia="zh-CN"/>
        </w:rPr>
        <w:t>1.19</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5.17</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65.12</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9.47</w:t>
      </w:r>
      <w:r>
        <w:rPr>
          <w:rFonts w:hint="eastAsia" w:ascii="华文仿宋" w:hAnsi="华文仿宋" w:eastAsia="华文仿宋"/>
          <w:sz w:val="28"/>
          <w:szCs w:val="28"/>
        </w:rPr>
        <w:t>美元/桶震荡。周内国际原油价格先跌后涨，数据显示上周美国的原油库存意外下降，从而为油价提供了进一步的支撑,同时而美元下挫，也进一步推动了油价走高，此前，地缘政治风险令全球原油产量面临威胁，已经给油价带来了一定的支持。原油继续强势收涨。美国能源信息署(EIA)在周三早些时候公布报告称，截至3月16日当周美国原油库存减少260万桶。相比之下，据标准普尔全球普氏公司(S&amp;P Global Platts)调查显示，分析师此前平均预期该周原油库存增加260万桶，而美国石油协会(API)周二报告则显示该周原油库存减少270万桶。另外，报告还显示上周美国汽油库存也减少了170万桶，馏分油(包括柴油和取暖用油)库存则减少了200万桶，相比之下标准普尔全球普氏公司调查显示分析师平均预期该周汽油库存减少180万桶，馏分油库存也减少180万桶。美国或再度对伊朗实施制裁，同时沙特和伊朗之间的紧张关系也增加了当地原油供应中断的潜在风险。短线预测：市场对全球需求增加和减产将支撑油价的观点反复摇摆，且美国的产量水平总体上将抵消这一利好，此外特朗普发起的贸易战争，也为油价的走势施加压力，整体而言，国际原油持续上行受阻，原油价格或持续保持曲折震荡走势。中长线预测：就全球石油市场格局来看，近期内美国高调与OPEC缄默形成鲜明对比，由于产量屡屡突破现有记录，美国已逐渐逼近俄国第一大产油国的位置，且特朗普引发的贸易战恐拖累全球经济增长放缓，从而打击原油需求表现，强势侵袭下，市场对于油市走向谨慎情绪日渐浓郁，偏空因素压制下，2018年国际原油价格平均水平将有下滑，或至66美元/桶。</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261"/>
        <w:gridCol w:w="2221"/>
        <w:gridCol w:w="2647"/>
        <w:gridCol w:w="1374"/>
        <w:gridCol w:w="2453"/>
      </w:tblGrid>
      <w:tr>
        <w:tblPrEx>
          <w:shd w:val="clear" w:color="auto" w:fill="FFFFFF"/>
          <w:tblLayout w:type="fixed"/>
          <w:tblCellMar>
            <w:top w:w="0" w:type="dxa"/>
            <w:left w:w="0" w:type="dxa"/>
            <w:bottom w:w="0" w:type="dxa"/>
            <w:right w:w="0" w:type="dxa"/>
          </w:tblCellMar>
        </w:tblPrEx>
        <w:trPr>
          <w:trHeight w:val="67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505350009"/>
            <w:bookmarkStart w:id="24" w:name="_Toc239847715"/>
            <w:bookmarkStart w:id="25" w:name="_Toc281568202"/>
            <w:bookmarkStart w:id="26" w:name="_Toc296600812"/>
            <w:bookmarkStart w:id="27" w:name="_Toc460250405"/>
            <w:r>
              <w:rPr>
                <w:rFonts w:hint="eastAsia" w:ascii="华文仿宋" w:hAnsi="华文仿宋" w:eastAsia="华文仿宋" w:cs="华文仿宋"/>
                <w:color w:val="000000"/>
                <w:sz w:val="28"/>
                <w:szCs w:val="28"/>
                <w:lang w:val="en-US" w:eastAsia="zh-CN"/>
              </w:rPr>
              <w:t>3月22日</w:t>
            </w:r>
          </w:p>
        </w:tc>
        <w:tc>
          <w:tcPr>
            <w:tcW w:w="2221"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低端价（美元/吨）</w:t>
            </w:r>
          </w:p>
        </w:tc>
        <w:tc>
          <w:tcPr>
            <w:tcW w:w="264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高端价（美元/吨）</w:t>
            </w:r>
          </w:p>
        </w:tc>
        <w:tc>
          <w:tcPr>
            <w:tcW w:w="137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均价涨跌幅</w:t>
            </w:r>
          </w:p>
        </w:tc>
        <w:tc>
          <w:tcPr>
            <w:tcW w:w="245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新加坡</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64.74</w:t>
            </w:r>
            <w:r>
              <w:rPr>
                <w:rFonts w:hint="eastAsia" w:ascii="华文仿宋" w:hAnsi="华文仿宋" w:eastAsia="华文仿宋" w:cs="华文仿宋"/>
                <w:b w:val="0"/>
                <w:i w:val="0"/>
                <w:caps w:val="0"/>
                <w:color w:val="000000"/>
                <w:spacing w:val="0"/>
                <w:sz w:val="28"/>
                <w:szCs w:val="28"/>
              </w:rPr>
              <w:t>美元/桶</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64.78</w:t>
            </w:r>
            <w:r>
              <w:rPr>
                <w:rFonts w:hint="eastAsia" w:ascii="华文仿宋" w:hAnsi="华文仿宋" w:eastAsia="华文仿宋" w:cs="华文仿宋"/>
                <w:b w:val="0"/>
                <w:i w:val="0"/>
                <w:caps w:val="0"/>
                <w:color w:val="000000"/>
                <w:spacing w:val="0"/>
                <w:sz w:val="28"/>
                <w:szCs w:val="28"/>
              </w:rPr>
              <w:t>美元/桶</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1.10</w:t>
            </w:r>
            <w:r>
              <w:rPr>
                <w:rFonts w:hint="eastAsia" w:ascii="华文仿宋" w:hAnsi="华文仿宋" w:eastAsia="华文仿宋" w:cs="华文仿宋"/>
                <w:b w:val="0"/>
                <w:i w:val="0"/>
                <w:caps w:val="0"/>
                <w:color w:val="000000"/>
                <w:spacing w:val="0"/>
                <w:sz w:val="28"/>
                <w:szCs w:val="28"/>
              </w:rPr>
              <w:t>美元/桶</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154.143-154.238</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日本</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589.00</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594.00</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8.50</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155.820-157.143</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阿拉伯海湾</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565.01</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570.01</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8.82</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firstLine="360"/>
              <w:jc w:val="left"/>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kern w:val="0"/>
                <w:sz w:val="28"/>
                <w:szCs w:val="28"/>
                <w:lang w:val="en-US" w:eastAsia="zh-CN" w:bidi="ar"/>
              </w:rPr>
              <w:t> 149.474-150.796</w:t>
            </w:r>
          </w:p>
        </w:tc>
      </w:tr>
      <w:tr>
        <w:tblPrEx>
          <w:tblLayout w:type="fixed"/>
          <w:tblCellMar>
            <w:top w:w="0" w:type="dxa"/>
            <w:left w:w="0" w:type="dxa"/>
            <w:bottom w:w="0" w:type="dxa"/>
            <w:right w:w="0" w:type="dxa"/>
          </w:tblCellMar>
        </w:tblPrEx>
        <w:trPr>
          <w:trHeight w:val="67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阿姆斯特丹、鹿特丹、安特卫普到岸价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586.50</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587.00</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-3.75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156.818-156.952</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鹿特丹船货价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582.50</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583.00</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-3.75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155.749-155.882</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地中海离岸价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568.00</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568.50</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-3.75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151.872-152.005</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热那亚到岸价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578.75</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579.25</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-3.75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154.746-154.880</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美国墨西哥湾</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573.32</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573.42</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-0.91美分/加仑</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163.760-163.860</w:t>
            </w:r>
          </w:p>
        </w:tc>
      </w:tr>
      <w:tr>
        <w:tblPrEx>
          <w:tblLayout w:type="fixed"/>
          <w:tblCellMar>
            <w:top w:w="0" w:type="dxa"/>
            <w:left w:w="0" w:type="dxa"/>
            <w:bottom w:w="0" w:type="dxa"/>
            <w:right w:w="0" w:type="dxa"/>
          </w:tblCellMar>
        </w:tblPrEx>
        <w:trPr>
          <w:trHeight w:val="285" w:hRule="atLeast"/>
        </w:trPr>
        <w:tc>
          <w:tcPr>
            <w:tcW w:w="12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加勒比海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6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pStyle w:val="3"/>
        <w:spacing w:line="240" w:lineRule="auto"/>
        <w:rPr>
          <w:rFonts w:hint="eastAsia" w:cs="Times New Roman" w:asciiTheme="minorEastAsia" w:hAnsiTheme="minorEastAsia" w:eastAsiaTheme="minorEastAsia"/>
          <w:b/>
          <w:bCs w:val="0"/>
          <w:kern w:val="2"/>
          <w:sz w:val="28"/>
          <w:szCs w:val="28"/>
          <w:lang w:val="en-US" w:eastAsia="zh-CN" w:bidi="ar-SA"/>
        </w:rPr>
      </w:pPr>
      <w:r>
        <w:rPr>
          <w:rFonts w:hint="eastAsia" w:cs="Times New Roman" w:asciiTheme="minorEastAsia" w:hAnsiTheme="minorEastAsia" w:eastAsiaTheme="minorEastAsia"/>
          <w:b/>
          <w:bCs w:val="0"/>
          <w:kern w:val="2"/>
          <w:sz w:val="28"/>
          <w:szCs w:val="28"/>
          <w:lang w:val="en-US" w:eastAsia="zh-CN" w:bidi="ar-SA"/>
        </w:rPr>
        <w:t>2.2地炼石脑油市场</w:t>
      </w:r>
      <w:bookmarkEnd w:id="13"/>
      <w:bookmarkEnd w:id="14"/>
      <w:bookmarkEnd w:id="23"/>
      <w:bookmarkEnd w:id="24"/>
      <w:bookmarkEnd w:id="25"/>
      <w:bookmarkEnd w:id="26"/>
      <w:bookmarkEnd w:id="27"/>
      <w:r>
        <w:rPr>
          <w:rFonts w:hint="eastAsia" w:cs="Times New Roman" w:asciiTheme="minorEastAsia" w:hAnsiTheme="minorEastAsia" w:eastAsiaTheme="minorEastAsia"/>
          <w:b/>
          <w:bCs w:val="0"/>
          <w:kern w:val="2"/>
          <w:sz w:val="28"/>
          <w:szCs w:val="28"/>
          <w:lang w:val="en-US" w:eastAsia="zh-CN" w:bidi="ar-SA"/>
        </w:rPr>
        <w:t xml:space="preserve"> </w:t>
      </w:r>
    </w:p>
    <w:p>
      <w:pPr>
        <w:pStyle w:val="19"/>
        <w:keepNext w:val="0"/>
        <w:keepLines w:val="0"/>
        <w:widowControl/>
        <w:suppressLineNumbers w:val="0"/>
        <w:ind w:firstLine="560" w:firstLineChars="200"/>
      </w:pPr>
      <w:r>
        <w:rPr>
          <w:rFonts w:hint="eastAsia" w:ascii="华文仿宋" w:hAnsi="华文仿宋" w:eastAsia="华文仿宋"/>
          <w:sz w:val="28"/>
          <w:szCs w:val="28"/>
        </w:rPr>
        <w:t>本周国内地炼石脑油主力价区低端价格出现窄幅调整。周内WTI原油价格在61.19-65.17美元/桶，布伦特原油价格在65.12-69.47美元/桶震荡。国际原油价格先跌后涨，给予国内成品油市场积极支撑，地炼宽幅调涨石油制品出厂报盘，主营单位尽管出货进度欠佳，也局部推涨应市，国内地炼石脑油市场也出现局部推涨迹象，不过目前市场资源流通多以执行前期合同为主，成交均线偏移有限。从货源流向看，伊泰大路、伊泰杭锦旗资源近期稳定销往山东沂水、临淄等地;北京房山地区汽油调和商稳定购进西北煤基石脑油，神华宁煤资源近日流向山东沾化、阳信等地区。场内需求稳健，判断地炼石脑油市场将同步原油价格上推。</w:t>
      </w:r>
    </w:p>
    <w:p>
      <w:pPr>
        <w:pStyle w:val="19"/>
        <w:keepNext w:val="0"/>
        <w:keepLines w:val="0"/>
        <w:widowControl/>
        <w:suppressLineNumbers w:val="0"/>
        <w:ind w:firstLine="560" w:firstLineChars="200"/>
        <w:rPr>
          <w:rFonts w:hint="eastAsia" w:ascii="华文仿宋" w:hAnsi="华文仿宋" w:eastAsia="华文仿宋"/>
          <w:sz w:val="28"/>
          <w:szCs w:val="28"/>
        </w:rPr>
      </w:pPr>
    </w:p>
    <w:p/>
    <w:p>
      <w:pPr>
        <w:outlineLvl w:val="1"/>
        <w:rPr>
          <w:rFonts w:asciiTheme="minorEastAsia" w:hAnsiTheme="minorEastAsia" w:eastAsiaTheme="minorEastAsia"/>
          <w:b/>
          <w:sz w:val="28"/>
          <w:szCs w:val="28"/>
        </w:rPr>
      </w:pPr>
      <w:bookmarkStart w:id="28" w:name="_Toc460250406"/>
      <w:bookmarkStart w:id="29" w:name="_Toc505350010"/>
      <w:bookmarkStart w:id="30" w:name="_Toc296600813"/>
      <w:bookmarkStart w:id="31" w:name="_Toc28156820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hint="eastAsia" w:ascii="宋体" w:hAnsi="宋体" w:cs="Arial"/>
          <w:kern w:val="0"/>
          <w:sz w:val="20"/>
          <w:szCs w:val="20"/>
        </w:rPr>
      </w:pPr>
    </w:p>
    <w:p>
      <w:pPr>
        <w:pStyle w:val="3"/>
        <w:spacing w:line="240" w:lineRule="auto"/>
        <w:jc w:val="left"/>
        <w:rPr>
          <w:rFonts w:ascii="宋体" w:hAnsi="宋体"/>
          <w:b w:val="0"/>
          <w:szCs w:val="28"/>
        </w:rPr>
      </w:pPr>
      <w:bookmarkStart w:id="32" w:name="_Toc281568204"/>
      <w:bookmarkStart w:id="33" w:name="_Toc296600814"/>
      <w:bookmarkStart w:id="34" w:name="_Toc460250407"/>
      <w:bookmarkStart w:id="35" w:name="_Toc158203132"/>
      <w:bookmarkStart w:id="36" w:name="_Toc239847719"/>
    </w:p>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r>
        <w:drawing>
          <wp:inline distT="0" distB="0" distL="114300" distR="114300">
            <wp:extent cx="5800725" cy="5928360"/>
            <wp:effectExtent l="0" t="0" r="9525" b="15240"/>
            <wp:docPr id="623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5"/>
    <w:bookmarkEnd w:id="36"/>
    <w:p>
      <w:pPr>
        <w:outlineLvl w:val="0"/>
        <w:rPr>
          <w:rFonts w:ascii="黑体" w:eastAsia="黑体"/>
          <w:b/>
          <w:sz w:val="28"/>
          <w:szCs w:val="28"/>
        </w:rPr>
      </w:pPr>
      <w:bookmarkStart w:id="38" w:name="_Toc237428455"/>
      <w:bookmarkStart w:id="39" w:name="_Toc281568206"/>
      <w:bookmarkStart w:id="40" w:name="_Toc505350012"/>
      <w:bookmarkStart w:id="41" w:name="_Toc460250408"/>
      <w:bookmarkStart w:id="42" w:name="_Toc296600816"/>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296600817"/>
      <w:bookmarkStart w:id="45" w:name="_Toc460250409"/>
      <w:bookmarkStart w:id="46" w:name="_Toc237428456"/>
      <w:bookmarkStart w:id="47" w:name="_Toc176571903"/>
    </w:p>
    <w:p>
      <w:pPr>
        <w:pStyle w:val="2"/>
        <w:spacing w:line="360" w:lineRule="auto"/>
        <w:rPr>
          <w:rFonts w:hint="eastAsia" w:ascii="黑体" w:hAnsi="黑体"/>
          <w:b w:val="0"/>
          <w:kern w:val="2"/>
          <w:sz w:val="28"/>
          <w:szCs w:val="28"/>
        </w:rPr>
      </w:pPr>
      <w:bookmarkStart w:id="48" w:name="_Toc505350013"/>
      <w:r>
        <w:rPr>
          <w:rFonts w:hint="eastAsia" w:ascii="黑体" w:hAnsi="黑体"/>
          <w:b w:val="0"/>
          <w:kern w:val="2"/>
          <w:sz w:val="28"/>
          <w:szCs w:val="28"/>
        </w:rPr>
        <w:t>3．1  成品油市场动态</w:t>
      </w:r>
      <w:bookmarkEnd w:id="43"/>
      <w:bookmarkEnd w:id="44"/>
      <w:bookmarkEnd w:id="45"/>
      <w:bookmarkEnd w:id="48"/>
    </w:p>
    <w:p>
      <w:pPr>
        <w:keepNext w:val="0"/>
        <w:keepLines w:val="0"/>
        <w:widowControl/>
        <w:suppressLineNumbers w:val="0"/>
        <w:spacing w:after="240" w:afterAutospacing="0"/>
        <w:ind w:left="210" w:hanging="210" w:hangingChars="100"/>
        <w:jc w:val="left"/>
        <w:rPr>
          <w:rFonts w:hint="eastAsia" w:ascii="华文仿宋" w:hAnsi="华文仿宋" w:eastAsia="华文仿宋" w:cs="华文仿宋"/>
          <w:kern w:val="0"/>
          <w:sz w:val="28"/>
          <w:szCs w:val="28"/>
          <w:lang w:val="en-US" w:eastAsia="zh-CN" w:bidi="ar-SA"/>
        </w:rPr>
      </w:pPr>
      <w:r>
        <w:rPr>
          <w:sz w:val="21"/>
          <w:szCs w:val="21"/>
        </w:rPr>
        <w:t>　</w:t>
      </w:r>
      <w:r>
        <w:rPr>
          <w:rFonts w:hint="eastAsia" w:ascii="华文仿宋" w:hAnsi="华文仿宋" w:eastAsia="华文仿宋" w:cs="华文仿宋"/>
          <w:kern w:val="0"/>
          <w:sz w:val="28"/>
          <w:szCs w:val="28"/>
          <w:lang w:val="en-US" w:eastAsia="zh-CN" w:bidi="ar-SA"/>
        </w:rPr>
        <w:t>　 本周，国际原油期价接连走高，受此影响，国内成品油市场行情整体表现一般，各地主营单位销售执行优惠政策。反观，山东地区汽柴油行情止跌反弹，其中以柴油推涨为主，但炼厂成交保持100元/吨优惠。具体来看出货方面：周初，受终端需求不足影响，区内油市观望气氛浓厚。随后，在原油反弹刺激下，中下游商家入市采购积极性提升，加上各炼厂趁机推价以刺激下游买涨情绪，市场交投气氛回暖。后市前瞻：进入下周，国际原油期货高位震荡为主，若无重大利空打压下，山东地区成品油行情有望保持良好势头，下游买家按需采购，而地炼方面则根据自身情况适当调整销售策略。综上所述，预计下周山东地炼汽柴油价格上涨动力仍存，但涨幅空间有限。</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南地区成品油行情跌后小涨，市场交投气氛改善有限。具体来看，国际原油期货先抑后扬，变化率正向区间延伸，本轮零售价或将兑现上调，消息方面指引向好。然而，受前半周原油期货震荡及主营单位赶量促销影响，汽柴油价格惯性下跌。而后，由于原油期货连续大涨，消息面给予油市一定提振，零售价上调预期显现。局部地区主营单位借机小幅推涨汽柴价格，部分业者入市逢低适量购进，市场交投气氛略有向好。后市来看，国际原油期货高位震荡为主，变化率正向区间运行，消息方面仍有一定支撑。但临近月末，主营单位销售压力依然较大。多空因素并存下，预计下周华南地区成品油行情走高空间有限。</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北地区成品油行情先跌后涨，整体成交气氛呈现好转。具体来看，国际原油走势经历震荡后接连走高，变化率随之正向拉宽，令零售价显现上调预期，因此消息面指向逐步转好。周初，由于主营月度任务普遍欠量，为此部分单位降价或扩大优惠促销，汽柴油价格重心下滑，业者消库为主，采购依旧稀少。之后随着消息面利好加深，带动主营行情反弹，其中主要表现为需求存在向好预期的柴油涨价，而汽油则因需求平淡，价格以稳为主。场内用户谨慎情绪有所减弱，部分适度进行补货，交投气氛呈现一定好转。后市来看，国际原油或偏强震荡，下周零售价有望迎来上调，消息面仍存利好支撑，且周内主营追量进度加速，故预计下周华北地区成品油行情存在续涨空间，另不排除个别欠量单位扩大优惠促销。</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东地区成品油行情跌后回涨，市场交投逐步好转。具体来看，周内国际油价跌后连续大幅反弹，变化率亦由负转正运行，零售价存小幅上调可能，消息面逐步转好。周初，华东区内主营迫于销售压力，汽柴油价格纷纷承压下滑，成交政策较为灵活，不过下游用户心态谨慎，入市采购较为有限。随后原油连涨，且山东地炼柴油价格顺势推涨，成本支撑下，华东主营柴油亦逐步回涨，汽油涨幅则相对有限。不过，为了追赶销量，实际销售暗中仍维持宽松优惠空间，业者入市操作增多，市场交投气氛升温。后市而言，国际油价或高位震荡，消息面对市场或仍有支撑，但近期业者集中补货，进入下周市场需求或将再度转淡，而部分主营销售压力依然存在，故或限制成品油行情进一步上涨空间。</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中地区汽柴油价格稳中有涨，整体购销一般。具体来看，周初国际原油弱势震荡为主，变化率窄幅正向运行，消息面欠缺明确指引。且受两会影响，柴油终端需求恢复不及预期，近期无节假日提振，汽油市场亦表现平淡，主营出货普遍承压，故进入月下旬，区内主营为追赶销售进度，汽柴价格稳中有跌。随着原油大幅拉升，消息面利好油市，且部分地方炼厂相继进入检修季，供应面有所收窄，主营汽柴价格顺势大幅上推。后市来看，国际原油或将高位偏强震荡为主，零售价或将兑现上调，随着工程、基建陆续开工，柴油市场将逐渐回暖，汽油则相对稳定，故华中地区主营成品油价格柴油仍有上行空间，汽油行情难有好转。</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西南地区汽柴行情跌后反弹，市场成交稍有改善。分析来看：国际原油震荡走高，变化率正向区间延伸，消息面持续向好。不过，本周前期调价方向仍不明朗，市场观望气氛难消。业者操作心态维持谨慎，市场成交气氛平平。此外，进入中下旬主营出货压力较大，因此汽柴价格不断下滑。不过，随着原油涨幅扩大，上调预期增强，消息面对市场略有支撑，部分单位趁机推价。业者操作积极性增加，入市适量补货，市场成交有所提升。就后市而言，国际原油涨势或将放缓，但变化率正向区间运行，零售价或兑现上调，消息面提振市场，预计下周西南地区汽柴行情仍有所走高。不过，业者适量补货之后再度退市消库，市场成交气氛将转淡。主营单位月底冲量，优惠政策维持灵活。</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西北地炼汽柴行情维持平稳走势，市场成交稍有回升。分析来看：周内，国际原油震荡走高，且累计涨幅较大，变化率正向区间发展。不过，周初消息面指向性并不明确，且下游需求仍处于缓慢恢复阶段，消息面对市场支撑有限，区内业者多持观望态度，入市操作有限，市场成交气氛不温不火。后期，原油连续大幅上涨，消息面对市场有所提振。业者操作意向增加，入市适量补货，市场成交有所改善。就后市而言，国际油价或维持高位震荡，变化率正向波动，本轮零售价上调概率较大，因此预计下周西北地炼汽柴行情稳中上行。但下游需求整体平淡，业者适量补货之后再度退市消库，市场成交难以持续向好。</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步入下周，国际原油期货价格或高位震荡为主，变化率正向区间波动，零售价存在上调预期，消息方面给予油市支撑。部分炼厂步入检修阶段，因此市场整体资源供应相对减量。随着各地气温逐渐转暖，柴油需求逐步增多。除此之外，下周为本月最后一个销售周，主营单位销售压力增大。预计下周国内汽柴油市场行情继续攀升空间受限，市场交投气氛或有转淡。</w:t>
      </w:r>
    </w:p>
    <w:p>
      <w:pPr>
        <w:pStyle w:val="19"/>
        <w:keepNext w:val="0"/>
        <w:keepLines w:val="0"/>
        <w:widowControl/>
        <w:suppressLineNumbers w:val="0"/>
        <w:rPr>
          <w:rFonts w:hint="eastAsia" w:ascii="华文仿宋" w:hAnsi="华文仿宋" w:eastAsia="华文仿宋" w:cs="华文仿宋"/>
          <w:sz w:val="28"/>
          <w:szCs w:val="28"/>
        </w:rPr>
      </w:pPr>
    </w:p>
    <w:p/>
    <w:bookmarkEnd w:id="46"/>
    <w:bookmarkEnd w:id="47"/>
    <w:p>
      <w:pPr>
        <w:numPr>
          <w:ilvl w:val="0"/>
          <w:numId w:val="3"/>
        </w:numPr>
        <w:outlineLvl w:val="0"/>
        <w:rPr>
          <w:rFonts w:ascii="黑体"/>
          <w:b/>
          <w:bCs/>
          <w:sz w:val="28"/>
          <w:szCs w:val="28"/>
        </w:rPr>
      </w:pPr>
      <w:bookmarkStart w:id="49" w:name="_Toc505350014"/>
      <w:bookmarkStart w:id="50" w:name="_Toc460250410"/>
      <w:bookmarkStart w:id="51" w:name="_Toc281568208"/>
      <w:bookmarkStart w:id="52" w:name="_Toc369858747"/>
      <w:bookmarkStart w:id="53" w:name="_Toc296600818"/>
      <w:bookmarkStart w:id="54" w:name="_Toc180485827"/>
      <w:bookmarkStart w:id="55" w:name="_Toc281568211"/>
      <w:bookmarkStart w:id="56" w:name="_Toc296600819"/>
      <w:r>
        <w:rPr>
          <w:rFonts w:hint="eastAsia" w:ascii="黑体"/>
          <w:b/>
          <w:bCs/>
          <w:sz w:val="28"/>
          <w:szCs w:val="28"/>
        </w:rPr>
        <w:t>国内溶剂油市场综述</w:t>
      </w:r>
      <w:bookmarkEnd w:id="49"/>
    </w:p>
    <w:p>
      <w:pPr>
        <w:pStyle w:val="19"/>
        <w:keepNext w:val="0"/>
        <w:keepLines w:val="0"/>
        <w:widowControl/>
        <w:suppressLineNumbers w:val="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周溶剂油市场以持稳为主，价格呈震荡走跌趋势。周初，溶剂油市场平稳运行，价格稳中无明显变动。中期，溶剂油市场稳中有跌，山东等地区为刺激出货，小幅下调价格。业者操作心态谨慎，大单采购有限，市场成交难有提升。市场成交平平，多小单为主，需求疲软状况难改，持续低迷。临近周末，溶剂油市场平稳运行，价格基本无变动。整体成交气氛清淡，成交刚需，小单走量。国际原油价格区间震荡，临近周末原油价格大幅上涨，创下本月以来的最高收盘价。汽柴油对应实现上调，华南等地区部分厂家价格小幅上涨。消息面利好市场，然而对溶剂油市场难以提振，指引作用偏弱。前期溶剂油厂家多库存高位，本周依然消耗缓慢，下游需求持续低迷，业者多消耗库存为主。市场大单成交稀少，交投气氛清淡。商家报价稳中零星下调。整体而言，溶剂油市场中稳运行，成交气氛平平。预测：进入三月下旬，下游厂家会有部分备货行为，在消耗库存的同时将小幅提振溶剂油市场价格。原油价格震荡运行，整体价格变化率呈正向区间变动，汽柴油对应实现上调，华南等地区部分厂家价格小幅上涨。但消息面对溶剂油市场不足，对溶剂油市场指引作用偏弱。溶剂油市场整体持稳，目前溶剂油市场交投气氛欠佳，业者多持币谨慎观望，市场需求始终疲软，下游业者入市操作积极性不高，成交多以小单为主，溶剂油市场行情趋稳。下周原油价格或呈稳中上行走势，支撑溶剂油价格上行。然而年前的库位高存，将对溶剂油市场行情存在一定抑制作用，限制溶剂油价格涨幅。三月有关成品油消费税的消息落实，政策面利好。但是考虑到市场疲软状态难改，出货欠佳，以及国际油价震荡的不确定性等诸多因素，利好对市场行情指引作用偏弱。因此</w:t>
      </w:r>
      <w:bookmarkStart w:id="80" w:name="_GoBack"/>
      <w:bookmarkEnd w:id="80"/>
      <w:r>
        <w:rPr>
          <w:rFonts w:hint="eastAsia" w:ascii="华文仿宋" w:hAnsi="华文仿宋" w:eastAsia="华文仿宋" w:cs="华文仿宋"/>
          <w:sz w:val="28"/>
          <w:szCs w:val="28"/>
        </w:rPr>
        <w:t>预测下周溶剂油市场平稳运行，市场价格大稳小动。</w:t>
      </w:r>
    </w:p>
    <w:p>
      <w:pPr>
        <w:pStyle w:val="19"/>
        <w:ind w:firstLine="560" w:firstLineChars="200"/>
        <w:rPr>
          <w:rFonts w:ascii="华文仿宋" w:hAnsi="华文仿宋" w:eastAsia="华文仿宋" w:cs="Times New Roman"/>
          <w:kern w:val="2"/>
          <w:sz w:val="28"/>
          <w:szCs w:val="28"/>
        </w:rPr>
      </w:pPr>
    </w:p>
    <w:p>
      <w:pPr>
        <w:outlineLvl w:val="0"/>
        <w:rPr>
          <w:rFonts w:ascii="黑体"/>
          <w:b/>
          <w:bCs/>
          <w:sz w:val="28"/>
          <w:szCs w:val="28"/>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505350015"/>
      <w:bookmarkStart w:id="58" w:name="_Toc460250411"/>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Style w:val="25"/>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0"/>
        <w:gridCol w:w="1951"/>
        <w:gridCol w:w="1090"/>
        <w:gridCol w:w="1091"/>
        <w:gridCol w:w="1090"/>
        <w:gridCol w:w="1091"/>
        <w:gridCol w:w="124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5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c>
          <w:tcPr>
            <w:tcW w:w="112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81568213"/>
      <w:bookmarkStart w:id="60" w:name="_Toc296600821"/>
      <w:bookmarkStart w:id="61" w:name="_Toc460250412"/>
      <w:bookmarkStart w:id="62" w:name="_Toc505350016"/>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Style w:val="25"/>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2"/>
        <w:gridCol w:w="1650"/>
        <w:gridCol w:w="1313"/>
        <w:gridCol w:w="1114"/>
        <w:gridCol w:w="1112"/>
        <w:gridCol w:w="1082"/>
        <w:gridCol w:w="1266"/>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505350018"/>
      <w:bookmarkStart w:id="68" w:name="_Toc460250414"/>
      <w:bookmarkStart w:id="69" w:name="_Toc281568215"/>
      <w:bookmarkStart w:id="70" w:name="_Toc296600823"/>
      <w:bookmarkStart w:id="71" w:name="_Toc18048583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3"/>
        <w:gridCol w:w="1592"/>
        <w:gridCol w:w="1333"/>
        <w:gridCol w:w="1334"/>
        <w:gridCol w:w="1333"/>
        <w:gridCol w:w="1518"/>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9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3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1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大连石化</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辽阳石化</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辽阳裕丰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辽阳亿鑫</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燕山石化</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燕山集联</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岳阳金瀚</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兰州石化</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克拉玛依</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505350019"/>
      <w:bookmarkStart w:id="73" w:name="_Toc460250415"/>
      <w:bookmarkStart w:id="74" w:name="_Toc296600824"/>
      <w:bookmarkStart w:id="75" w:name="_Toc281568216"/>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年1月中国溶剂油、石脑油进出口数据统计</w:t>
      </w:r>
      <w:bookmarkEnd w:id="72"/>
      <w:bookmarkEnd w:id="73"/>
      <w:bookmarkEnd w:id="74"/>
      <w:bookmarkEnd w:id="7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96600826"/>
      <w:bookmarkStart w:id="77" w:name="_Toc281568218"/>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年1月中国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0"/>
        <w:gridCol w:w="1790"/>
        <w:gridCol w:w="1621"/>
        <w:gridCol w:w="174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乌兹别克斯坦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以色列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23760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巴基斯坦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14420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40392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90240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114010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8014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12276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瑞士</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2396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1580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3993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1738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31051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99840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165734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年1月石脑油进出口数据(数量单位：千克/升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1997"/>
        <w:gridCol w:w="1948"/>
        <w:gridCol w:w="1948"/>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9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94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91520133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52872055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29864172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18784540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巴布亚新几内亚</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3139971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1980568</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29385635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18690600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35044463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20448444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6169059</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3891196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37842752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23000446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32516337</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20685284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D6932"/>
    <w:multiLevelType w:val="singleLevel"/>
    <w:tmpl w:val="F97D6932"/>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abstractNum w:abstractNumId="2">
    <w:nsid w:val="3E7CA3C5"/>
    <w:multiLevelType w:val="singleLevel"/>
    <w:tmpl w:val="3E7CA3C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4793982"/>
    <w:rsid w:val="0C6F4F00"/>
    <w:rsid w:val="14BD6DE9"/>
    <w:rsid w:val="151B0610"/>
    <w:rsid w:val="15A51265"/>
    <w:rsid w:val="1602563E"/>
    <w:rsid w:val="1871150E"/>
    <w:rsid w:val="193B0DD2"/>
    <w:rsid w:val="1A4B0BD2"/>
    <w:rsid w:val="1DBC2256"/>
    <w:rsid w:val="21467DDF"/>
    <w:rsid w:val="272712C8"/>
    <w:rsid w:val="29CF7033"/>
    <w:rsid w:val="2BB73CF3"/>
    <w:rsid w:val="316E4BCF"/>
    <w:rsid w:val="390E2AE7"/>
    <w:rsid w:val="3D5C793D"/>
    <w:rsid w:val="3EC639AA"/>
    <w:rsid w:val="3FE24704"/>
    <w:rsid w:val="50D54E3C"/>
    <w:rsid w:val="532F052B"/>
    <w:rsid w:val="54A90501"/>
    <w:rsid w:val="552402CA"/>
    <w:rsid w:val="58343EAC"/>
    <w:rsid w:val="597E6C17"/>
    <w:rsid w:val="5B920EBC"/>
    <w:rsid w:val="5D0D24D3"/>
    <w:rsid w:val="5DB45A4D"/>
    <w:rsid w:val="5F5C54EB"/>
    <w:rsid w:val="66AD6F06"/>
    <w:rsid w:val="68727AEB"/>
    <w:rsid w:val="68CB2404"/>
    <w:rsid w:val="6FE46FB1"/>
    <w:rsid w:val="76DA4E14"/>
    <w:rsid w:val="7A08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qFormat/>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qFormat/>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qFormat/>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qFormat/>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qFormat/>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qFormat/>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qFormat/>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3.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'[最新溶剂油周报：山东地炼石脑油价格走势图3.16.xls]溶剂油周报-石脑油价格走势图表'!$D$178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numCache>
            </c:numRef>
          </c:cat>
          <c:val>
            <c:numRef>
              <c:f>'[最新溶剂油周报：山东地炼石脑油价格走势图3.16.xls]溶剂油周报-石脑油价格走势图表'!$D$179:$D$309</c:f>
              <c:numCache>
                <c:formatCode>@</c:formatCode>
                <c:ptCount val="13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numCache>
            </c:numRef>
          </c:val>
          <c:smooth val="0"/>
        </c:ser>
        <c:ser>
          <c:idx val="10"/>
          <c:order val="1"/>
          <c:tx>
            <c:strRef>
              <c:f>'[最新溶剂油周报：山东地炼石脑油价格走势图3.16.xls]溶剂油周报-石脑油价格走势图表'!$E$178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numCache>
            </c:numRef>
          </c:cat>
          <c:val>
            <c:numRef>
              <c:f>'[最新溶剂油周报：山东地炼石脑油价格走势图3.16.xls]溶剂油周报-石脑油价格走势图表'!$E$179:$E$309</c:f>
              <c:numCache>
                <c:formatCode>@</c:formatCode>
                <c:ptCount val="13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numCache>
            </c:numRef>
          </c:val>
          <c:smooth val="0"/>
        </c:ser>
        <c:ser>
          <c:idx val="1"/>
          <c:order val="2"/>
          <c:tx>
            <c:strRef>
              <c:f>'[最新溶剂油周报：山东地炼石脑油价格走势图3.16.xls]溶剂油周报-石脑油价格走势图表'!$F$178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numCache>
            </c:numRef>
          </c:cat>
          <c:val>
            <c:numRef>
              <c:f>'[最新溶剂油周报：山东地炼石脑油价格走势图3.16.xls]溶剂油周报-石脑油价格走势图表'!$F$179:$F$309</c:f>
              <c:numCache>
                <c:formatCode>@</c:formatCode>
                <c:ptCount val="13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numCache>
            </c:numRef>
          </c:val>
          <c:smooth val="0"/>
        </c:ser>
        <c:ser>
          <c:idx val="5"/>
          <c:order val="3"/>
          <c:tx>
            <c:strRef>
              <c:f>'[最新溶剂油周报：山东地炼石脑油价格走势图3.16.xls]溶剂油周报-石脑油价格走势图表'!$G$178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numCache>
            </c:numRef>
          </c:cat>
          <c:val>
            <c:numRef>
              <c:f>'[最新溶剂油周报：山东地炼石脑油价格走势图3.16.xls]溶剂油周报-石脑油价格走势图表'!$G$179:$G$309</c:f>
              <c:numCache>
                <c:formatCode>@</c:formatCode>
                <c:ptCount val="13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numCache>
            </c:numRef>
          </c:val>
          <c:smooth val="0"/>
        </c:ser>
        <c:ser>
          <c:idx val="6"/>
          <c:order val="4"/>
          <c:tx>
            <c:strRef>
              <c:f>'[最新溶剂油周报：山东地炼石脑油价格走势图3.16.xls]溶剂油周报-石脑油价格走势图表'!$H$178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'[最新溶剂油周报：山东地炼石脑油价格走势图3.16.xls]溶剂油周报-石脑油价格走势图表'!$A$179:$C$309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numCache>
            </c:numRef>
          </c:cat>
          <c:val>
            <c:numRef>
              <c:f>'[最新溶剂油周报：山东地炼石脑油价格走势图3.16.xls]溶剂油周报-石脑油价格走势图表'!$H$179:$H$309</c:f>
              <c:numCache>
                <c:formatCode>General</c:formatCode>
                <c:ptCount val="13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numCache>
            </c:numRef>
          </c:val>
          <c:smooth val="0"/>
        </c:ser>
        <c:dLbls>
          <c:showLegendKey val="0"/>
          <c:showVal val="0"/>
          <c:showCatName val="0"/>
          <c:showSerName val="0"/>
          <c:showPercent val="0"/>
          <c:showBubbleSize val="0"/>
        </c:dLbls>
        <c:marker val="0"/>
        <c:smooth val="0"/>
        <c:axId val="50359726"/>
        <c:axId val="58455876"/>
      </c:lineChart>
      <c:dateAx>
        <c:axId val="50359726"/>
        <c:scaling>
          <c:orientation val="minMax"/>
          <c:max val="43182"/>
          <c:min val="42817"/>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8455876"/>
        <c:crossesAt val="2000"/>
        <c:auto val="1"/>
        <c:lblOffset val="100"/>
        <c:baseTimeUnit val="days"/>
        <c:majorUnit val="1"/>
        <c:majorTimeUnit val="months"/>
        <c:minorUnit val="1"/>
        <c:minorTimeUnit val="months"/>
      </c:dateAx>
      <c:valAx>
        <c:axId val="58455876"/>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0359726"/>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ScaleCrop>false</ScaleCrop>
  <LinksUpToDate>false</LinksUpToDate>
  <CharactersWithSpaces>26720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2018-03-30T06:29:14Z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