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b/>
          <w:sz w:val="32"/>
          <w:szCs w:val="32"/>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2"/>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kern w:val="2"/>
                                <w:lang w:val="en-US"/>
                              </w:rPr>
                            </w:pPr>
                            <w:bookmarkStart w:id="78" w:name="_Toc485828984"/>
                            <w:bookmarkStart w:id="79" w:name="_Toc505349996"/>
                            <w:r>
                              <w:rPr>
                                <w:rFonts w:hint="eastAsia"/>
                                <w:kern w:val="2"/>
                              </w:rPr>
                              <w:t>2018.</w:t>
                            </w:r>
                            <w:r>
                              <w:rPr>
                                <w:rFonts w:hint="eastAsia"/>
                                <w:kern w:val="2"/>
                                <w:lang w:val="en-US" w:eastAsia="zh-CN"/>
                              </w:rPr>
                              <w:t>4</w:t>
                            </w:r>
                            <w:r>
                              <w:rPr>
                                <w:rFonts w:hint="eastAsia"/>
                                <w:kern w:val="2"/>
                              </w:rPr>
                              <w:t>.</w:t>
                            </w:r>
                            <w:bookmarkEnd w:id="78"/>
                            <w:bookmarkEnd w:id="79"/>
                            <w:r>
                              <w:rPr>
                                <w:rFonts w:hint="eastAsia"/>
                                <w:kern w:val="2"/>
                                <w:lang w:val="en-US" w:eastAsia="zh-CN"/>
                              </w:rPr>
                              <w:t>13</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mFTbF9gAAAAMAQAADwAAAAAAAAAB&#10;ACAAAAAiAAAAZHJzL2Rvd25yZXYueG1sUEsBAhQAFAAAAAgAh07iQDEF1GWeAQAAFwMAAA4AAAAA&#10;AAAAAQAgAAAAJwEAAGRycy9lMm9Eb2MueG1sUEsFBgAAAAAGAAYAWQEAADcFAAAAAA==&#10;">
                <v:fill on="f" focussize="0,0"/>
                <v:stroke on="f"/>
                <v:imagedata o:title=""/>
                <o:lock v:ext="edit" aspectratio="f"/>
                <v:textbox>
                  <w:txbxContent>
                    <w:p>
                      <w:pPr>
                        <w:pStyle w:val="2"/>
                        <w:jc w:val="center"/>
                        <w:rPr>
                          <w:kern w:val="2"/>
                          <w:lang w:val="en-US"/>
                        </w:rPr>
                      </w:pPr>
                      <w:bookmarkStart w:id="78" w:name="_Toc485828984"/>
                      <w:bookmarkStart w:id="79" w:name="_Toc505349996"/>
                      <w:r>
                        <w:rPr>
                          <w:rFonts w:hint="eastAsia"/>
                          <w:kern w:val="2"/>
                        </w:rPr>
                        <w:t>2018.</w:t>
                      </w:r>
                      <w:r>
                        <w:rPr>
                          <w:rFonts w:hint="eastAsia"/>
                          <w:kern w:val="2"/>
                          <w:lang w:val="en-US" w:eastAsia="zh-CN"/>
                        </w:rPr>
                        <w:t>4</w:t>
                      </w:r>
                      <w:r>
                        <w:rPr>
                          <w:rFonts w:hint="eastAsia"/>
                          <w:kern w:val="2"/>
                        </w:rPr>
                        <w:t>.</w:t>
                      </w:r>
                      <w:bookmarkEnd w:id="78"/>
                      <w:bookmarkEnd w:id="79"/>
                      <w:r>
                        <w:rPr>
                          <w:rFonts w:hint="eastAsia"/>
                          <w:kern w:val="2"/>
                          <w:lang w:val="en-US" w:eastAsia="zh-CN"/>
                        </w:rPr>
                        <w:t>13</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6"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2</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gbKUrYAAAACgEAAA8AAAAAAAAA&#10;AQAgAAAAIgAAAGRycy9kb3ducmV2LnhtbFBLAQIUABQAAAAIAIdO4kD5X7+InwEAABgDAAAOAAAA&#10;AAAAAAEAIAAAACcBAABkcnMvZTJvRG9jLnhtbFBLBQYAAAAABgAGAFkBAAA4BQAAAAA=&#10;">
                <v:fill on="f" focussize="0,0"/>
                <v:stroke on="f"/>
                <v:imagedata o:title=""/>
                <o:lock v:ext="edit" aspectratio="f"/>
                <v:textbox>
                  <w:txbxContent>
                    <w:p>
                      <w:pPr>
                        <w:pStyle w:val="55"/>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lang w:val="en-US" w:eastAsia="zh-CN"/>
                        </w:rPr>
                        <w:t>8</w:t>
                      </w:r>
                      <w:r>
                        <w:rPr>
                          <w:rStyle w:val="24"/>
                          <w:rFonts w:hint="eastAsia" w:cs="Arial"/>
                          <w:bCs/>
                          <w:kern w:val="0"/>
                        </w:rPr>
                        <w:t>年</w:t>
                      </w:r>
                      <w:r>
                        <w:rPr>
                          <w:rStyle w:val="24"/>
                          <w:rFonts w:hint="eastAsia" w:cs="Arial"/>
                          <w:bCs/>
                          <w:kern w:val="0"/>
                          <w:lang w:val="en-US" w:eastAsia="zh-CN"/>
                        </w:rPr>
                        <w:t>2</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lang w:val="en-US" w:eastAsia="zh-CN"/>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lang w:val="en-US" w:eastAsia="zh-CN"/>
                        </w:rPr>
                        <w:t>8</w:t>
                      </w:r>
                      <w:r>
                        <w:rPr>
                          <w:rStyle w:val="24"/>
                          <w:rFonts w:hint="eastAsia" w:ascii="黑体"/>
                        </w:rPr>
                        <w:t>年</w:t>
                      </w:r>
                      <w:r>
                        <w:rPr>
                          <w:rStyle w:val="24"/>
                          <w:rFonts w:ascii="黑体"/>
                        </w:rPr>
                        <w:t>1</w:t>
                      </w:r>
                      <w:r>
                        <w:rPr>
                          <w:rStyle w:val="24"/>
                          <w:rFonts w:hint="eastAsia" w:ascii="黑体"/>
                        </w:rPr>
                        <w:t>月中国溶剂油、石脑油进出口数据统计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460250399"/>
      <w:bookmarkStart w:id="2" w:name="_Toc505349997"/>
      <w:r>
        <w:rPr>
          <w:rFonts w:hint="eastAsia" w:ascii="黑体" w:hAnsi="宋体"/>
          <w:b/>
          <w:sz w:val="32"/>
          <w:szCs w:val="32"/>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hint="eastAsia" w:ascii="黑体" w:hAnsi="宋体" w:eastAsia="黑体" w:cs="Arial"/>
          <w:b w:val="0"/>
          <w:kern w:val="0"/>
          <w:sz w:val="30"/>
          <w:szCs w:val="30"/>
        </w:rPr>
      </w:pPr>
      <w:bookmarkStart w:id="4" w:name="_Toc296600805"/>
      <w:bookmarkStart w:id="5" w:name="_Toc460250400"/>
      <w:bookmarkStart w:id="6" w:name="_Toc28156819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21"/>
        <w:gridCol w:w="910"/>
        <w:gridCol w:w="908"/>
        <w:gridCol w:w="66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日期</w:t>
            </w:r>
          </w:p>
        </w:tc>
        <w:tc>
          <w:tcPr>
            <w:tcW w:w="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纽交所</w:t>
            </w:r>
          </w:p>
        </w:tc>
        <w:tc>
          <w:tcPr>
            <w:tcW w:w="90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伦交所</w:t>
            </w:r>
          </w:p>
        </w:tc>
        <w:tc>
          <w:tcPr>
            <w:tcW w:w="663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影响因素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2018-4-11</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66.82</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72.06</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美国总统特朗普公开威胁要空袭叙利亚并指责俄罗斯，这引发了市场对于中东地区石油供给紧张的担忧，该预期支撑国际油价上涨。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2018-4-10</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65.51</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71.04</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中东地区的地缘政治风险上升降低了投资者对于原油供给的预期，推动国际油价上涨。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2018-4-9</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63.42</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68.65</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当天美元走弱增加了以美元计价的石油的投资吸引力，助推国际油价上涨。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2018-4-6</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62.06</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67.11</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本周美国运营的油田钻井数量比前一周增加11个，至808个，显示美国页岩油厂商持续增产。此外，当天市场对持续紧张的中美经贸局势担忧加剧，这也令国际油价走势承压。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5" w:hRule="atLeast"/>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2018-4-5</w:t>
            </w:r>
          </w:p>
        </w:tc>
        <w:tc>
          <w:tcPr>
            <w:tcW w:w="910"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63.54</w:t>
            </w:r>
          </w:p>
        </w:tc>
        <w:tc>
          <w:tcPr>
            <w:tcW w:w="908" w:type="dxa"/>
            <w:tcBorders>
              <w:bottom w:val="single" w:color="000000" w:sz="4" w:space="0"/>
              <w:right w:val="single" w:color="000000" w:sz="4" w:space="0"/>
            </w:tcBorders>
            <w:shd w:val="clear" w:color="auto" w:fill="auto"/>
            <w:vAlign w:val="bottom"/>
          </w:tcPr>
          <w:p>
            <w:pPr>
              <w:keepNext w:val="0"/>
              <w:keepLines w:val="0"/>
              <w:widowControl/>
              <w:suppressLineNumbers w:val="0"/>
              <w:spacing w:before="0" w:beforeAutospacing="0" w:after="0" w:afterAutospacing="0"/>
              <w:ind w:left="0" w:right="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68.33</w:t>
            </w:r>
          </w:p>
        </w:tc>
        <w:tc>
          <w:tcPr>
            <w:tcW w:w="66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上周美国全国的商业原油库存意外减少460万桶至4.253亿桶，说明美国原油市场需求依然较为强劲。此外，当天市场对可能爆发较大规模贸易战的担忧有所缓解，这也为国际油价走势提供了支撑。</w:t>
            </w:r>
          </w:p>
        </w:tc>
      </w:tr>
    </w:tbl>
    <w:p/>
    <w:p>
      <w:pPr>
        <w:ind w:firstLine="400" w:firstLineChars="200"/>
        <w:rPr>
          <w:rFonts w:ascii="宋体" w:hAnsi="宋体" w:cs="宋体"/>
          <w:kern w:val="0"/>
          <w:sz w:val="20"/>
          <w:szCs w:val="20"/>
        </w:rPr>
      </w:pPr>
      <w:r>
        <w:rPr>
          <w:rFonts w:hint="eastAsia" w:ascii="宋体" w:hAnsi="宋体" w:cs="宋体"/>
          <w:kern w:val="0"/>
          <w:sz w:val="20"/>
          <w:szCs w:val="20"/>
        </w:rPr>
        <w:t>单位：美元/桶</w:t>
      </w:r>
    </w:p>
    <w:p>
      <w:pPr>
        <w:rPr>
          <w:rFonts w:ascii="宋体" w:hAnsi="宋体" w:cs="宋体"/>
          <w:kern w:val="0"/>
          <w:sz w:val="20"/>
          <w:szCs w:val="20"/>
        </w:rPr>
      </w:pPr>
    </w:p>
    <w:p>
      <w:pPr>
        <w:spacing w:line="360" w:lineRule="auto"/>
        <w:ind w:firstLine="300" w:firstLineChars="100"/>
        <w:outlineLvl w:val="1"/>
        <w:rPr>
          <w:rFonts w:ascii="黑体" w:eastAsia="黑体"/>
          <w:sz w:val="30"/>
          <w:szCs w:val="30"/>
        </w:rPr>
      </w:pPr>
      <w:bookmarkStart w:id="8" w:name="_Toc505350000"/>
      <w:r>
        <w:rPr>
          <w:rFonts w:hint="eastAsia" w:ascii="黑体" w:eastAsia="黑体"/>
          <w:sz w:val="30"/>
          <w:szCs w:val="30"/>
        </w:rPr>
        <w:t>1. 2  国际原油市场价格走势图</w:t>
      </w:r>
      <w:bookmarkEnd w:id="8"/>
    </w:p>
    <w:p>
      <w:pPr>
        <w:spacing w:line="360" w:lineRule="auto"/>
        <w:jc w:val="center"/>
        <w:rPr>
          <w:sz w:val="20"/>
          <w:szCs w:val="20"/>
        </w:rPr>
      </w:pPr>
      <w:r>
        <w:drawing>
          <wp:inline distT="0" distB="0" distL="114300" distR="114300">
            <wp:extent cx="5928360" cy="4876165"/>
            <wp:effectExtent l="0" t="0" r="1524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928360" cy="4876165"/>
                    </a:xfrm>
                    <a:prstGeom prst="rect">
                      <a:avLst/>
                    </a:prstGeom>
                    <a:noFill/>
                    <a:ln w="9525">
                      <a:noFill/>
                    </a:ln>
                  </pic:spPr>
                </pic:pic>
              </a:graphicData>
            </a:graphic>
          </wp:inline>
        </w:drawing>
      </w:r>
    </w:p>
    <w:p>
      <w:pPr>
        <w:spacing w:line="360" w:lineRule="auto"/>
        <w:rPr>
          <w:sz w:val="20"/>
          <w:szCs w:val="20"/>
        </w:rPr>
      </w:pPr>
    </w:p>
    <w:p>
      <w:pPr>
        <w:numPr>
          <w:ilvl w:val="0"/>
          <w:numId w:val="1"/>
        </w:numPr>
        <w:ind w:firstLine="298" w:firstLineChars="99"/>
        <w:outlineLvl w:val="1"/>
        <w:rPr>
          <w:rFonts w:ascii="黑体" w:hAnsi="宋体" w:eastAsia="黑体"/>
          <w:b/>
          <w:sz w:val="30"/>
          <w:szCs w:val="30"/>
        </w:rPr>
      </w:pPr>
      <w:bookmarkStart w:id="9" w:name="_Toc460250402"/>
      <w:bookmarkStart w:id="10" w:name="_Toc505350001"/>
      <w:bookmarkStart w:id="11" w:name="_Toc281568199"/>
      <w:bookmarkStart w:id="12" w:name="_Toc296600809"/>
      <w:bookmarkStart w:id="13" w:name="_Toc158203127"/>
      <w:bookmarkStart w:id="14" w:name="_Toc239847712"/>
      <w:r>
        <w:rPr>
          <w:rFonts w:hint="eastAsia" w:ascii="黑体" w:hAnsi="宋体" w:eastAsia="黑体"/>
          <w:b/>
          <w:sz w:val="30"/>
          <w:szCs w:val="30"/>
        </w:rPr>
        <w:t>.近期影响国际原油市场的主要因素</w:t>
      </w:r>
      <w:bookmarkEnd w:id="9"/>
      <w:bookmarkEnd w:id="10"/>
    </w:p>
    <w:p>
      <w:pPr>
        <w:numPr>
          <w:ilvl w:val="0"/>
          <w:numId w:val="2"/>
        </w:numPr>
        <w:outlineLvl w:val="1"/>
        <w:rPr>
          <w:rFonts w:ascii="黑体" w:hAnsi="宋体" w:eastAsia="黑体"/>
          <w:b/>
          <w:sz w:val="28"/>
          <w:szCs w:val="28"/>
        </w:rPr>
      </w:pPr>
      <w:bookmarkStart w:id="15" w:name="_Toc504051939"/>
      <w:r>
        <w:rPr>
          <w:rFonts w:hint="eastAsia" w:ascii="黑体" w:hAnsi="宋体" w:eastAsia="黑体"/>
          <w:b/>
          <w:sz w:val="28"/>
          <w:szCs w:val="28"/>
        </w:rPr>
        <w:t>美国原油库存情况</w:t>
      </w:r>
      <w:bookmarkEnd w:id="15"/>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能源信息署(EIA)数据显示，上周美国原油和汽油库存意外增加，馏分油库存下降。截至4月6日当周，美国原油库存增加331万桶，至4.2864亿桶，分析师预期为减少18.9万桶。位于俄克拉荷马州库欣的原油库存增加112.9万桶。截至4月6日当周，美国汽油库存增加45.8万桶，至2.3894亿桶，分析师预估为减少140万桶;包括柴油和取暖油在内的馏分油库存减少104万桶，至1.2845亿桶，分析师预估为减少2.9万桶。美国上周原油日进口量增加172.2万桶。炼厂日原油加工量增加8.3万桶。炼厂产能利用率上升0.5个百分点至93.5%。美国石油协会(API)数据显示，上周美国原油和汽油库存意外增加，馏分油库存减少。截至4月6日当周，美国原油库存增加180万桶，分析师预计为减少18.9万桶。库欣原油库存增加150万桶。截至4月6日当周，美国汽油库存增加200万桶，分析师预计减少140万桶;馏分油库存减少380万桶，分析师预估减少2.9万桶。炼厂每日炼油量增加2.7万桶。上周美国原油进口增加72.4万桶/日，至860万桶/日。</w:t>
      </w:r>
    </w:p>
    <w:p>
      <w:pPr>
        <w:outlineLvl w:val="1"/>
        <w:rPr>
          <w:rFonts w:hint="eastAsia" w:ascii="黑体" w:hAnsi="宋体" w:eastAsia="黑体"/>
          <w:b/>
          <w:sz w:val="28"/>
          <w:szCs w:val="28"/>
        </w:rPr>
      </w:pPr>
      <w:bookmarkStart w:id="16" w:name="_Toc504051940"/>
      <w:r>
        <w:rPr>
          <w:rFonts w:hint="eastAsia" w:ascii="黑体" w:hAnsi="宋体" w:eastAsia="黑体"/>
          <w:b/>
          <w:sz w:val="28"/>
          <w:szCs w:val="28"/>
        </w:rPr>
        <w:t>2、美国经济形势</w:t>
      </w:r>
      <w:bookmarkEnd w:id="16"/>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12日凌晨，美股周三收跌。中东地缘政治关系变得更加紧张，令美股承压。市场仍在关注沙特在首都利雅得拦截到导弹、美国可能军事打击叙利亚、针对俄罗斯干预美国总统大选的调查扩大化、以及有关中美贸易摩擦等等问题的最新进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美东时间4月11日16：00(北京时间4月12日00：00)，道指跌218.55点，或0.90%，报24，189.45点;标普500指数跌14.68点，或0.55%，报2，642.19点;纳指跌25.27点，或0.36%，报7，069.03点。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主要股指表现如何?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美股周三收跌，盘中道指一度下跌近260点，最低曾下跌至24，150.87点。早间道指跌幅曾经收窄，标普500指数与纳指一度转涨，但午后主要股指继续走低。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美股大幅收高。中国领导人在讲话中承诺将开放国内市场，显示其贸易立场温和，安抚了市场对中美贸易摩擦可能升级的担忧情绪。当天道指涨428.90点，或1.79%，报24，408点;标普500指数涨43.71点，或1.67%，报2，656.87点;纳指涨143.96点，或2.07%，报7，094.30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市场驱动力量是什么?</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对地缘政治因素的担忧再度笼罩市场。随着美国总统特朗普及其政府正在努力争取国际社会的支持，美国军事打击叙利亚巴沙尔政权的可能性似乎正在增大。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上周六叙利亚发生疑似化学武器攻击事件、造成大量大马士革平民伤亡后，外媒报道称，特朗普政府正考虑在72小时内采取行动，行动选项包括袭击叙利亚军方的总指挥部、以及打击阿萨德政府的化武据点等等。</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一旦美国军事打击叙利亚，该国就可能陷入与支持巴沙尔政权的俄罗斯政府之间的冲突。</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特朗普周三早间发表推特(29.39, -0.14, -0.47%)暗示即将对叙利亚发起导弹袭击。他在推特上表示：“俄罗斯，做好准备吧，因为它们(导弹)就要来了，又好又新又智能!”在此之前，俄罗斯曾宣称将击落任何打击叙利亚的导弹。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关于特朗普这条嘲讽俄罗斯的推特，保德信(102.96, -1.74, -1.66%)金融首席市场策略师Quincy Krosby表示：“市场也不是没有完全没有料到要打击叙利亚。特朗普早已暗示要作出回应。令市场完全没有料到的是其回应的嘲讽语气。”</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周二晚间，一个欧洲空中交通管控机构发布警告称：由于叙利亚可能遭遇空袭，未来72小时内经过地中海东部空域的飞机应该保持谨慎。</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一则有关沙特在首都兼该国最大城市利雅得上空拦截到导弹的新闻报道，加重了市场对中东局势的担忧程度。据路透社援引沙特阿拉伯官方消息称，在出现三次爆炸声后，沙特在利雅得拦截到了导弹。此前稍早法新社曾报道，沙特阿拉伯首都利雅得三次传出爆炸声音。</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投资者同时还在关注有关特朗普政府的一些最新人事变动。此前有报道称，特朗普总统正在考虑解雇美国副总检察长罗德-罗森斯坦(Rod Rosenstein)。据媒体报道，罗森斯坦私下同意了本周FBI突袭特朗普私人律师迈克尔-科恩(Michael Cohen)办公室的行动。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此外，白宫媒体秘书莎拉-桑德斯(Sarah Sanders)周二表示，特朗普相信他自己有权解雇美国特别检察官罗伯特-穆勒(Robert Mueller)，而许多美国国会议员都警告特朗普切勿采取行动。《华尔街日报》的一篇文章认为，FBI突袭科恩办公室，发出了迄今为止最清晰明确的讯号，即：穆勒的调查已经突破了关于所谓俄罗斯干预美国总统大选事件的特别检察官调查行动的狭窄范围，现在已经演变成美国司法部针对一系列与特朗普有关联的人员的多方面调查。</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全球贸易关系紧张化对美股的影响力有所减弱，至少目前如此。美股市场似乎正在观望中国规划的贸易让步措施会不会让特朗普感到满意。</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中国人民银行行长易纲周三在博鳌亚洲论坛“货币政策的正常化”分论坛上表示：“我们会逐渐地开放，欢迎外国的银行、证券和保险公司在中国进行业务的运作和进行投资。我们会把国内的和外国的公司一视同仁，他们到底是谁会表现出更好的竞争力，这是他们自己来决定的。整个市场是开放的，在这个市场上的表现就要看各家公司自己的公司治理和自己的能力的，我们拭目以待。”</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易纲还表示：“上海证券交易所和伦敦证券交易所股票市场互联互通是深化中英金融合作，扩大我资本市场双向开放和向世界表明我坚定不移扩大开放信心的一项重要举措。”</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在此之前，中国领导人周二在博鳌亚洲论坛上发表的讲话推动了全球股市攀升。</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市场人士如何说?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Themis Trading管理销售及交易的常务理事Mark Kepner表示：“考虑到特朗普有关叙利亚问题的评论等各种因素，我们认为今天美股表现相当不错。但这也有可能是因为投资者正在等待企业财报季的到来。”</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E-Trade公司主管投资策略的副总裁Mike Loewengart表示：“尽管今天的经济数据很稳健，但美股的波动性一点也没有降低。美股受到了更重要问题的影响：及美国与俄罗斯的紧张关系升级，以及中美贸易摩擦的进展。”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以Carsten Fritsch为首的德国商业银行商品期货分析师团队表示：“作为主要与供求关系打交道的分析师，我们现在感到不安，因为基本面因素受到了政治事件的左右。”</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“现在市场焦点是西方国家可能军事打击叙利亚政权，那是迟早的事，要讨论的只是打击烈度以及联军由哪些方面组成等问题，”他们在研报中表示。</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经济数据</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美国商务部报告称，美国3月消费者价格指数(CPI)下跌0.1%，扣除食品与能源因素后的核心CPI增长0.2%。经过通胀因素调整后的美国3月薪资涨幅为0.4%。</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美联储在周三下午公布的3月会议纪要表明，美联储决策者讨论了利用经济背景的必要性问题。这份会议纪要基调偏向激进，但未能对市场造成大的影响。</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此外，美国财政部在同一时间公布的联邦预算数据显示：美国政府3月份的预算赤字为2090亿美元，较去年同期提高了18%。</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焦点关注股</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受到周三油价大幅攀升推动，埃克森美孚(77.43, 0.36, 0.47%)(XOM)等能源行业股票普遍上涨。</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Facebook(166.32, 1.28, 0.78%)(FB)小幅上涨，该公司CEO马克-扎克伯格(Mark Zuckerberg)周三继续在美国国会发表证词，今天他面对的是国会众议院能源与商业委员会。扎克伯格周二被美国国会参议员询问了大约5个小时，市场似乎对他的表现感到满意，这使得Facebook股价周二收高4.5%。</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媒体行业巨头21世纪福克斯(36.18, -0.09, -0.25%)(FOXA)股价承压，此前该公司驻英国办公室突遭欧盟调查官员的检查。</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Fastenal(FAST)股价走低，该公司宣布第一财季盈利与销售收入增幅刚好符合市场预期。</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其他市场表现如何?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周三亚洲市场收盘涨跌不一。欧洲股市方面，德国DAX指数收跌96.85点，跌幅0.78%，报12300.47点;英国富时100指数收跌8.75点，跌幅0.12%，报7258.00点;法国CAC40指数收跌29.62点，跌幅0.56%，报5277.94点;西班牙IBEX35指数收跌31.50点，跌幅0.32%，报9732.00点;意大利富时指数收跌161.18点，跌幅0.70%，报23012.50点。</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纽约商品交易所6月交割的黄金期货价格上涨14.10美元，或1.1%，收于1360美元/盎司，为1月25日以来的最高收盘价。</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纽约商品交易所5月交割的西德州中质原油(WTI)期货价格上涨1.31美元，涨幅为2%，收于66.82美元/桶，为2014年12月3日以来的最高收盘价。</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作为全球油价基准的伦敦洲际交易所(71.39, -1.08, -1.49%)6月布伦特原油期货价格上涨1.02美元，或1.4%，收于72.06美元/桶，为2014年12月1日以来的最高收盘价。周二布伦特原油期货价格创3年以来的新高。</w:t>
      </w:r>
    </w:p>
    <w:p>
      <w:pPr>
        <w:pStyle w:val="19"/>
        <w:ind w:firstLine="560" w:firstLineChars="200"/>
        <w:rPr>
          <w:rFonts w:hint="eastAsia" w:ascii="华文仿宋" w:hAnsi="华文仿宋" w:eastAsia="华文仿宋"/>
          <w:sz w:val="28"/>
          <w:szCs w:val="28"/>
        </w:rPr>
      </w:pPr>
    </w:p>
    <w:p>
      <w:pPr>
        <w:pStyle w:val="19"/>
        <w:numPr>
          <w:ilvl w:val="0"/>
          <w:numId w:val="0"/>
        </w:numPr>
        <w:ind w:leftChars="0"/>
        <w:outlineLvl w:val="1"/>
        <w:rPr>
          <w:rFonts w:hint="eastAsia" w:ascii="黑体" w:eastAsia="黑体"/>
          <w:b/>
          <w:sz w:val="28"/>
          <w:szCs w:val="28"/>
        </w:rPr>
      </w:pPr>
      <w:bookmarkStart w:id="17" w:name="_Toc504051941"/>
      <w:r>
        <w:rPr>
          <w:rFonts w:hint="eastAsia" w:ascii="黑体" w:eastAsia="黑体"/>
          <w:b/>
          <w:sz w:val="28"/>
          <w:szCs w:val="28"/>
          <w:lang w:val="en-US" w:eastAsia="zh-CN"/>
        </w:rPr>
        <w:t>3、</w:t>
      </w:r>
      <w:r>
        <w:rPr>
          <w:rFonts w:hint="eastAsia" w:ascii="黑体" w:eastAsia="黑体"/>
          <w:b/>
          <w:sz w:val="28"/>
          <w:szCs w:val="28"/>
        </w:rPr>
        <w:t>世界经济形势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“经济全球化背景下，各国经济发展相互依存，任何国家采取的保护主义措施都是不得人心的。”陪同奥地利总统访华的外长克奈斯尔9日在接受新华社记者专访时说。</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克奈斯尔表示，她注意到美国政府近日依据“301调查”结果公布拟加征关税的中国商品建议清单。对于这一行为，她表示非常担忧。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她说，奥地利对于国际贸易的参与度和依赖度很高，贸易战没有赢家，任何保护主义的行为在经济全球化的当下都是不可接受的。“我们将持续关注这一事件，希望中美贸易摩擦不要进一步升级。”</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克奈斯尔表示，近年来，奥地利与中国的各领域交往和经贸合作愈发密切，两国近日又签署了涵盖“一带一路”合作、创新、交通、现代流通、文化、体育和知识产权等领域的双边合作文件，这对于推动奥中友好战略伙伴关系有着积极意义。</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据统计，2017年，中奥经贸合作成果丰硕，呈现快速增长态势，货物贸易、双向投资均创新高：贸易总额达83.9亿美元，奥地利在华直接投资9488万美元，同比增长122.2%;中国对奥地利直接投资3.2亿美元，同比增长92.7%。</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她表示，中国不断扩大的对外开放为各国发展提供了机遇，希望奥中进一步扩大双边经贸往来，让更多奥地利企业有机会来华投资，实现互利共赢。</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今年是中欧建立全面战略伙伴关系15周年，同时，奥地利将于今年7月轮任欧盟主席国。克奈斯尔表示，奥方愿借此推动欧中合作深入发展。</w:t>
      </w:r>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“当前，欧盟需要加强研判和应对世界经济形势与地缘政治变化的能力。”克奈斯尔说，奥地利专门成立了研究亚洲战略的部门，希望能有助于密切与亚洲各国、特别是中国的友好交往。</w:t>
      </w:r>
    </w:p>
    <w:p>
      <w:pPr>
        <w:outlineLvl w:val="1"/>
        <w:rPr>
          <w:rFonts w:ascii="黑体" w:hAnsi="宋体" w:eastAsia="黑体"/>
          <w:b/>
          <w:sz w:val="30"/>
          <w:szCs w:val="30"/>
        </w:rPr>
      </w:pPr>
    </w:p>
    <w:p>
      <w:pPr>
        <w:outlineLvl w:val="1"/>
        <w:rPr>
          <w:rFonts w:ascii="宋体" w:hAnsi="宋体" w:cs="Arial"/>
          <w:b/>
          <w:bCs/>
          <w:kern w:val="0"/>
          <w:sz w:val="32"/>
          <w:szCs w:val="32"/>
        </w:rPr>
      </w:pPr>
      <w:bookmarkStart w:id="18" w:name="_Toc505350005"/>
      <w:r>
        <w:rPr>
          <w:rFonts w:hint="eastAsia" w:ascii="仿宋_GB2312" w:eastAsia="仿宋_GB2312"/>
          <w:b/>
          <w:sz w:val="28"/>
          <w:szCs w:val="28"/>
        </w:rPr>
        <w:t>（三）</w:t>
      </w:r>
      <w:r>
        <w:rPr>
          <w:rFonts w:hint="eastAsia" w:ascii="宋体" w:hAnsi="宋体" w:cs="Arial"/>
          <w:b/>
          <w:bCs/>
          <w:kern w:val="0"/>
          <w:sz w:val="32"/>
          <w:szCs w:val="32"/>
        </w:rPr>
        <w:t>、201</w:t>
      </w:r>
      <w:r>
        <w:rPr>
          <w:rFonts w:hint="eastAsia" w:ascii="宋体" w:hAnsi="宋体" w:cs="Arial"/>
          <w:b/>
          <w:bCs/>
          <w:kern w:val="0"/>
          <w:sz w:val="32"/>
          <w:szCs w:val="32"/>
          <w:lang w:val="en-US" w:eastAsia="zh-CN"/>
        </w:rPr>
        <w:t>8</w:t>
      </w:r>
      <w:r>
        <w:rPr>
          <w:rFonts w:hint="eastAsia" w:ascii="宋体" w:hAnsi="宋体" w:cs="Arial"/>
          <w:b/>
          <w:bCs/>
          <w:kern w:val="0"/>
          <w:sz w:val="32"/>
          <w:szCs w:val="32"/>
        </w:rPr>
        <w:t>年</w:t>
      </w:r>
      <w:r>
        <w:rPr>
          <w:rFonts w:hint="eastAsia" w:ascii="宋体" w:hAnsi="宋体" w:cs="Arial"/>
          <w:b/>
          <w:bCs/>
          <w:kern w:val="0"/>
          <w:sz w:val="32"/>
          <w:szCs w:val="32"/>
          <w:lang w:val="en-US" w:eastAsia="zh-CN"/>
        </w:rPr>
        <w:t>2</w:t>
      </w:r>
      <w:r>
        <w:rPr>
          <w:rFonts w:hint="eastAsia" w:ascii="宋体" w:hAnsi="宋体" w:cs="Arial"/>
          <w:b/>
          <w:bCs/>
          <w:kern w:val="0"/>
          <w:sz w:val="32"/>
          <w:szCs w:val="32"/>
        </w:rPr>
        <w:t>月份全国原油进出口统计数据</w:t>
      </w:r>
      <w:bookmarkEnd w:id="18"/>
    </w:p>
    <w:p>
      <w:pPr>
        <w:widowControl/>
        <w:spacing w:line="260" w:lineRule="atLeast"/>
        <w:jc w:val="center"/>
        <w:rPr>
          <w:rFonts w:hint="eastAsia" w:ascii="宋体" w:hAnsi="宋体" w:cs="宋体"/>
          <w:b/>
          <w:bCs/>
          <w:kern w:val="0"/>
          <w:szCs w:val="21"/>
        </w:rPr>
      </w:pPr>
      <w:r>
        <w:rPr>
          <w:rFonts w:hint="eastAsia" w:ascii="宋体" w:hAnsi="宋体" w:cs="宋体"/>
          <w:b/>
          <w:bCs/>
          <w:kern w:val="0"/>
          <w:szCs w:val="21"/>
        </w:rPr>
        <w:t xml:space="preserve">                                                      单位：千克，美元</w:t>
      </w: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783"/>
        <w:gridCol w:w="1895"/>
        <w:gridCol w:w="1730"/>
        <w:gridCol w:w="1684"/>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89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730"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684"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伊拉克</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103985042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49080278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伊朗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262530000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126910562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99797112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48102208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刚果</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62026763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24823539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139894630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75489002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加拿大</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35161511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16339869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加纳</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126689610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68112419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加蓬</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126767030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67238582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南苏丹共和国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57566705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27298543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南非</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89000000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34488752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卡塔尔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55779032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33777653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40390480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20997316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厄瓜多尔</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98282834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47135011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哈萨克斯坦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144626330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68742684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哥伦比亚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142594637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63213621</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喀麦隆</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130441900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66664805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埃及</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51273067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27591558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墨西哥</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73348441</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28533516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委内瑞拉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668741393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258693806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安哥拉</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137271890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54972168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巴西</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274719637</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126761765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351380185</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172545996</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31661120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14002080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澳大利亚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95935483</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43613604</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科威特</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198745112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96240060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392838080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214756998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79695789</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38754488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蒙古</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3499190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1566992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赤道几内亚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130328900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67561068</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122717684</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69168675</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阿拉伯联合酋长国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187867900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91726502</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阿曼</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129837548</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62576943</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36615347</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14888283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马来西亚</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458768032</w:t>
            </w:r>
          </w:p>
        </w:tc>
        <w:tc>
          <w:tcPr>
            <w:tcW w:w="1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244332839</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spacing w:line="260" w:lineRule="atLeast"/>
        <w:jc w:val="center"/>
        <w:rPr>
          <w:rFonts w:hint="eastAsia" w:ascii="宋体" w:hAnsi="宋体" w:cs="宋体"/>
          <w:b/>
          <w:bCs/>
          <w:kern w:val="0"/>
          <w:szCs w:val="21"/>
        </w:rPr>
      </w:pPr>
    </w:p>
    <w:p>
      <w:pPr>
        <w:widowControl/>
        <w:spacing w:line="260" w:lineRule="atLeast"/>
        <w:jc w:val="center"/>
        <w:rPr>
          <w:rFonts w:hint="eastAsia" w:ascii="宋体" w:hAnsi="宋体" w:cs="宋体"/>
          <w:b/>
          <w:bCs/>
          <w:kern w:val="0"/>
          <w:szCs w:val="21"/>
        </w:rPr>
      </w:pPr>
    </w:p>
    <w:p>
      <w:pPr>
        <w:numPr>
          <w:ilvl w:val="0"/>
          <w:numId w:val="0"/>
        </w:numPr>
        <w:tabs>
          <w:tab w:val="left" w:pos="798"/>
        </w:tabs>
        <w:outlineLvl w:val="1"/>
        <w:rPr>
          <w:rFonts w:hint="eastAsia" w:ascii="仿宋_GB2312" w:hAnsi="宋体" w:eastAsia="仿宋_GB2312" w:cs="Arial"/>
          <w:b/>
          <w:bCs/>
          <w:kern w:val="0"/>
          <w:sz w:val="30"/>
          <w:szCs w:val="30"/>
          <w:lang w:eastAsia="zh-CN"/>
        </w:rPr>
      </w:pPr>
      <w:bookmarkStart w:id="19" w:name="_Toc505350006"/>
    </w:p>
    <w:p>
      <w:pPr>
        <w:numPr>
          <w:ilvl w:val="0"/>
          <w:numId w:val="0"/>
        </w:numPr>
        <w:tabs>
          <w:tab w:val="left" w:pos="798"/>
        </w:tabs>
        <w:outlineLvl w:val="1"/>
        <w:rPr>
          <w:rFonts w:hint="eastAsia" w:ascii="仿宋_GB2312" w:hAnsi="宋体" w:eastAsia="仿宋_GB2312" w:cs="Arial"/>
          <w:b/>
          <w:bCs/>
          <w:kern w:val="0"/>
          <w:sz w:val="30"/>
          <w:szCs w:val="30"/>
        </w:rPr>
      </w:pPr>
      <w:r>
        <w:rPr>
          <w:rFonts w:hint="eastAsia" w:ascii="仿宋_GB2312" w:hAnsi="宋体" w:eastAsia="仿宋_GB2312" w:cs="Arial"/>
          <w:b/>
          <w:bCs/>
          <w:kern w:val="0"/>
          <w:sz w:val="30"/>
          <w:szCs w:val="30"/>
          <w:lang w:eastAsia="zh-CN"/>
        </w:rPr>
        <w:t>（四）</w:t>
      </w:r>
      <w:r>
        <w:rPr>
          <w:rFonts w:hint="eastAsia" w:ascii="仿宋_GB2312" w:hAnsi="宋体" w:eastAsia="仿宋_GB2312" w:cs="Arial"/>
          <w:b/>
          <w:bCs/>
          <w:kern w:val="0"/>
          <w:sz w:val="30"/>
          <w:szCs w:val="30"/>
        </w:rPr>
        <w:t>、后市预测</w:t>
      </w:r>
      <w:bookmarkEnd w:id="19"/>
    </w:p>
    <w:p>
      <w:pPr>
        <w:pStyle w:val="19"/>
        <w:keepNext w:val="0"/>
        <w:keepLines w:val="0"/>
        <w:widowControl/>
        <w:suppressLineNumbers w:val="0"/>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本周WTI原油价格在6</w:t>
      </w:r>
      <w:r>
        <w:rPr>
          <w:rFonts w:hint="eastAsia" w:ascii="华文仿宋" w:hAnsi="华文仿宋" w:eastAsia="华文仿宋"/>
          <w:sz w:val="28"/>
          <w:szCs w:val="28"/>
          <w:lang w:val="en-US" w:eastAsia="zh-CN"/>
        </w:rPr>
        <w:t>2.06</w:t>
      </w:r>
      <w:r>
        <w:rPr>
          <w:rFonts w:hint="eastAsia" w:ascii="华文仿宋" w:hAnsi="华文仿宋" w:eastAsia="华文仿宋"/>
          <w:sz w:val="28"/>
          <w:szCs w:val="28"/>
        </w:rPr>
        <w:t>-6</w:t>
      </w:r>
      <w:r>
        <w:rPr>
          <w:rFonts w:hint="eastAsia" w:ascii="华文仿宋" w:hAnsi="华文仿宋" w:eastAsia="华文仿宋"/>
          <w:sz w:val="28"/>
          <w:szCs w:val="28"/>
          <w:lang w:val="en-US" w:eastAsia="zh-CN"/>
        </w:rPr>
        <w:t>6.82</w:t>
      </w:r>
      <w:r>
        <w:rPr>
          <w:rFonts w:hint="eastAsia" w:ascii="华文仿宋" w:hAnsi="华文仿宋" w:eastAsia="华文仿宋"/>
          <w:sz w:val="28"/>
          <w:szCs w:val="28"/>
        </w:rPr>
        <w:t>美元/桶，布伦特原油价格在</w:t>
      </w:r>
      <w:r>
        <w:rPr>
          <w:rFonts w:hint="eastAsia" w:ascii="华文仿宋" w:hAnsi="华文仿宋" w:eastAsia="华文仿宋"/>
          <w:sz w:val="28"/>
          <w:szCs w:val="28"/>
          <w:lang w:val="en-US" w:eastAsia="zh-CN"/>
        </w:rPr>
        <w:t>67.11</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72.06</w:t>
      </w:r>
      <w:r>
        <w:rPr>
          <w:rFonts w:hint="eastAsia" w:ascii="华文仿宋" w:hAnsi="华文仿宋" w:eastAsia="华文仿宋"/>
          <w:sz w:val="28"/>
          <w:szCs w:val="28"/>
        </w:rPr>
        <w:t>美元/桶震荡。周内国际原油价格整体呈现先抑后扬的走势，受多重利好提振国际油价全面推涨，特别是周内后期呈现跳跃式上涨。周内前期，美国制造的各种贸易以及地缘冲突令全球贸易陷入紧张情绪，油价受此打压小幅回落，但随后叙利亚再现“化武疑云”，美俄争端引也引发避险情绪，同时美元承压也为油价带来有效提振，国际油价强势反弹，不过市场对于美国产量攀升的担忧限制了油价的上行空间;周内后期，美国API、EIA原油库存超预期大增，但中国在博鳌亚洲论坛开幕式上发表言论偏“鸽”派，缓解中美贸易冲突的担忧情绪，提振市场风险偏好，同时，EIA月报上调2018年全球原油增速预期，美国可能对伊朗实施新一轮制裁等消息均对油价形成强劲支撑，国际油价录得三连阳。此外，美国油服公司贝克休斯(Baker Hughes)周五(4月6日)公布数据显示，截至4月6日当周，美国石油活跃钻井数增加10座至808座，过去四周内有三周录得增长，且创2015年3月来新高，也是近两月最大单周增幅。去年同期美国石油活跃钻井数为672座。OPEC月报数据显示，2月原油产出减少7.7万桶/日，至3218.6万桶/日;需要实施减产的11个欧佩克成员国2月减产执行率为147%，1月为137%。整体看来，周内国际原油市场虽不乏有利空消息传出，但市场利好占据主导地位支撑周内油价走高。其中WTI期货本周均价64.27美元/桶，较上周上涨1.86%，较上月上涨2.39%;本周布伦特期货均价69.44美元/桶，较上周上涨2.35%，较上月上涨4.07%。后市预测：近期国际油价受中东地缘政治风险飙升等利好强势拉涨，布伦特原油一举冲破70大关，刷新今年年内高点纪录，但市场消息面仍旧空头众多，美国原油库存再次录得高位、美联储加息升温、EIA上调美国原油产量预期等消息都将长线利空油价。综合来看，近期油市利好或将昙花一现，油价上行依旧承压，后期油价下探势头暗含。预计下周WTI原油期货均价在62～64美元/桶之间浮动，布伦特原油期货均价在67～69美元/桶之间浮动。</w:t>
      </w:r>
    </w:p>
    <w:p>
      <w:pPr>
        <w:numPr>
          <w:ilvl w:val="0"/>
          <w:numId w:val="0"/>
        </w:numPr>
        <w:ind w:leftChars="99"/>
        <w:outlineLvl w:val="1"/>
        <w:rPr>
          <w:rFonts w:hint="eastAsia" w:ascii="仿宋_GB2312" w:hAnsi="宋体" w:eastAsia="仿宋_GB2312" w:cs="Arial"/>
          <w:b/>
          <w:bCs/>
          <w:kern w:val="0"/>
          <w:sz w:val="30"/>
          <w:szCs w:val="30"/>
        </w:rPr>
      </w:pPr>
    </w:p>
    <w:p>
      <w:pPr>
        <w:spacing w:line="360" w:lineRule="auto"/>
        <w:outlineLvl w:val="0"/>
        <w:rPr>
          <w:rFonts w:hint="eastAsia" w:ascii="黑体" w:hAnsi="宋体" w:eastAsia="黑体"/>
          <w:b/>
          <w:sz w:val="28"/>
          <w:szCs w:val="28"/>
        </w:rPr>
      </w:pPr>
      <w:bookmarkStart w:id="20" w:name="_Toc505350007"/>
      <w:r>
        <w:rPr>
          <w:rFonts w:hint="eastAsia" w:ascii="黑体" w:hAnsi="宋体" w:eastAsia="黑体"/>
          <w:b/>
          <w:sz w:val="28"/>
          <w:szCs w:val="28"/>
        </w:rPr>
        <w:t>二、 石脑油</w:t>
      </w:r>
      <w:bookmarkEnd w:id="20"/>
    </w:p>
    <w:p>
      <w:pPr>
        <w:spacing w:line="360" w:lineRule="auto"/>
        <w:outlineLvl w:val="0"/>
        <w:rPr>
          <w:rFonts w:hint="eastAsia" w:ascii="黑体" w:hAnsi="宋体" w:eastAsia="黑体"/>
          <w:b/>
          <w:sz w:val="28"/>
          <w:szCs w:val="28"/>
        </w:rPr>
      </w:pPr>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shd w:val="clear" w:color="auto" w:fill="FFFFFF"/>
        <w:tblLayout w:type="fixed"/>
        <w:tblCellMar>
          <w:top w:w="0" w:type="dxa"/>
          <w:left w:w="0" w:type="dxa"/>
          <w:bottom w:w="0" w:type="dxa"/>
          <w:right w:w="0" w:type="dxa"/>
        </w:tblCellMar>
      </w:tblPr>
      <w:tblGrid>
        <w:gridCol w:w="1265"/>
        <w:gridCol w:w="2220"/>
        <w:gridCol w:w="2641"/>
        <w:gridCol w:w="1377"/>
        <w:gridCol w:w="2453"/>
      </w:tblGrid>
      <w:tr>
        <w:tblPrEx>
          <w:shd w:val="clear" w:color="auto" w:fill="FFFFFF"/>
          <w:tblLayout w:type="fixed"/>
          <w:tblCellMar>
            <w:top w:w="0" w:type="dxa"/>
            <w:left w:w="0" w:type="dxa"/>
            <w:bottom w:w="0" w:type="dxa"/>
            <w:right w:w="0" w:type="dxa"/>
          </w:tblCellMar>
        </w:tblPrEx>
        <w:trPr>
          <w:trHeight w:val="67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505350009"/>
            <w:bookmarkStart w:id="24" w:name="_Toc239847715"/>
            <w:bookmarkStart w:id="25" w:name="_Toc281568202"/>
            <w:bookmarkStart w:id="26" w:name="_Toc296600812"/>
            <w:bookmarkStart w:id="27" w:name="_Toc460250405"/>
            <w:r>
              <w:rPr>
                <w:rFonts w:hint="eastAsia" w:ascii="华文仿宋" w:hAnsi="华文仿宋" w:eastAsia="华文仿宋" w:cs="华文仿宋"/>
                <w:color w:val="000000"/>
                <w:sz w:val="28"/>
                <w:szCs w:val="28"/>
                <w:lang w:val="en-US" w:eastAsia="zh-CN"/>
              </w:rPr>
              <w:t>4月12日</w:t>
            </w:r>
          </w:p>
        </w:tc>
        <w:tc>
          <w:tcPr>
            <w:tcW w:w="222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低端价（美元/吨）</w:t>
            </w:r>
          </w:p>
        </w:tc>
        <w:tc>
          <w:tcPr>
            <w:tcW w:w="2641"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高端价（美元/吨）</w:t>
            </w:r>
          </w:p>
        </w:tc>
        <w:tc>
          <w:tcPr>
            <w:tcW w:w="137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均价涨跌幅</w:t>
            </w:r>
          </w:p>
        </w:tc>
        <w:tc>
          <w:tcPr>
            <w:tcW w:w="245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美分/加仑</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新加坡</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66.90</w:t>
            </w:r>
            <w:r>
              <w:rPr>
                <w:rFonts w:hint="eastAsia" w:ascii="华文仿宋" w:hAnsi="华文仿宋" w:eastAsia="华文仿宋" w:cs="华文仿宋"/>
                <w:b w:val="0"/>
                <w:i w:val="0"/>
                <w:caps w:val="0"/>
                <w:color w:val="000000"/>
                <w:spacing w:val="0"/>
                <w:sz w:val="28"/>
                <w:szCs w:val="28"/>
              </w:rPr>
              <w:t>美元/桶</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66.94</w:t>
            </w:r>
            <w:r>
              <w:rPr>
                <w:rFonts w:hint="eastAsia" w:ascii="华文仿宋" w:hAnsi="华文仿宋" w:eastAsia="华文仿宋" w:cs="华文仿宋"/>
                <w:b w:val="0"/>
                <w:i w:val="0"/>
                <w:caps w:val="0"/>
                <w:color w:val="000000"/>
                <w:spacing w:val="0"/>
                <w:sz w:val="28"/>
                <w:szCs w:val="28"/>
              </w:rPr>
              <w:t>美元/桶</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0.74</w:t>
            </w:r>
            <w:r>
              <w:rPr>
                <w:rFonts w:hint="eastAsia" w:ascii="华文仿宋" w:hAnsi="华文仿宋" w:eastAsia="华文仿宋" w:cs="华文仿宋"/>
                <w:b w:val="0"/>
                <w:i w:val="0"/>
                <w:caps w:val="0"/>
                <w:color w:val="000000"/>
                <w:spacing w:val="0"/>
                <w:sz w:val="28"/>
                <w:szCs w:val="28"/>
              </w:rPr>
              <w:t>美元/桶</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159.286-159.381</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日本</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605.75</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610.75</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6.50</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160.251-161.574</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阿拉伯海湾</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582.71</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587.71</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6.50</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keepNext w:val="0"/>
              <w:keepLines w:val="0"/>
              <w:widowControl/>
              <w:suppressLineNumbers w:val="0"/>
              <w:spacing w:before="0" w:beforeAutospacing="0" w:after="0" w:afterAutospacing="0"/>
              <w:ind w:left="0" w:right="0" w:firstLine="360"/>
              <w:jc w:val="left"/>
              <w:rPr>
                <w:rFonts w:hint="eastAsia" w:ascii="华文仿宋" w:hAnsi="华文仿宋" w:eastAsia="华文仿宋" w:cs="华文仿宋"/>
                <w:b w:val="0"/>
                <w:i w:val="0"/>
                <w:caps w:val="0"/>
                <w:color w:val="000000"/>
                <w:spacing w:val="0"/>
                <w:sz w:val="28"/>
                <w:szCs w:val="28"/>
              </w:rPr>
            </w:pPr>
            <w:r>
              <w:rPr>
                <w:rFonts w:hint="eastAsia" w:ascii="华文仿宋" w:hAnsi="华文仿宋" w:eastAsia="华文仿宋" w:cs="华文仿宋"/>
                <w:b w:val="0"/>
                <w:i w:val="0"/>
                <w:caps w:val="0"/>
                <w:color w:val="000000"/>
                <w:spacing w:val="0"/>
                <w:kern w:val="0"/>
                <w:sz w:val="28"/>
                <w:szCs w:val="28"/>
                <w:lang w:val="en-US" w:eastAsia="zh-CN" w:bidi="ar"/>
              </w:rPr>
              <w:t> 154.156-155.479</w:t>
            </w:r>
          </w:p>
        </w:tc>
      </w:tr>
      <w:tr>
        <w:tblPrEx>
          <w:tblLayout w:type="fixed"/>
          <w:tblCellMar>
            <w:top w:w="0" w:type="dxa"/>
            <w:left w:w="0" w:type="dxa"/>
            <w:bottom w:w="0" w:type="dxa"/>
            <w:right w:w="0" w:type="dxa"/>
          </w:tblCellMar>
        </w:tblPrEx>
        <w:trPr>
          <w:trHeight w:val="67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阿姆斯特丹、鹿特丹、安特卫普到岸价</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604.25</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604.75</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-8.25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161.564-161.698</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鹿特丹船货价</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600.25</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600.75</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-8.25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160.495-160.628</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地中海离岸价</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587.00</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587.50</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-8.25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156.952-157.086</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热那亚到岸价</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597.00</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597.50</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-8.25</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159.626-159.759</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美国墨西哥湾</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604.29</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604.39</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-0.70美分/加仑</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shd w:val="clear" w:fill="FFFFFF"/>
              </w:rPr>
              <w:t>172.610-172.710</w:t>
            </w:r>
          </w:p>
        </w:tc>
      </w:tr>
      <w:tr>
        <w:tblPrEx>
          <w:tblLayout w:type="fixed"/>
          <w:tblCellMar>
            <w:top w:w="0" w:type="dxa"/>
            <w:left w:w="0" w:type="dxa"/>
            <w:bottom w:w="0" w:type="dxa"/>
            <w:right w:w="0" w:type="dxa"/>
          </w:tblCellMar>
        </w:tblPrEx>
        <w:trPr>
          <w:trHeight w:val="285" w:hRule="atLeast"/>
        </w:trPr>
        <w:tc>
          <w:tcPr>
            <w:tcW w:w="126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加勒比海</w:t>
            </w:r>
          </w:p>
        </w:tc>
        <w:tc>
          <w:tcPr>
            <w:tcW w:w="222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641"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137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c>
          <w:tcPr>
            <w:tcW w:w="245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b w:val="0"/>
                <w:i w:val="0"/>
                <w:caps w:val="0"/>
                <w:color w:val="000000"/>
                <w:spacing w:val="0"/>
                <w:sz w:val="28"/>
                <w:szCs w:val="28"/>
              </w:rPr>
              <w:t>-</w:t>
            </w:r>
          </w:p>
        </w:tc>
      </w:tr>
    </w:tbl>
    <w:p>
      <w:pPr>
        <w:pStyle w:val="3"/>
        <w:spacing w:line="240" w:lineRule="auto"/>
        <w:rPr>
          <w:rFonts w:ascii="华文仿宋" w:hAnsi="华文仿宋" w:eastAsia="华文仿宋" w:cs="宋体"/>
          <w:b w:val="0"/>
          <w:bCs w:val="0"/>
          <w:kern w:val="0"/>
          <w:szCs w:val="28"/>
        </w:rPr>
      </w:pPr>
    </w:p>
    <w:p>
      <w:pPr>
        <w:pStyle w:val="3"/>
        <w:spacing w:line="240" w:lineRule="auto"/>
        <w:rPr>
          <w:rFonts w:hint="eastAsia" w:cs="Times New Roman" w:asciiTheme="minorEastAsia" w:hAnsiTheme="minorEastAsia" w:eastAsiaTheme="minorEastAsia"/>
          <w:b/>
          <w:bCs w:val="0"/>
          <w:kern w:val="2"/>
          <w:sz w:val="28"/>
          <w:szCs w:val="28"/>
          <w:lang w:val="en-US" w:eastAsia="zh-CN" w:bidi="ar-SA"/>
        </w:rPr>
      </w:pPr>
      <w:r>
        <w:rPr>
          <w:rFonts w:hint="eastAsia" w:cs="Times New Roman" w:asciiTheme="minorEastAsia" w:hAnsiTheme="minorEastAsia" w:eastAsiaTheme="minorEastAsia"/>
          <w:b/>
          <w:bCs w:val="0"/>
          <w:kern w:val="2"/>
          <w:sz w:val="28"/>
          <w:szCs w:val="28"/>
          <w:lang w:val="en-US" w:eastAsia="zh-CN" w:bidi="ar-SA"/>
        </w:rPr>
        <w:t>2.2地炼石脑油市场</w:t>
      </w:r>
      <w:bookmarkEnd w:id="13"/>
      <w:bookmarkEnd w:id="14"/>
      <w:bookmarkEnd w:id="23"/>
      <w:bookmarkEnd w:id="24"/>
      <w:bookmarkEnd w:id="25"/>
      <w:bookmarkEnd w:id="26"/>
      <w:bookmarkEnd w:id="27"/>
      <w:r>
        <w:rPr>
          <w:rFonts w:hint="eastAsia" w:cs="Times New Roman" w:asciiTheme="minorEastAsia" w:hAnsiTheme="minorEastAsia" w:eastAsiaTheme="minorEastAsia"/>
          <w:b/>
          <w:bCs w:val="0"/>
          <w:kern w:val="2"/>
          <w:sz w:val="28"/>
          <w:szCs w:val="28"/>
          <w:lang w:val="en-US" w:eastAsia="zh-CN" w:bidi="ar-SA"/>
        </w:rPr>
        <w:t xml:space="preserve"> </w:t>
      </w:r>
    </w:p>
    <w:p>
      <w:pPr>
        <w:pStyle w:val="19"/>
        <w:keepNext w:val="0"/>
        <w:keepLines w:val="0"/>
        <w:widowControl/>
        <w:suppressLineNumbers w:val="0"/>
        <w:rPr>
          <w:rFonts w:hint="eastAsia" w:ascii="华文仿宋" w:hAnsi="华文仿宋" w:eastAsia="华文仿宋"/>
          <w:sz w:val="28"/>
          <w:szCs w:val="28"/>
        </w:rPr>
      </w:pPr>
      <w:r>
        <w:rPr>
          <w:sz w:val="21"/>
          <w:szCs w:val="21"/>
        </w:rPr>
        <w:t>　</w:t>
      </w:r>
      <w:r>
        <w:rPr>
          <w:rFonts w:hint="eastAsia"/>
          <w:sz w:val="21"/>
          <w:szCs w:val="21"/>
          <w:lang w:val="en-US" w:eastAsia="zh-CN"/>
        </w:rPr>
        <w:t xml:space="preserve"> </w:t>
      </w:r>
      <w:bookmarkStart w:id="80" w:name="_GoBack"/>
      <w:r>
        <w:rPr>
          <w:rFonts w:hint="eastAsia"/>
          <w:sz w:val="21"/>
          <w:szCs w:val="21"/>
          <w:lang w:val="en-US" w:eastAsia="zh-CN"/>
        </w:rPr>
        <w:t xml:space="preserve">  </w:t>
      </w:r>
      <w:r>
        <w:rPr>
          <w:rFonts w:hint="eastAsia" w:ascii="华文仿宋" w:hAnsi="华文仿宋" w:eastAsia="华文仿宋"/>
          <w:sz w:val="28"/>
          <w:szCs w:val="28"/>
        </w:rPr>
        <w:t>本周国内地炼石脑油市场稳中上探为主。地缘政治危机抬头，国际原油期货再度宽幅上涨，促使国内成品油零售价格打成压线上调，而原油期货连续暴涨给予国内成品油市场极大的炒涨热情，尽管当前并非正常补库阶段，但生产企业仍然大幅度推高出厂报盘，国内地炼石脑油市场今日仍然存在局部上推迹象，实际成交并无明显改观，资源流通较前期顺畅。进入下周，国际原油或保持高位震荡，新一轮变化率将以正向宽幅开端，消息面对市场继续形成利好指引，国内油市或延续乐观。不过目前市场库存趋于充足，且价格攀至高位后业者谨慎情绪显现，入市采购气氛将逐渐转淡，这将限制油价涨幅。综合来看，利好因素占据主导地位，预计下周国内地炼石脑油行情有望续涨，但涨势减弱，市场转入消库阶段，实际交投气氛降温。</w:t>
      </w:r>
    </w:p>
    <w:bookmarkEnd w:id="80"/>
    <w:p>
      <w:pPr>
        <w:pStyle w:val="19"/>
        <w:keepNext w:val="0"/>
        <w:keepLines w:val="0"/>
        <w:widowControl/>
        <w:suppressLineNumbers w:val="0"/>
        <w:ind w:firstLine="560" w:firstLineChars="200"/>
        <w:rPr>
          <w:rFonts w:hint="eastAsia" w:ascii="华文仿宋" w:hAnsi="华文仿宋" w:eastAsia="华文仿宋"/>
          <w:sz w:val="28"/>
          <w:szCs w:val="28"/>
        </w:rPr>
      </w:pPr>
    </w:p>
    <w:p/>
    <w:p>
      <w:pPr>
        <w:outlineLvl w:val="1"/>
        <w:rPr>
          <w:rFonts w:asciiTheme="minorEastAsia" w:hAnsiTheme="minorEastAsia" w:eastAsiaTheme="minorEastAsia"/>
          <w:b/>
          <w:sz w:val="28"/>
          <w:szCs w:val="28"/>
        </w:rPr>
      </w:pPr>
      <w:bookmarkStart w:id="28" w:name="_Toc281568203"/>
      <w:bookmarkStart w:id="29" w:name="_Toc296600813"/>
      <w:bookmarkStart w:id="30" w:name="_Toc460250406"/>
      <w:bookmarkStart w:id="31" w:name="_Toc505350010"/>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2018-4-13</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hint="eastAsia" w:ascii="宋体" w:hAnsi="宋体" w:cs="Arial"/>
          <w:kern w:val="0"/>
          <w:sz w:val="20"/>
          <w:szCs w:val="20"/>
        </w:rPr>
      </w:pPr>
    </w:p>
    <w:p>
      <w:pPr>
        <w:pStyle w:val="3"/>
        <w:spacing w:line="240" w:lineRule="auto"/>
        <w:jc w:val="left"/>
        <w:rPr>
          <w:rFonts w:ascii="宋体" w:hAnsi="宋体"/>
          <w:b w:val="0"/>
          <w:szCs w:val="28"/>
        </w:rPr>
      </w:pPr>
      <w:bookmarkStart w:id="32" w:name="_Toc281568204"/>
      <w:bookmarkStart w:id="33" w:name="_Toc296600814"/>
      <w:bookmarkStart w:id="34" w:name="_Toc460250407"/>
      <w:bookmarkStart w:id="35" w:name="_Toc239847719"/>
      <w:bookmarkStart w:id="36" w:name="_Toc158203132"/>
    </w:p>
    <w:p>
      <w:pPr>
        <w:pStyle w:val="3"/>
        <w:spacing w:line="240" w:lineRule="auto"/>
        <w:jc w:val="left"/>
        <w:rPr>
          <w:rFonts w:asciiTheme="minorEastAsia" w:hAnsiTheme="minorEastAsia" w:eastAsiaTheme="minorEastAsia"/>
        </w:rPr>
      </w:pPr>
      <w:bookmarkStart w:id="37" w:name="_Toc505350011"/>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7"/>
    </w:p>
    <w:p>
      <w:pPr>
        <w:widowControl/>
        <w:jc w:val="left"/>
        <w:rPr>
          <w:rFonts w:ascii="宋体" w:hAnsi="宋体" w:cs="宋体"/>
          <w:kern w:val="0"/>
          <w:sz w:val="24"/>
          <w:szCs w:val="24"/>
        </w:rPr>
      </w:pPr>
    </w:p>
    <w:p>
      <w:pPr>
        <w:rPr>
          <w:sz w:val="20"/>
          <w:szCs w:val="20"/>
        </w:rPr>
      </w:pPr>
      <w:r>
        <w:drawing>
          <wp:inline distT="0" distB="0" distL="114300" distR="114300">
            <wp:extent cx="5800725" cy="5928360"/>
            <wp:effectExtent l="0" t="0" r="9525" b="15240"/>
            <wp:docPr id="623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bookmarkEnd w:id="35"/>
    <w:bookmarkEnd w:id="36"/>
    <w:p>
      <w:pPr>
        <w:outlineLvl w:val="0"/>
        <w:rPr>
          <w:rFonts w:ascii="黑体" w:eastAsia="黑体"/>
          <w:b/>
          <w:sz w:val="28"/>
          <w:szCs w:val="28"/>
        </w:rPr>
      </w:pPr>
      <w:bookmarkStart w:id="38" w:name="_Toc460250408"/>
      <w:bookmarkStart w:id="39" w:name="_Toc296600816"/>
      <w:bookmarkStart w:id="40" w:name="_Toc505350012"/>
      <w:bookmarkStart w:id="41" w:name="_Toc281568206"/>
      <w:bookmarkStart w:id="42" w:name="_Toc237428455"/>
      <w:r>
        <w:rPr>
          <w:rFonts w:hint="eastAsia" w:ascii="黑体" w:eastAsia="黑体"/>
          <w:b/>
          <w:sz w:val="28"/>
          <w:szCs w:val="28"/>
        </w:rPr>
        <w:t>三、本周国内油品市场分析及预测</w:t>
      </w:r>
      <w:bookmarkEnd w:id="38"/>
      <w:bookmarkEnd w:id="39"/>
      <w:bookmarkEnd w:id="40"/>
      <w:bookmarkEnd w:id="41"/>
      <w:bookmarkEnd w:id="42"/>
      <w:bookmarkStart w:id="43" w:name="_Toc296600817"/>
      <w:bookmarkStart w:id="44" w:name="_Toc281568207"/>
      <w:bookmarkStart w:id="45" w:name="_Toc460250409"/>
      <w:bookmarkStart w:id="46" w:name="_Toc176571903"/>
      <w:bookmarkStart w:id="47" w:name="_Toc237428456"/>
    </w:p>
    <w:p>
      <w:pPr>
        <w:pStyle w:val="2"/>
        <w:spacing w:line="360" w:lineRule="auto"/>
        <w:rPr>
          <w:rFonts w:hint="eastAsia" w:ascii="黑体" w:hAnsi="黑体"/>
          <w:b w:val="0"/>
          <w:kern w:val="2"/>
          <w:sz w:val="28"/>
          <w:szCs w:val="28"/>
        </w:rPr>
      </w:pPr>
      <w:bookmarkStart w:id="48" w:name="_Toc505350013"/>
      <w:r>
        <w:rPr>
          <w:rFonts w:hint="eastAsia" w:ascii="黑体" w:hAnsi="黑体"/>
          <w:b w:val="0"/>
          <w:kern w:val="2"/>
          <w:sz w:val="28"/>
          <w:szCs w:val="28"/>
        </w:rPr>
        <w:t>3．1  成品油市场动态</w:t>
      </w:r>
      <w:bookmarkEnd w:id="43"/>
      <w:bookmarkEnd w:id="44"/>
      <w:bookmarkEnd w:id="45"/>
      <w:bookmarkEnd w:id="48"/>
    </w:p>
    <w:p>
      <w:pPr>
        <w:pStyle w:val="19"/>
        <w:keepNext w:val="0"/>
        <w:keepLines w:val="0"/>
        <w:widowControl/>
        <w:suppressLineNumbers w:val="0"/>
        <w:ind w:firstLine="420" w:firstLineChars="200"/>
        <w:rPr>
          <w:rFonts w:hint="eastAsia" w:ascii="华文仿宋" w:hAnsi="华文仿宋" w:eastAsia="华文仿宋" w:cs="华文仿宋"/>
          <w:kern w:val="0"/>
          <w:sz w:val="28"/>
          <w:szCs w:val="28"/>
          <w:lang w:val="en-US" w:eastAsia="zh-CN" w:bidi="ar-SA"/>
        </w:rPr>
      </w:pPr>
      <w:r>
        <w:rPr>
          <w:sz w:val="21"/>
          <w:szCs w:val="21"/>
        </w:rPr>
        <w:t>　</w:t>
      </w:r>
      <w:r>
        <w:rPr>
          <w:rFonts w:hint="eastAsia" w:ascii="华文仿宋" w:hAnsi="华文仿宋" w:eastAsia="华文仿宋" w:cs="华文仿宋"/>
          <w:kern w:val="0"/>
          <w:sz w:val="28"/>
          <w:szCs w:val="28"/>
          <w:lang w:val="en-US" w:eastAsia="zh-CN" w:bidi="ar-SA"/>
        </w:rPr>
        <w:t>本周，国际原油期价接连创高，受此影响，国内成品油市场行情整体上行，部分地区主营汽柴油价格上调。与此同时，山东地区汽柴油行情涨势扩散，各炼厂报价频频走高，但成交仍保持100元/吨优惠。具体来看出货方面：受原油持续反弹提振，区内油市看涨气氛热烈，中下游商家入市采购积极性提升，从而使得地炼整体出货量明显增加，库存普遍有所下降。后市前瞻：进入下周，国际原油期货保持高位震荡的格局，WTI运行区间在62.7-68.1(均值65.4)美元/桶之间。在无明显利空打压下，山东地区成品油行情有望保持坚挺，买卖双方操作较为理性，市场交投气氛温和。综上所述，预计下周山东地炼汽柴油价格涨势放缓。</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华北地区成品油行情持续上扬，整体成交气氛好转。具体来看，周内国际原油接连走高，变化率正向区间拉宽，成品油零售价最终兑现上调，消息面形成强势利好指引。受此影响，区内主营顺势积极推价，其中柴油涨幅较大集中在100-150元/吨，汽油涨幅多数在50元/吨。场内业者观望情绪减少，入市适度进行补货，市场整体成交气氛升温。不过由于刚需跟进尚显不足，且随着价格攀至目前高位后，中下游用户趋于谨慎，据了解今日交投有所转淡。后市来看，国际原油或维持高位震荡，新一轮周期零售价上调预期强烈，消息面将仍有利好支撑，且本周主营销售进度追赶较快，短期内政策亦以挺价为主，故预计下周华北地区成品油行情将保持坚挺，不排除再度推价可能，市场进入消库套利阶段，补货需求继续减少。</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华南地区成品油行情双双走高，市场交投气氛相对回暖。具体来看，国际原油期货大幅走高，变化率正向区间延伸，零售价上调预期增强并于周四兑现上调。受消息方面利好加深影响，业者“买涨”情绪滋生，纷纷入市逢低补仓，主营单位出货节奏相对加快，汽柴油价格顺势推涨，市场交投气氛一度回暖。而后，随着主营汽柴油价格涨至高位，业者入市跟进意向降低，购销氛围随之转淡。后市来看，国际原油期货高位震荡为主，消息方面支撑犹存。预计下周华南地区汽柴油行情高位持坚，业者暂消库观望为主，市场交投气氛清淡。</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华中地区成品油行情强势上行，市场整体购销气氛转暖。具体来看，周初，国际原油延续弱势震荡，变化率正向窄幅运行，消息面利空因素较多，主营汽柴价格维持弱势盘整，市场交投气氛低迷。随着原油连续大涨，变化率正向不断拉宽运行，且今日零售价上调窗口开启，消息面对油市利好显著，主营汽柴价格顺势攀高，由于地炼成品油价格不断大幅推涨，业者入市采购明显增多，市场成交气氛相对活跃。后市来看，国际原油或维持高位震荡，消息面对市场仍有一定支撑，国内部分炼厂相继进入检修阶段，供应量有所收窄，且由于近几日主营出货相对顺畅，销售压力暂缓。故华中地区主营成品油价格或将维持挺价为主，实盘仍存优惠空间。</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华东地区汽柴油行情整体走高，实际购销状况略有好转。具体来看，国际原油连续大幅收高，变化率幅度不断拉大，周四零售价兑现擦线上调，消息面对市场提振作用较为明显。另外，终端需求陆续恢复，下游库存消耗速度加快，受看涨心理带动，业者入市补货频率增加，带动区内成交略有向好。但由于市场低价货源较多，主营单位价格优势并不明显，整体出货提升幅度有限。但上调预期支撑下，区内报价仍有一定推高。后市来看，国际原油维持高位运行，新一轮零售价上调概率依然较大，另外周边山东地炼资源价格上涨幅度较大，与区内价差收窄，对主营单位出货形成支撑，预计下周华东地区汽柴油价格延续小涨。</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西北地炼汽柴行情维持坚挺，市场成交气氛好转。分析来看：周初，成品油零售价呈现搁浅预期，消息面对市场指引有限。业者操作心态谨慎，消库之余按需采购为主，市场成交气氛平平。之后，国际原油收盘价格“三连涨”，变化率正向区间延伸，消息面利好逐步增强，市场心态受到提振。此外，下游库存得到一定消耗。业者补货积极性增加，市场成交气氛较为活跃。销售公司趁机走量，汽柴价格维持稳定。本周四，本轮最后一个工作日零售价冲线上调，区内汽柴行情将有所走高。后市而言，国际原油将保持高位震荡，新一轮变化率仍维持正向区间运行，消息面仍有支撑。但业者前期备货充足，后期退市消库存为主，入市操作减量。预计下周西北地炼汽柴行情趋于平稳，市场成交气氛平淡。</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西南地区汽柴行情跌后反弹，市场成交气氛回暖。分析来看：周内，国际原油价格连续大涨，变化率正向区间延伸，本轮零售价擦边上调。由于周初，消息面支撑力度有限，且下游库存消耗有限，业者入市操作谨慎，市场成交气氛较为平淡。主营单位出货不畅，为缓解后期销售压力，汽柴价格多有回落。之后，随着原油涨势扩大，消息面对市场较有提振，主营单位价格止跌回涨。业者操作心态向好，入市补货增多，市场成交有所改善。进入下周，国际油价高位偏强运行，新一轮变化率正向区间运行，上调预期对市场仍有支撑，主营价格将继续走高。然业者补货到位，市场进入库存阶段，市场成交气氛转淡。</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r>
        <w:rPr>
          <w:rFonts w:hint="eastAsia" w:ascii="华文仿宋" w:hAnsi="华文仿宋" w:eastAsia="华文仿宋" w:cs="华文仿宋"/>
          <w:kern w:val="0"/>
          <w:sz w:val="28"/>
          <w:szCs w:val="28"/>
          <w:lang w:val="en-US" w:eastAsia="zh-CN" w:bidi="ar-SA"/>
        </w:rPr>
        <w:t>进入下周，国际原油或保持高位震荡，新一轮变化率将以正向宽幅开端，消息面对市场继续形成利好指引，国内油市或延续乐观。就供需面而言，后期不论是主营还是山东地炼炼厂双双进入检修高峰期，国内炼厂整体开工率将进一步下滑，导致国内汽柴油资源供应有所减量。当下天气较为稳定，户外工矿、基建以及物流行业整体运行情况较前期有一定提升，柴油刚需稳中向好;汽油则由于暂无节假日，故消费量难有好转。与此同时，近期主营出货较为顺畅，月度任务压力得以缓解，且部分单位指导销售政策仍以挺价为主，因此，国内成品油价格存在一定推涨空间。不过目前市场库存趋于充足，且价格攀至高位后业者谨慎情绪显现，入市采购气氛将逐渐转淡，这将限制油价涨幅。综合来看，利好因素占据主导地位，预计下周国内成品油行情有望续涨，但涨势减弱，市场转入消库阶段，实际交投气氛降温。</w:t>
      </w:r>
    </w:p>
    <w:p>
      <w:pPr>
        <w:pStyle w:val="19"/>
        <w:keepNext w:val="0"/>
        <w:keepLines w:val="0"/>
        <w:widowControl/>
        <w:suppressLineNumbers w:val="0"/>
        <w:ind w:firstLine="560" w:firstLineChars="200"/>
        <w:rPr>
          <w:rFonts w:hint="eastAsia" w:ascii="华文仿宋" w:hAnsi="华文仿宋" w:eastAsia="华文仿宋" w:cs="华文仿宋"/>
          <w:kern w:val="0"/>
          <w:sz w:val="28"/>
          <w:szCs w:val="28"/>
          <w:lang w:val="en-US" w:eastAsia="zh-CN" w:bidi="ar-SA"/>
        </w:rPr>
      </w:pPr>
    </w:p>
    <w:bookmarkEnd w:id="46"/>
    <w:bookmarkEnd w:id="47"/>
    <w:p>
      <w:pPr>
        <w:numPr>
          <w:ilvl w:val="0"/>
          <w:numId w:val="0"/>
        </w:numPr>
        <w:outlineLvl w:val="0"/>
        <w:rPr>
          <w:rFonts w:ascii="黑体"/>
          <w:b/>
          <w:bCs/>
          <w:sz w:val="28"/>
          <w:szCs w:val="28"/>
        </w:rPr>
      </w:pPr>
      <w:bookmarkStart w:id="49" w:name="_Toc505350014"/>
      <w:bookmarkStart w:id="50" w:name="_Toc296600818"/>
      <w:bookmarkStart w:id="51" w:name="_Toc369858747"/>
      <w:bookmarkStart w:id="52" w:name="_Toc460250410"/>
      <w:bookmarkStart w:id="53" w:name="_Toc281568208"/>
      <w:bookmarkStart w:id="54" w:name="_Toc180485827"/>
      <w:bookmarkStart w:id="55" w:name="_Toc296600819"/>
      <w:bookmarkStart w:id="56" w:name="_Toc281568211"/>
      <w:r>
        <w:rPr>
          <w:rFonts w:hint="eastAsia" w:ascii="黑体"/>
          <w:b/>
          <w:bCs/>
          <w:sz w:val="28"/>
          <w:szCs w:val="28"/>
          <w:lang w:eastAsia="zh-CN"/>
        </w:rPr>
        <w:t>四、</w:t>
      </w:r>
      <w:r>
        <w:rPr>
          <w:rFonts w:hint="eastAsia" w:ascii="黑体"/>
          <w:b/>
          <w:bCs/>
          <w:sz w:val="28"/>
          <w:szCs w:val="28"/>
        </w:rPr>
        <w:t>国内溶剂油市场综述</w:t>
      </w:r>
      <w:bookmarkEnd w:id="49"/>
    </w:p>
    <w:p>
      <w:pPr>
        <w:pStyle w:val="19"/>
        <w:keepNext w:val="0"/>
        <w:keepLines w:val="0"/>
        <w:widowControl/>
        <w:suppressLineNumbers w:val="0"/>
        <w:rPr>
          <w:rFonts w:hint="eastAsia" w:ascii="华文仿宋" w:hAnsi="华文仿宋" w:eastAsia="华文仿宋" w:cs="华文仿宋"/>
          <w:kern w:val="0"/>
          <w:sz w:val="28"/>
          <w:szCs w:val="28"/>
          <w:lang w:val="en-US" w:eastAsia="zh-CN" w:bidi="ar-SA"/>
        </w:rPr>
      </w:pPr>
      <w:r>
        <w:rPr>
          <w:sz w:val="21"/>
          <w:szCs w:val="21"/>
        </w:rPr>
        <w:t>　</w:t>
      </w:r>
      <w:r>
        <w:rPr>
          <w:rFonts w:hint="eastAsia"/>
          <w:sz w:val="21"/>
          <w:szCs w:val="21"/>
          <w:lang w:val="en-US" w:eastAsia="zh-CN"/>
        </w:rPr>
        <w:t xml:space="preserve">   </w:t>
      </w:r>
      <w:r>
        <w:rPr>
          <w:rFonts w:hint="eastAsia" w:ascii="华文仿宋" w:hAnsi="华文仿宋" w:eastAsia="华文仿宋" w:cs="华文仿宋"/>
          <w:kern w:val="0"/>
          <w:sz w:val="28"/>
          <w:szCs w:val="28"/>
          <w:lang w:val="en-US" w:eastAsia="zh-CN" w:bidi="ar-SA"/>
        </w:rPr>
        <w:t>本周溶剂油市场淡稳运行，价格小幅走跌。消息面支撑有限，市场整体成交气氛清淡。周初，溶剂油市场中稳运行，价格无明显变动，市场整体需求较弱，交投气氛清淡。中期，溶剂油市场淡稳调整，价格小幅下跌，西北地区和山东地区个别炼厂略微下调价格，业者操作心态谨慎，大单采购有限，市场成交难有提升。临近周末，溶剂油市场淡稳运行，价格无明显变动。山东地方炼厂市场价格小幅回升，需求难改低迷，整体成交气氛寡淡。本周国际原油呈上行趋势，临近周末国际油价收盘大幅上涨，尽管美国石油协会(API)发布报告显示上周美国原油库存增幅超预期，令油价承压，但由于与叙利亚有关的地缘政治紧张形势提高了中东地区原油生产中断的可能性，且中美两国也已经软化了在贸易纠纷问题上的立场，风险情绪回升帮助原油等风险类资产持稳上涨，加之EIA上调原油价格预期，同时美元承压下挫也增加了油价的上行动能，油价收盘大幅上涨。消息面利好市场，但对溶剂油市场难以提振，指引作用偏弱。国内溶剂油市场小幅走跌，观望氛围浓厚，交投气氛寡淡。整体而言，溶剂油市场淡稳运行，交投气氛清淡。进入四月中旬，国际原油市场价格呈上行趋势，由于美国与叙利亚有关的地缘政治紧张形势提高了中东地区原油生产中断的可能性，且中美两国也已经软化了在贸易纠纷问题上的立场，风险情绪回升帮助原油等风险类资产持稳上涨，加之EIA上调原油价格预期，同时美元承压下挫也增加了油价的上行动能，油价收盘大幅上涨。国际原油延续大涨，成品油价格继续攀高，主营汽柴价格普遍推涨，华南华东地区汽柴油行情顺势走高，西北地炼汽柴行情暂稳，或缩减优惠区间，整体市场购销气氛温和，交投氛围活跃。消息面利好市场，但无法提振溶剂油价格走高，且在需求低迷难改的情况下，部分商家根据自身的库存情况多小幅适量调整自身报盘以促走量，然成交仍不理想，因此场内观望氛围较为浓厚，实单成交多刚需支撑，市场整体交投气氛寡淡。中下游用户购进操作谨慎，炼厂出货压力较大，整体购销气氛延续清淡。因此预计溶剂油市场行情持稳概率较大，市场交投气氛清淡。</w:t>
      </w:r>
    </w:p>
    <w:bookmarkEnd w:id="50"/>
    <w:bookmarkEnd w:id="51"/>
    <w:bookmarkEnd w:id="52"/>
    <w:bookmarkEnd w:id="53"/>
    <w:bookmarkEnd w:id="54"/>
    <w:p>
      <w:pPr>
        <w:pStyle w:val="2"/>
        <w:spacing w:line="360" w:lineRule="auto"/>
        <w:rPr>
          <w:rFonts w:hint="eastAsia" w:ascii="Microsoft YaHei" w:hAnsi="Microsoft YaHei" w:cs="宋体"/>
          <w:kern w:val="0"/>
          <w:sz w:val="23"/>
          <w:szCs w:val="23"/>
        </w:rPr>
      </w:pPr>
      <w:bookmarkStart w:id="57" w:name="_Toc505350015"/>
      <w:bookmarkStart w:id="58" w:name="_Toc460250411"/>
      <w:r>
        <w:rPr>
          <w:rFonts w:hint="eastAsia" w:ascii="黑体" w:hAnsi="宋体"/>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95"/>
        <w:gridCol w:w="1961"/>
        <w:gridCol w:w="1095"/>
        <w:gridCol w:w="1094"/>
        <w:gridCol w:w="1095"/>
        <w:gridCol w:w="1095"/>
        <w:gridCol w:w="1246"/>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61"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94"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46"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2018-4-13</w:t>
            </w:r>
          </w:p>
        </w:tc>
        <w:tc>
          <w:tcPr>
            <w:tcW w:w="109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5" w:hRule="atLeast"/>
        </w:trPr>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6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9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9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460250412"/>
      <w:bookmarkStart w:id="60" w:name="_Toc296600821"/>
      <w:bookmarkStart w:id="61" w:name="_Toc505350016"/>
      <w:bookmarkStart w:id="62" w:name="_Toc281568213"/>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9"/>
        <w:gridCol w:w="1232"/>
        <w:gridCol w:w="1233"/>
        <w:gridCol w:w="1233"/>
        <w:gridCol w:w="1232"/>
        <w:gridCol w:w="1404"/>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3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2018-4-13</w:t>
            </w:r>
          </w:p>
        </w:tc>
        <w:tc>
          <w:tcPr>
            <w:tcW w:w="12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8560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20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3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460250413"/>
      <w:bookmarkStart w:id="65" w:name="_Toc296600822"/>
      <w:bookmarkStart w:id="66" w:name="_Toc281568214"/>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14"/>
        <w:gridCol w:w="1654"/>
        <w:gridCol w:w="1315"/>
        <w:gridCol w:w="1114"/>
        <w:gridCol w:w="1114"/>
        <w:gridCol w:w="1083"/>
        <w:gridCol w:w="1268"/>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5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8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2018-4-13</w:t>
            </w:r>
          </w:p>
        </w:tc>
        <w:tc>
          <w:tcPr>
            <w:tcW w:w="111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5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3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11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8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hint="eastAsia" w:ascii="华文仿宋" w:hAnsi="华文仿宋" w:eastAsia="华文仿宋"/>
          <w:sz w:val="28"/>
          <w:szCs w:val="28"/>
          <w:lang w:val="en-US" w:eastAsia="zh-CN"/>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460250414"/>
      <w:bookmarkStart w:id="68" w:name="_Toc505350018"/>
      <w:bookmarkStart w:id="69" w:name="_Toc296600823"/>
      <w:bookmarkStart w:id="70" w:name="_Toc180485835"/>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33"/>
        <w:gridCol w:w="1592"/>
        <w:gridCol w:w="1333"/>
        <w:gridCol w:w="1334"/>
        <w:gridCol w:w="1333"/>
        <w:gridCol w:w="1518"/>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9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34"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1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2018-4-13</w:t>
            </w:r>
          </w:p>
        </w:tc>
        <w:tc>
          <w:tcPr>
            <w:tcW w:w="133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9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334"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 w:val="0"/>
          <w:bCs w:val="0"/>
          <w:kern w:val="2"/>
          <w:sz w:val="28"/>
          <w:szCs w:val="28"/>
        </w:rPr>
      </w:pPr>
      <w:bookmarkStart w:id="72" w:name="_Toc505350019"/>
      <w:bookmarkStart w:id="73" w:name="_Toc296600824"/>
      <w:bookmarkStart w:id="74" w:name="_Toc281568216"/>
      <w:bookmarkStart w:id="75" w:name="_Toc460250415"/>
      <w:r>
        <w:rPr>
          <w:rFonts w:hint="eastAsia" w:ascii="华文仿宋" w:hAnsi="华文仿宋" w:eastAsia="华文仿宋"/>
          <w:b w:val="0"/>
          <w:bCs w:val="0"/>
          <w:kern w:val="2"/>
          <w:sz w:val="28"/>
          <w:szCs w:val="28"/>
        </w:rPr>
        <w:t>九、201</w:t>
      </w:r>
      <w:r>
        <w:rPr>
          <w:rFonts w:hint="eastAsia" w:ascii="华文仿宋" w:hAnsi="华文仿宋" w:eastAsia="华文仿宋"/>
          <w:b w:val="0"/>
          <w:bCs w:val="0"/>
          <w:kern w:val="2"/>
          <w:sz w:val="28"/>
          <w:szCs w:val="28"/>
          <w:lang w:val="en-US" w:eastAsia="zh-CN"/>
        </w:rPr>
        <w:t>8</w:t>
      </w:r>
      <w:r>
        <w:rPr>
          <w:rFonts w:hint="eastAsia" w:ascii="华文仿宋" w:hAnsi="华文仿宋" w:eastAsia="华文仿宋"/>
          <w:b w:val="0"/>
          <w:bCs w:val="0"/>
          <w:kern w:val="2"/>
          <w:sz w:val="28"/>
          <w:szCs w:val="28"/>
        </w:rPr>
        <w:t>年</w:t>
      </w:r>
      <w:r>
        <w:rPr>
          <w:rFonts w:hint="eastAsia" w:ascii="华文仿宋" w:hAnsi="华文仿宋" w:eastAsia="华文仿宋"/>
          <w:b w:val="0"/>
          <w:bCs w:val="0"/>
          <w:kern w:val="2"/>
          <w:sz w:val="28"/>
          <w:szCs w:val="28"/>
          <w:lang w:val="en-US" w:eastAsia="zh-CN"/>
        </w:rPr>
        <w:t>2</w:t>
      </w:r>
      <w:r>
        <w:rPr>
          <w:rFonts w:hint="eastAsia" w:ascii="华文仿宋" w:hAnsi="华文仿宋" w:eastAsia="华文仿宋"/>
          <w:b w:val="0"/>
          <w:bCs w:val="0"/>
          <w:kern w:val="2"/>
          <w:sz w:val="28"/>
          <w:szCs w:val="28"/>
        </w:rPr>
        <w:t>月中国溶剂油、石脑油进出口数据统计</w:t>
      </w:r>
      <w:bookmarkEnd w:id="72"/>
      <w:bookmarkEnd w:id="73"/>
      <w:bookmarkEnd w:id="74"/>
      <w:bookmarkEnd w:id="7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bookmarkStart w:id="76" w:name="_Toc281568218"/>
      <w:bookmarkStart w:id="77" w:name="_Toc296600826"/>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月中国</w:t>
      </w:r>
      <w:r>
        <w:rPr>
          <w:rFonts w:ascii="华文仿宋" w:hAnsi="华文仿宋" w:eastAsia="华文仿宋"/>
          <w:sz w:val="28"/>
          <w:szCs w:val="28"/>
        </w:rPr>
        <w:t>橡胶溶剂油、油漆溶剂油、抽提溶剂油</w:t>
      </w:r>
      <w:bookmarkEnd w:id="76"/>
      <w:bookmarkEnd w:id="77"/>
      <w:r>
        <w:rPr>
          <w:rFonts w:hint="eastAsia" w:ascii="华文仿宋" w:hAnsi="华文仿宋" w:eastAsia="华文仿宋"/>
          <w:sz w:val="28"/>
          <w:szCs w:val="28"/>
        </w:rPr>
        <w:t>进出口数据</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32"/>
        <w:gridCol w:w="1855"/>
        <w:gridCol w:w="1805"/>
        <w:gridCol w:w="167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185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18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67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80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印度尼西亚</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5260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德国</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426</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新加坡</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748351</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1013705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日本</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29700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71958</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1860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7699</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英国</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303</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越南</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20405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18685</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香港</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88630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59148</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r>
        <w:rPr>
          <w:rFonts w:hint="eastAsia" w:ascii="华文仿宋" w:hAnsi="华文仿宋" w:eastAsia="华文仿宋"/>
          <w:sz w:val="28"/>
          <w:szCs w:val="28"/>
        </w:rPr>
        <w:t>201</w:t>
      </w: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年</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月石脑油进出口数据(数量单位：千克/升 金额单位: 美元)</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495"/>
        <w:gridCol w:w="2027"/>
        <w:gridCol w:w="2027"/>
        <w:gridCol w:w="1608"/>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产销国</w:t>
            </w:r>
          </w:p>
        </w:tc>
        <w:tc>
          <w:tcPr>
            <w:tcW w:w="202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进口数量</w:t>
            </w:r>
          </w:p>
        </w:tc>
        <w:tc>
          <w:tcPr>
            <w:tcW w:w="2027"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进口美元</w:t>
            </w:r>
          </w:p>
        </w:tc>
        <w:tc>
          <w:tcPr>
            <w:tcW w:w="1608"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出口数量</w:t>
            </w:r>
          </w:p>
        </w:tc>
        <w:tc>
          <w:tcPr>
            <w:tcW w:w="1619" w:type="dxa"/>
            <w:tcBorders>
              <w:top w:val="single" w:color="000000" w:sz="4" w:space="0"/>
              <w:left w:val="single" w:color="000000" w:sz="4" w:space="0"/>
              <w:bottom w:val="single" w:color="000000" w:sz="4" w:space="0"/>
              <w:right w:val="single" w:color="000000" w:sz="4" w:space="0"/>
            </w:tcBorders>
            <w:shd w:val="clear" w:color="auto" w:fill="00B0F0"/>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b/>
                <w:i w:val="0"/>
                <w:color w:val="000000"/>
                <w:sz w:val="28"/>
                <w:szCs w:val="28"/>
                <w:u w:val="none"/>
              </w:rPr>
            </w:pPr>
            <w:r>
              <w:rPr>
                <w:rFonts w:hint="eastAsia" w:ascii="华文仿宋" w:hAnsi="华文仿宋" w:eastAsia="华文仿宋" w:cs="华文仿宋"/>
                <w:b/>
                <w:i w:val="0"/>
                <w:color w:val="000000"/>
                <w:kern w:val="0"/>
                <w:sz w:val="28"/>
                <w:szCs w:val="28"/>
                <w:u w:val="none"/>
                <w:lang w:val="en-US" w:eastAsia="zh-CN" w:bidi="ar"/>
              </w:rPr>
              <w:t>出口美元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俄罗斯联邦</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58443703</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35116545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印度</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56249737</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33854529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巴基斯坦</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31033262</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19628533</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巴布亚新几内亚</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8500000</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5389000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沙特阿拉伯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55002410</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33153245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美国</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37451894</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21722099</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阿尔及利亚</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171876474</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103009405</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韩国</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32903402</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18932537</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Borders>
        <w:top w:val="none" w:sz="0" w:space="0"/>
        <w:left w:val="none" w:sz="0" w:space="0"/>
        <w:bottom w:val="none" w:sz="0" w:space="0"/>
        <w:right w:val="none" w:sz="0" w:space="0"/>
      </w:pgBorders>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Microsoft YaHei">
    <w:altName w:val="Courier New"/>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ourier New">
    <w:panose1 w:val="02070309020205020404"/>
    <w:charset w:val="00"/>
    <w:family w:val="roman"/>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44</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7D6932"/>
    <w:multiLevelType w:val="singleLevel"/>
    <w:tmpl w:val="F97D6932"/>
    <w:lvl w:ilvl="0" w:tentative="0">
      <w:start w:val="1"/>
      <w:numFmt w:val="decimal"/>
      <w:suff w:val="nothing"/>
      <w:lvlText w:val="%1、"/>
      <w:lvlJc w:val="left"/>
    </w:lvl>
  </w:abstractNum>
  <w:abstractNum w:abstractNumId="1">
    <w:nsid w:val="37716F8E"/>
    <w:multiLevelType w:val="singleLevel"/>
    <w:tmpl w:val="37716F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67025"/>
    <w:rsid w:val="00183F2A"/>
    <w:rsid w:val="00194FF2"/>
    <w:rsid w:val="00195689"/>
    <w:rsid w:val="001A3318"/>
    <w:rsid w:val="001A58F5"/>
    <w:rsid w:val="001B0F30"/>
    <w:rsid w:val="001B2E5D"/>
    <w:rsid w:val="001B32BE"/>
    <w:rsid w:val="001B7F7D"/>
    <w:rsid w:val="001C077C"/>
    <w:rsid w:val="001C20C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7D27"/>
    <w:rsid w:val="003A05B5"/>
    <w:rsid w:val="003A177D"/>
    <w:rsid w:val="003A4492"/>
    <w:rsid w:val="003B2552"/>
    <w:rsid w:val="003B4A54"/>
    <w:rsid w:val="003C393A"/>
    <w:rsid w:val="003D18AF"/>
    <w:rsid w:val="003D6166"/>
    <w:rsid w:val="003D632C"/>
    <w:rsid w:val="003E2A66"/>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7918"/>
    <w:rsid w:val="0052375A"/>
    <w:rsid w:val="00524DE5"/>
    <w:rsid w:val="00527E80"/>
    <w:rsid w:val="00530810"/>
    <w:rsid w:val="0053224A"/>
    <w:rsid w:val="00533757"/>
    <w:rsid w:val="005351E4"/>
    <w:rsid w:val="005429EE"/>
    <w:rsid w:val="00542C07"/>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612F43"/>
    <w:rsid w:val="006145D2"/>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63F6F"/>
    <w:rsid w:val="00765F8B"/>
    <w:rsid w:val="00767C71"/>
    <w:rsid w:val="007752FF"/>
    <w:rsid w:val="00776D2B"/>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7A6A"/>
    <w:rsid w:val="00920F2D"/>
    <w:rsid w:val="00921A1B"/>
    <w:rsid w:val="00922FF4"/>
    <w:rsid w:val="009347F0"/>
    <w:rsid w:val="00935F33"/>
    <w:rsid w:val="0093638A"/>
    <w:rsid w:val="009378FF"/>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D30D0"/>
    <w:rsid w:val="009D3DF0"/>
    <w:rsid w:val="009D4EB3"/>
    <w:rsid w:val="009F05BF"/>
    <w:rsid w:val="009F1D70"/>
    <w:rsid w:val="009F5944"/>
    <w:rsid w:val="00A0021E"/>
    <w:rsid w:val="00A0658F"/>
    <w:rsid w:val="00A13F55"/>
    <w:rsid w:val="00A140B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54753"/>
    <w:rsid w:val="00B56DAC"/>
    <w:rsid w:val="00B66525"/>
    <w:rsid w:val="00B7201D"/>
    <w:rsid w:val="00B72D56"/>
    <w:rsid w:val="00B73385"/>
    <w:rsid w:val="00B7660A"/>
    <w:rsid w:val="00B80D78"/>
    <w:rsid w:val="00B80F1F"/>
    <w:rsid w:val="00B81D14"/>
    <w:rsid w:val="00B86CFA"/>
    <w:rsid w:val="00B87EBA"/>
    <w:rsid w:val="00B92B61"/>
    <w:rsid w:val="00B969D4"/>
    <w:rsid w:val="00BA7BA1"/>
    <w:rsid w:val="00BC087F"/>
    <w:rsid w:val="00BC23E1"/>
    <w:rsid w:val="00BC2882"/>
    <w:rsid w:val="00BC31D3"/>
    <w:rsid w:val="00BC3AF2"/>
    <w:rsid w:val="00BC4513"/>
    <w:rsid w:val="00BC476E"/>
    <w:rsid w:val="00BD1EE5"/>
    <w:rsid w:val="00BD3E25"/>
    <w:rsid w:val="00BE0143"/>
    <w:rsid w:val="00BE088D"/>
    <w:rsid w:val="00BE60C2"/>
    <w:rsid w:val="00BF4005"/>
    <w:rsid w:val="00BF56EB"/>
    <w:rsid w:val="00BF5FDD"/>
    <w:rsid w:val="00C010CC"/>
    <w:rsid w:val="00C04234"/>
    <w:rsid w:val="00C143F0"/>
    <w:rsid w:val="00C15280"/>
    <w:rsid w:val="00C21042"/>
    <w:rsid w:val="00C22F47"/>
    <w:rsid w:val="00C25298"/>
    <w:rsid w:val="00C263DA"/>
    <w:rsid w:val="00C30738"/>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53F5"/>
    <w:rsid w:val="00D859DE"/>
    <w:rsid w:val="00D87D5F"/>
    <w:rsid w:val="00D919D9"/>
    <w:rsid w:val="00D9238E"/>
    <w:rsid w:val="00D9776A"/>
    <w:rsid w:val="00DA4501"/>
    <w:rsid w:val="00DA4F2B"/>
    <w:rsid w:val="00DA5FEE"/>
    <w:rsid w:val="00DA6C7F"/>
    <w:rsid w:val="00DB1006"/>
    <w:rsid w:val="00DB57C9"/>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30A09"/>
    <w:rsid w:val="00E33D32"/>
    <w:rsid w:val="00E36209"/>
    <w:rsid w:val="00E4010A"/>
    <w:rsid w:val="00E508F5"/>
    <w:rsid w:val="00E54015"/>
    <w:rsid w:val="00E57AE9"/>
    <w:rsid w:val="00E6086B"/>
    <w:rsid w:val="00E6237C"/>
    <w:rsid w:val="00E70F83"/>
    <w:rsid w:val="00E71E4A"/>
    <w:rsid w:val="00E73393"/>
    <w:rsid w:val="00E74D23"/>
    <w:rsid w:val="00E75CFD"/>
    <w:rsid w:val="00E8370B"/>
    <w:rsid w:val="00E83EC9"/>
    <w:rsid w:val="00E87184"/>
    <w:rsid w:val="00E87533"/>
    <w:rsid w:val="00E944D7"/>
    <w:rsid w:val="00E94998"/>
    <w:rsid w:val="00EA5E30"/>
    <w:rsid w:val="00EC02F1"/>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767"/>
    <w:rsid w:val="00F67AE8"/>
    <w:rsid w:val="00F72F22"/>
    <w:rsid w:val="00F733F0"/>
    <w:rsid w:val="00F80C18"/>
    <w:rsid w:val="00F8269A"/>
    <w:rsid w:val="00F87D35"/>
    <w:rsid w:val="00F9529D"/>
    <w:rsid w:val="00FA0050"/>
    <w:rsid w:val="00FA0D01"/>
    <w:rsid w:val="00FC7592"/>
    <w:rsid w:val="00FC770F"/>
    <w:rsid w:val="00FD2679"/>
    <w:rsid w:val="00FD40EB"/>
    <w:rsid w:val="00FD46B2"/>
    <w:rsid w:val="00FD63AC"/>
    <w:rsid w:val="00FE1CDB"/>
    <w:rsid w:val="00FE2B19"/>
    <w:rsid w:val="00FE3BE9"/>
    <w:rsid w:val="00FE6042"/>
    <w:rsid w:val="00FE6C55"/>
    <w:rsid w:val="00FF269E"/>
    <w:rsid w:val="00FF3251"/>
    <w:rsid w:val="00FF3578"/>
    <w:rsid w:val="04793982"/>
    <w:rsid w:val="0C6F4F00"/>
    <w:rsid w:val="0CBA42B6"/>
    <w:rsid w:val="10C92BDE"/>
    <w:rsid w:val="14BD6DE9"/>
    <w:rsid w:val="151B0610"/>
    <w:rsid w:val="15A51265"/>
    <w:rsid w:val="1602563E"/>
    <w:rsid w:val="1871150E"/>
    <w:rsid w:val="193B0DD2"/>
    <w:rsid w:val="1950525E"/>
    <w:rsid w:val="1A4B0BD2"/>
    <w:rsid w:val="1BB02F43"/>
    <w:rsid w:val="1DBC2256"/>
    <w:rsid w:val="21467DDF"/>
    <w:rsid w:val="2258468B"/>
    <w:rsid w:val="250C493B"/>
    <w:rsid w:val="272712C8"/>
    <w:rsid w:val="29CF7033"/>
    <w:rsid w:val="316E4BCF"/>
    <w:rsid w:val="390E2AE7"/>
    <w:rsid w:val="3D5C793D"/>
    <w:rsid w:val="3E0B15BA"/>
    <w:rsid w:val="3EC639AA"/>
    <w:rsid w:val="3FE24704"/>
    <w:rsid w:val="50A4483B"/>
    <w:rsid w:val="50D54E3C"/>
    <w:rsid w:val="532F052B"/>
    <w:rsid w:val="54A90501"/>
    <w:rsid w:val="552402CA"/>
    <w:rsid w:val="58343EAC"/>
    <w:rsid w:val="597E6C17"/>
    <w:rsid w:val="5B920EBC"/>
    <w:rsid w:val="5BFA6CAE"/>
    <w:rsid w:val="5D0D24D3"/>
    <w:rsid w:val="5D654113"/>
    <w:rsid w:val="5DB45A4D"/>
    <w:rsid w:val="5F5C54EB"/>
    <w:rsid w:val="60886E86"/>
    <w:rsid w:val="66AD6F06"/>
    <w:rsid w:val="67F355EF"/>
    <w:rsid w:val="68727AEB"/>
    <w:rsid w:val="68CB2404"/>
    <w:rsid w:val="6FE46FB1"/>
    <w:rsid w:val="766E0138"/>
    <w:rsid w:val="76DA4E14"/>
    <w:rsid w:val="7A0850E0"/>
    <w:rsid w:val="7C4A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0"/>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uiPriority w:val="1"/>
  </w:style>
  <w:style w:type="table" w:default="1" w:styleId="2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6">
    <w:name w:val="Document Map"/>
    <w:basedOn w:val="1"/>
    <w:link w:val="178"/>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6"/>
    <w:unhideWhenUsed/>
    <w:uiPriority w:val="99"/>
    <w:rPr>
      <w:kern w:val="0"/>
      <w:sz w:val="18"/>
      <w:szCs w:val="18"/>
    </w:rPr>
  </w:style>
  <w:style w:type="paragraph" w:styleId="12">
    <w:name w:val="footer"/>
    <w:basedOn w:val="1"/>
    <w:link w:val="34"/>
    <w:unhideWhenUsed/>
    <w:qFormat/>
    <w:uiPriority w:val="99"/>
    <w:pPr>
      <w:tabs>
        <w:tab w:val="center" w:pos="4153"/>
        <w:tab w:val="right" w:pos="8306"/>
      </w:tabs>
      <w:snapToGrid w:val="0"/>
      <w:jc w:val="left"/>
    </w:pPr>
    <w:rPr>
      <w:kern w:val="0"/>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8"/>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标题 3 Char"/>
    <w:uiPriority w:val="0"/>
    <w:rPr>
      <w:rFonts w:eastAsia="宋体"/>
      <w:b/>
      <w:bCs/>
      <w:kern w:val="2"/>
      <w:sz w:val="32"/>
      <w:szCs w:val="32"/>
      <w:lang w:val="en-US" w:eastAsia="zh-CN" w:bidi="ar-SA"/>
    </w:rPr>
  </w:style>
  <w:style w:type="character" w:customStyle="1" w:styleId="28">
    <w:name w:val="页眉 Char"/>
    <w:link w:val="13"/>
    <w:qFormat/>
    <w:uiPriority w:val="99"/>
    <w:rPr>
      <w:sz w:val="18"/>
      <w:szCs w:val="18"/>
    </w:rPr>
  </w:style>
  <w:style w:type="character" w:customStyle="1" w:styleId="29">
    <w:name w:val="showtext"/>
    <w:basedOn w:val="20"/>
    <w:qFormat/>
    <w:uiPriority w:val="0"/>
  </w:style>
  <w:style w:type="character" w:customStyle="1" w:styleId="30">
    <w:name w:val="标题 2 Char1"/>
    <w:link w:val="3"/>
    <w:qFormat/>
    <w:uiPriority w:val="9"/>
    <w:rPr>
      <w:rFonts w:ascii="Cambria" w:hAnsi="Cambria"/>
      <w:b/>
      <w:bCs/>
      <w:kern w:val="2"/>
      <w:sz w:val="28"/>
      <w:szCs w:val="32"/>
    </w:rPr>
  </w:style>
  <w:style w:type="character" w:customStyle="1" w:styleId="31">
    <w:name w:val="普通 (Web) Char Char2"/>
    <w:qFormat/>
    <w:locked/>
    <w:uiPriority w:val="0"/>
    <w:rPr>
      <w:rFonts w:ascii="宋体" w:hAnsi="宋体" w:eastAsia="宋体" w:cs="宋体"/>
      <w:sz w:val="24"/>
      <w:szCs w:val="24"/>
      <w:lang w:val="en-US" w:eastAsia="zh-CN" w:bidi="ar-SA"/>
    </w:rPr>
  </w:style>
  <w:style w:type="character" w:customStyle="1" w:styleId="32">
    <w:name w:val="apple-converted-space"/>
    <w:basedOn w:val="20"/>
    <w:qFormat/>
    <w:uiPriority w:val="0"/>
  </w:style>
  <w:style w:type="character" w:customStyle="1" w:styleId="33">
    <w:name w:val="标题 1 Char"/>
    <w:link w:val="2"/>
    <w:qFormat/>
    <w:uiPriority w:val="9"/>
    <w:rPr>
      <w:rFonts w:eastAsia="黑体"/>
      <w:b/>
      <w:bCs/>
      <w:kern w:val="44"/>
      <w:sz w:val="32"/>
      <w:szCs w:val="44"/>
    </w:rPr>
  </w:style>
  <w:style w:type="character" w:customStyle="1" w:styleId="34">
    <w:name w:val="页脚 Char"/>
    <w:link w:val="12"/>
    <w:qFormat/>
    <w:uiPriority w:val="99"/>
    <w:rPr>
      <w:sz w:val="18"/>
      <w:szCs w:val="18"/>
    </w:rPr>
  </w:style>
  <w:style w:type="character" w:customStyle="1" w:styleId="35">
    <w:name w:val="f21"/>
    <w:uiPriority w:val="0"/>
    <w:rPr>
      <w:rFonts w:hint="eastAsia" w:ascii="宋体" w:hAnsi="宋体" w:eastAsia="宋体"/>
      <w:sz w:val="21"/>
      <w:szCs w:val="21"/>
    </w:rPr>
  </w:style>
  <w:style w:type="character" w:customStyle="1" w:styleId="36">
    <w:name w:val="批注框文本 Char"/>
    <w:link w:val="11"/>
    <w:semiHidden/>
    <w:qFormat/>
    <w:uiPriority w:val="99"/>
    <w:rPr>
      <w:sz w:val="18"/>
      <w:szCs w:val="18"/>
    </w:rPr>
  </w:style>
  <w:style w:type="character" w:customStyle="1" w:styleId="37">
    <w:name w:val="style11"/>
    <w:qFormat/>
    <w:uiPriority w:val="0"/>
    <w:rPr>
      <w:color w:val="999999"/>
      <w:sz w:val="18"/>
      <w:szCs w:val="18"/>
    </w:rPr>
  </w:style>
  <w:style w:type="character" w:customStyle="1" w:styleId="38">
    <w:name w:val="副标题 Char"/>
    <w:link w:val="15"/>
    <w:qFormat/>
    <w:uiPriority w:val="11"/>
    <w:rPr>
      <w:rFonts w:ascii="Cambria" w:hAnsi="Cambria" w:cs="Times New Roman"/>
      <w:b/>
      <w:bCs/>
      <w:kern w:val="28"/>
      <w:sz w:val="32"/>
      <w:szCs w:val="32"/>
    </w:rPr>
  </w:style>
  <w:style w:type="character" w:customStyle="1" w:styleId="39">
    <w:name w:val="标题 2 Char"/>
    <w:qFormat/>
    <w:uiPriority w:val="0"/>
    <w:rPr>
      <w:rFonts w:ascii="Arial" w:hAnsi="Arial" w:eastAsia="黑体"/>
      <w:b/>
      <w:bCs/>
      <w:kern w:val="2"/>
      <w:sz w:val="32"/>
      <w:szCs w:val="32"/>
      <w:lang w:val="en-US" w:eastAsia="zh-CN" w:bidi="ar-SA"/>
    </w:rPr>
  </w:style>
  <w:style w:type="character" w:customStyle="1" w:styleId="40">
    <w:name w:val="style171"/>
    <w:uiPriority w:val="0"/>
    <w:rPr>
      <w:sz w:val="21"/>
      <w:szCs w:val="21"/>
    </w:rPr>
  </w:style>
  <w:style w:type="character" w:customStyle="1" w:styleId="41">
    <w:name w:val="普通 (Web) Char Char"/>
    <w:qFormat/>
    <w:locked/>
    <w:uiPriority w:val="0"/>
    <w:rPr>
      <w:rFonts w:ascii="宋体" w:hAnsi="宋体" w:eastAsia="宋体" w:cs="宋体"/>
      <w:sz w:val="24"/>
      <w:szCs w:val="24"/>
      <w:lang w:val="en-US" w:eastAsia="zh-CN" w:bidi="ar-SA"/>
    </w:rPr>
  </w:style>
  <w:style w:type="character" w:customStyle="1" w:styleId="42">
    <w:name w:val="style61"/>
    <w:qFormat/>
    <w:uiPriority w:val="0"/>
    <w:rPr>
      <w:b/>
      <w:bCs/>
      <w:color w:val="3399FF"/>
      <w:sz w:val="24"/>
      <w:szCs w:val="24"/>
    </w:rPr>
  </w:style>
  <w:style w:type="character" w:customStyle="1" w:styleId="43">
    <w:name w:val="f41"/>
    <w:uiPriority w:val="0"/>
    <w:rPr>
      <w:rFonts w:hint="eastAsia" w:ascii="宋体" w:hAnsi="宋体" w:eastAsia="宋体"/>
      <w:sz w:val="18"/>
      <w:szCs w:val="18"/>
    </w:rPr>
  </w:style>
  <w:style w:type="character" w:customStyle="1" w:styleId="44">
    <w:name w:val="标题 3 Char1"/>
    <w:qFormat/>
    <w:uiPriority w:val="0"/>
    <w:rPr>
      <w:rFonts w:eastAsia="宋体"/>
      <w:b/>
      <w:bCs/>
      <w:kern w:val="2"/>
      <w:sz w:val="32"/>
      <w:szCs w:val="32"/>
      <w:lang w:val="en-US" w:eastAsia="zh-CN" w:bidi="ar-SA"/>
    </w:rPr>
  </w:style>
  <w:style w:type="character" w:customStyle="1" w:styleId="45">
    <w:name w:val="style161"/>
    <w:qFormat/>
    <w:uiPriority w:val="0"/>
    <w:rPr>
      <w:sz w:val="24"/>
      <w:szCs w:val="24"/>
    </w:rPr>
  </w:style>
  <w:style w:type="character" w:customStyle="1" w:styleId="46">
    <w:name w:val="f31"/>
    <w:uiPriority w:val="0"/>
    <w:rPr>
      <w:rFonts w:hint="default" w:ascii="ˎ̥" w:hAnsi="ˎ̥"/>
      <w:color w:val="999999"/>
      <w:sz w:val="16"/>
      <w:szCs w:val="16"/>
    </w:rPr>
  </w:style>
  <w:style w:type="paragraph" w:customStyle="1" w:styleId="4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8">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49">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0">
    <w:name w:val="xl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2">
    <w:name w:val="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53">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4">
    <w:name w:val="f8"/>
    <w:basedOn w:val="1"/>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5">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7">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8">
    <w:name w:val="xl10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5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5">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7">
    <w:name w:val="xl109"/>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69">
    <w:name w:val="为440"/>
    <w:basedOn w:val="1"/>
    <w:qFormat/>
    <w:uiPriority w:val="0"/>
    <w:pPr>
      <w:adjustRightInd w:val="0"/>
      <w:spacing w:line="360" w:lineRule="atLeast"/>
      <w:jc w:val="left"/>
      <w:textAlignment w:val="baseline"/>
    </w:pPr>
    <w:rPr>
      <w:kern w:val="0"/>
      <w:sz w:val="24"/>
      <w:szCs w:val="20"/>
    </w:rPr>
  </w:style>
  <w:style w:type="paragraph" w:customStyle="1" w:styleId="70">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2">
    <w:name w:val="xl3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3">
    <w:name w:val="f2"/>
    <w:basedOn w:val="1"/>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4">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5">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79">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0">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1">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2">
    <w:name w:val="f7"/>
    <w:basedOn w:val="1"/>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3">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5">
    <w:name w:val="xl40"/>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
    <w:name w:val="font9"/>
    <w:basedOn w:val="1"/>
    <w:qFormat/>
    <w:uiPriority w:val="0"/>
    <w:pPr>
      <w:widowControl/>
      <w:spacing w:before="100" w:beforeAutospacing="1" w:after="100" w:afterAutospacing="1"/>
      <w:jc w:val="left"/>
    </w:pPr>
    <w:rPr>
      <w:kern w:val="0"/>
      <w:sz w:val="20"/>
      <w:szCs w:val="20"/>
    </w:rPr>
  </w:style>
  <w:style w:type="paragraph" w:customStyle="1" w:styleId="88">
    <w:name w:val="xl110"/>
    <w:basedOn w:val="1"/>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89">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0">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1">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3">
    <w:name w:val="stedit"/>
    <w:basedOn w:val="1"/>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4">
    <w:name w:val="unnamed1"/>
    <w:basedOn w:val="1"/>
    <w:uiPriority w:val="0"/>
    <w:pPr>
      <w:widowControl/>
      <w:spacing w:line="330" w:lineRule="atLeast"/>
      <w:jc w:val="left"/>
    </w:pPr>
    <w:rPr>
      <w:rFonts w:ascii="宋体" w:hAnsi="宋体" w:cs="宋体"/>
      <w:kern w:val="0"/>
      <w:szCs w:val="21"/>
    </w:rPr>
  </w:style>
  <w:style w:type="paragraph" w:customStyle="1" w:styleId="95">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6">
    <w:name w:val="xl3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7">
    <w:name w:val="xl3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99">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0">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1">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2">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4">
    <w:name w:val="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105">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6">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7">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8">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09">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1">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
    <w:name w:val="fgj02"/>
    <w:basedOn w:val="1"/>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3">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4">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5">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6">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2"/>
    <w:basedOn w:val="1"/>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0">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1">
    <w:name w:val="font10"/>
    <w:basedOn w:val="1"/>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2">
    <w:name w:val="font11"/>
    <w:basedOn w:val="1"/>
    <w:uiPriority w:val="0"/>
    <w:pPr>
      <w:widowControl/>
      <w:spacing w:before="100" w:beforeAutospacing="1" w:after="100" w:afterAutospacing="1"/>
      <w:jc w:val="left"/>
    </w:pPr>
    <w:rPr>
      <w:b/>
      <w:bCs/>
      <w:color w:val="FFFFFF"/>
      <w:kern w:val="0"/>
      <w:sz w:val="18"/>
      <w:szCs w:val="18"/>
    </w:rPr>
  </w:style>
  <w:style w:type="paragraph" w:customStyle="1" w:styleId="123">
    <w:name w:val="xl44"/>
    <w:basedOn w:val="1"/>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4">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7">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8">
    <w:name w:val="xl4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29">
    <w:name w:val="xl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1">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3">
    <w:name w:val="xl6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4">
    <w:name w:val="xl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5">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7">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39">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0">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1">
    <w:name w:val="xl69"/>
    <w:basedOn w:val="1"/>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2">
    <w:name w:val="xl70"/>
    <w:basedOn w:val="1"/>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3">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4">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5">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6">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7">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8">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0">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2">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3">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4">
    <w:name w:val="xl82"/>
    <w:basedOn w:val="1"/>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5">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6">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8">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4"/>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0">
    <w:name w:val="xl94"/>
    <w:basedOn w:val="1"/>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2">
    <w:name w:val="xl105"/>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3">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3"/>
    <w:basedOn w:val="1"/>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8">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107"/>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3">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6">
    <w:name w:val="z-窗体底端1"/>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177">
    <w:name w:val="Default"/>
    <w:qFormat/>
    <w:uiPriority w:val="0"/>
    <w:pPr>
      <w:widowControl w:val="0"/>
      <w:autoSpaceDE w:val="0"/>
      <w:autoSpaceDN w:val="0"/>
      <w:adjustRightInd w:val="0"/>
    </w:pPr>
    <w:rPr>
      <w:rFonts w:ascii="Microsoft YaHei" w:hAnsi="Microsoft YaHei" w:eastAsia="宋体" w:cs="Microsoft YaHei"/>
      <w:color w:val="000000"/>
      <w:sz w:val="24"/>
      <w:szCs w:val="24"/>
      <w:lang w:val="en-US" w:eastAsia="zh-CN" w:bidi="ar-SA"/>
    </w:rPr>
  </w:style>
  <w:style w:type="character" w:customStyle="1" w:styleId="178">
    <w:name w:val="文档结构图 Char"/>
    <w:basedOn w:val="20"/>
    <w:link w:val="6"/>
    <w:semiHidden/>
    <w:uiPriority w:val="99"/>
    <w:rPr>
      <w:rFonts w:ascii="宋体"/>
      <w:kern w:val="2"/>
      <w:sz w:val="18"/>
      <w:szCs w:val="18"/>
    </w:rPr>
  </w:style>
  <w:style w:type="paragraph" w:styleId="17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4.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792580101180438"/>
          <c:y val="0.142857210012928"/>
          <c:w val="0.858347386172007"/>
          <c:h val="0.591837324455242"/>
        </c:manualLayout>
      </c:layout>
      <c:lineChart>
        <c:grouping val="standard"/>
        <c:varyColors val="0"/>
        <c:ser>
          <c:idx val="8"/>
          <c:order val="0"/>
          <c:tx>
            <c:strRef>
              <c:f>'[最新溶剂油周报：山东地炼石脑油价格走势图4.13.xls]溶剂油周报-石脑油价格走势图表'!$D$178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'[最新溶剂油周报：山东地炼石脑油价格走势图4.8.xls]溶剂油周报-石脑油价格走势图表'!$A$179:$C$325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numCache>
            </c:numRef>
          </c:cat>
          <c:val>
            <c:numRef>
              <c:f>'[最新溶剂油周报：山东地炼石脑油价格走势图4.8.xls]溶剂油周报-石脑油价格走势图表'!$D$179:$D$325</c:f>
              <c:numCache>
                <c:formatCode>@</c:formatCode>
                <c:ptCount val="147"/>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numCache>
            </c:numRef>
          </c:val>
          <c:smooth val="0"/>
        </c:ser>
        <c:ser>
          <c:idx val="10"/>
          <c:order val="1"/>
          <c:tx>
            <c:strRef>
              <c:f>'[最新溶剂油周报：山东地炼石脑油价格走势图4.13.xls]溶剂油周报-石脑油价格走势图表'!$E$178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'[最新溶剂油周报：山东地炼石脑油价格走势图4.8.xls]溶剂油周报-石脑油价格走势图表'!$A$179:$C$325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numCache>
            </c:numRef>
          </c:cat>
          <c:val>
            <c:numRef>
              <c:f>'[最新溶剂油周报：山东地炼石脑油价格走势图4.8.xls]溶剂油周报-石脑油价格走势图表'!$E$179:$E$325</c:f>
              <c:numCache>
                <c:formatCode>@</c:formatCode>
                <c:ptCount val="147"/>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numCache>
            </c:numRef>
          </c:val>
          <c:smooth val="0"/>
        </c:ser>
        <c:ser>
          <c:idx val="1"/>
          <c:order val="2"/>
          <c:tx>
            <c:strRef>
              <c:f>'[最新溶剂油周报：山东地炼石脑油价格走势图4.13.xls]溶剂油周报-石脑油价格走势图表'!$F$178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'[最新溶剂油周报：山东地炼石脑油价格走势图4.8.xls]溶剂油周报-石脑油价格走势图表'!$A$179:$C$325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numCache>
            </c:numRef>
          </c:cat>
          <c:val>
            <c:numRef>
              <c:f>'[最新溶剂油周报：山东地炼石脑油价格走势图4.8.xls]溶剂油周报-石脑油价格走势图表'!$F$179:$F$325</c:f>
              <c:numCache>
                <c:formatCode>@</c:formatCode>
                <c:ptCount val="147"/>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numCache>
            </c:numRef>
          </c:val>
          <c:smooth val="0"/>
        </c:ser>
        <c:ser>
          <c:idx val="5"/>
          <c:order val="3"/>
          <c:tx>
            <c:strRef>
              <c:f>'[最新溶剂油周报：山东地炼石脑油价格走势图4.13.xls]溶剂油周报-石脑油价格走势图表'!$G$178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'[最新溶剂油周报：山东地炼石脑油价格走势图4.8.xls]溶剂油周报-石脑油价格走势图表'!$A$179:$C$325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numCache>
            </c:numRef>
          </c:cat>
          <c:val>
            <c:numRef>
              <c:f>'[最新溶剂油周报：山东地炼石脑油价格走势图4.8.xls]溶剂油周报-石脑油价格走势图表'!$G$179:$G$325</c:f>
              <c:numCache>
                <c:formatCode>@</c:formatCode>
                <c:ptCount val="147"/>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numCache>
            </c:numRef>
          </c:val>
          <c:smooth val="0"/>
        </c:ser>
        <c:ser>
          <c:idx val="6"/>
          <c:order val="4"/>
          <c:tx>
            <c:strRef>
              <c:f>'[最新溶剂油周报：山东地炼石脑油价格走势图4.13.xls]溶剂油周报-石脑油价格走势图表'!$H$178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'[最新溶剂油周报：山东地炼石脑油价格走势图4.8.xls]溶剂油周报-石脑油价格走势图表'!$A$179:$C$325</c:f>
              <c:numCache>
                <c:formatCode>yyyy/m/d</c:formatCode>
                <c:ptCount val="147"/>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numCache>
            </c:numRef>
          </c:cat>
          <c:val>
            <c:numRef>
              <c:f>'[最新溶剂油周报：山东地炼石脑油价格走势图4.8.xls]溶剂油周报-石脑油价格走势图表'!$H$179:$H$325</c:f>
              <c:numCache>
                <c:formatCode>General</c:formatCode>
                <c:ptCount val="147"/>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numCache>
            </c:numRef>
          </c:val>
          <c:smooth val="0"/>
        </c:ser>
        <c:dLbls>
          <c:showLegendKey val="0"/>
          <c:showVal val="0"/>
          <c:showCatName val="0"/>
          <c:showSerName val="0"/>
          <c:showPercent val="0"/>
          <c:showBubbleSize val="0"/>
        </c:dLbls>
        <c:marker val="0"/>
        <c:smooth val="0"/>
        <c:axId val="726408213"/>
        <c:axId val="91425963"/>
      </c:lineChart>
      <c:dateAx>
        <c:axId val="726408213"/>
        <c:scaling>
          <c:orientation val="minMax"/>
          <c:max val="43202"/>
          <c:min val="42837"/>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572680796"/>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91425963"/>
        <c:crossesAt val="2000"/>
        <c:auto val="1"/>
        <c:lblOffset val="100"/>
        <c:baseTimeUnit val="days"/>
        <c:majorUnit val="1"/>
        <c:majorTimeUnit val="months"/>
        <c:minorUnit val="1"/>
        <c:minorTimeUnit val="months"/>
      </c:dateAx>
      <c:valAx>
        <c:axId val="91425963"/>
        <c:scaling>
          <c:orientation val="minMax"/>
          <c:max val="70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726408213"/>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51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7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EF522-4F2A-46DF-8F19-079103E00A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44</Pages>
  <Words>3995</Words>
  <Characters>22778</Characters>
  <Lines>189</Lines>
  <Paragraphs>53</Paragraphs>
  <ScaleCrop>false</ScaleCrop>
  <LinksUpToDate>false</LinksUpToDate>
  <CharactersWithSpaces>26720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2018-03-02T07:41:00Z</dcterms:created>
  <dc:creator>AutoBVT</dc:creator>
  <cp:lastModifiedBy>梦蝶</cp:lastModifiedBy>
  <dcterms:modified xsi:type="dcterms:W3CDTF">2018-04-13T10:00:08Z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