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CE1838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C84838" w:rsidRDefault="00C84838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C84838" w:rsidRDefault="00C84838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16234863"/>
                  <w:r>
                    <w:rPr>
                      <w:rFonts w:hint="eastAsia"/>
                      <w:kern w:val="2"/>
                    </w:rPr>
                    <w:t>2018.6.</w:t>
                  </w:r>
                  <w:bookmarkEnd w:id="0"/>
                  <w:bookmarkEnd w:id="1"/>
                  <w:r>
                    <w:rPr>
                      <w:rFonts w:hint="eastAsia"/>
                      <w:kern w:val="2"/>
                    </w:rPr>
                    <w:t>8</w:t>
                  </w:r>
                  <w:bookmarkEnd w:id="2"/>
                </w:p>
                <w:p w:rsidR="00C84838" w:rsidRDefault="00C84838"/>
              </w:txbxContent>
            </v:textbox>
          </v:shape>
        </w:pict>
      </w:r>
      <w:r w:rsidR="00C52C3A">
        <w:br w:type="page"/>
      </w:r>
    </w:p>
    <w:p w:rsidR="009B1FDC" w:rsidRDefault="00CE183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CE1838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C84838" w:rsidRDefault="00C84838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617A12" w:rsidRDefault="00CE1838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CE1838">
                        <w:fldChar w:fldCharType="begin"/>
                      </w:r>
                      <w:r w:rsidR="00C84838">
                        <w:instrText xml:space="preserve"> TOC \o "1-3" \h \z \u </w:instrText>
                      </w:r>
                      <w:r w:rsidRPr="00CE1838">
                        <w:fldChar w:fldCharType="separate"/>
                      </w:r>
                      <w:hyperlink r:id="rId10" w:anchor="_Toc516234863" w:history="1">
                        <w:r w:rsidR="00617A12" w:rsidRPr="00C55AB9">
                          <w:rPr>
                            <w:rStyle w:val="a8"/>
                            <w:noProof/>
                          </w:rPr>
                          <w:t>2018.6.8</w:t>
                        </w:r>
                        <w:r w:rsidR="00617A12">
                          <w:rPr>
                            <w:noProof/>
                            <w:webHidden/>
                          </w:rPr>
                          <w:tab/>
                        </w:r>
                        <w:r w:rsidR="00617A12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617A12">
                          <w:rPr>
                            <w:noProof/>
                            <w:webHidden/>
                          </w:rPr>
                          <w:instrText xml:space="preserve"> PAGEREF _Toc516234863 \h </w:instrText>
                        </w:r>
                        <w:r w:rsidR="00617A12">
                          <w:rPr>
                            <w:noProof/>
                            <w:webHidden/>
                          </w:rPr>
                        </w:r>
                        <w:r w:rsidR="00617A12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617A12">
                          <w:rPr>
                            <w:noProof/>
                            <w:webHidden/>
                          </w:rPr>
                          <w:t>1</w:t>
                        </w:r>
                        <w:r w:rsidR="00617A12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617A12" w:rsidRDefault="00617A12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234864" w:history="1">
                        <w:r w:rsidRPr="00C55AB9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_Toc516234864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617A12" w:rsidRDefault="00617A1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234865" w:history="1">
                        <w:r w:rsidRPr="00C55AB9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Pr="00C55AB9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Pr="00C55AB9">
                          <w:rPr>
                            <w:rStyle w:val="a8"/>
                            <w:noProof/>
                          </w:rPr>
                          <w:t>PVC</w:t>
                        </w:r>
                        <w:r w:rsidRPr="00C55AB9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_Toc516234865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617A12" w:rsidRDefault="00617A1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234866" w:history="1">
                        <w:r w:rsidRPr="00C55AB9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Pr="00C55AB9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Pr="00C55AB9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C55AB9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_Toc516234866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617A12" w:rsidRDefault="00617A1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234867" w:history="1">
                        <w:r w:rsidRPr="00C55AB9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Pr="00C55AB9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Pr="00C55AB9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C55AB9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_Toc516234867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617A12" w:rsidRDefault="00617A12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234868" w:history="1">
                        <w:r w:rsidRPr="00C55AB9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_Toc516234868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617A12" w:rsidRDefault="00617A1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234869" w:history="1">
                        <w:r w:rsidRPr="00C55AB9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Pr="00C55AB9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_Toc516234869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617A12" w:rsidRDefault="00617A1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234870" w:history="1">
                        <w:r w:rsidRPr="00C55AB9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Pr="00C55AB9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_Toc516234870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617A12" w:rsidRDefault="00617A1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234871" w:history="1">
                        <w:r w:rsidRPr="00C55AB9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_Toc516234871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617A12" w:rsidRDefault="00617A1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234872" w:history="1">
                        <w:r w:rsidRPr="00C55AB9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_Toc516234872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617A12" w:rsidRDefault="00617A12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6234873" w:history="1">
                        <w:r w:rsidRPr="00C55AB9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Pr="00C55AB9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_Toc516234873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C84838" w:rsidRDefault="00CE1838">
                      <w:r>
                        <w:fldChar w:fldCharType="end"/>
                      </w:r>
                    </w:p>
                  </w:sdtContent>
                </w:sdt>
                <w:p w:rsidR="00C84838" w:rsidRDefault="00C84838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9B1FDC" w:rsidRDefault="009B1FD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18" w:name="_Toc295460175"/>
    </w:p>
    <w:p w:rsidR="00C84838" w:rsidRPr="00C84838" w:rsidRDefault="00C52C3A" w:rsidP="00C8483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市场概述：</w:t>
      </w:r>
      <w:r w:rsidR="00C84838" w:rsidRPr="00C84838">
        <w:rPr>
          <w:rFonts w:ascii="仿宋" w:eastAsia="仿宋" w:hAnsi="仿宋" w:cs="仿宋"/>
          <w:sz w:val="28"/>
          <w:szCs w:val="28"/>
        </w:rPr>
        <w:t>电石市场价格整体稳定，出厂价格零星调整。电石厂方面，宁夏地区存在环保“回头看”检查，电石生产暂未受影响，个别企业受环保检查影响小幅调整价格外，其余企业均持观望态度。目前内蒙地区石灰石供应仍显紧张，乌海及乌蒙地区存在限电及电石炉检修情况，导致电石产量有所下降，。下游企业方面，到货情况各地不一，山东地区受上合峰会影响，危化品运输管控，电石到货量下降，河南地区存在运输安全检查，电石到货略显紧张，装置方面，开工情况正常，河南个别企业下周计划检修。截至目前，各方关注重点仍集中在石灰石供应及环保检查情况，后市或将影响电石价格。现阶段供需双方均持观望态度，不排除根据自身情况灵活调整价格的可能。</w:t>
      </w:r>
    </w:p>
    <w:p w:rsidR="009B1FDC" w:rsidRDefault="00C52C3A" w:rsidP="00C84838">
      <w:pPr>
        <w:pStyle w:val="a7"/>
        <w:spacing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9B1FDC" w:rsidRDefault="009B1FDC" w:rsidP="000524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6474A1" w:rsidRDefault="00C52C3A" w:rsidP="000524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宁夏地区：</w:t>
      </w:r>
      <w:r w:rsidR="00C84838" w:rsidRPr="00C84838">
        <w:rPr>
          <w:rFonts w:ascii="仿宋" w:eastAsia="仿宋" w:hAnsi="仿宋" w:cs="仿宋" w:hint="eastAsia"/>
          <w:sz w:val="28"/>
          <w:szCs w:val="28"/>
        </w:rPr>
        <w:t>电石市场表现一般，虽然部分企业试探性调高出货报价，但下游行业对此反应平淡，接货依然按照生产所需为准。据了解，目前该地区电石生产企业整体开工负荷有限，外出货源量不多，但周边氯碱企业采购热情不高，价格维持僵持态势。</w:t>
      </w:r>
    </w:p>
    <w:p w:rsidR="006474A1" w:rsidRPr="000524A0" w:rsidRDefault="00C52C3A" w:rsidP="000524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陕西地区：</w:t>
      </w:r>
      <w:r w:rsidR="00C84838" w:rsidRPr="00C84838">
        <w:rPr>
          <w:rFonts w:ascii="仿宋" w:eastAsia="仿宋" w:hAnsi="仿宋" w:cs="仿宋" w:hint="eastAsia"/>
          <w:sz w:val="28"/>
          <w:szCs w:val="28"/>
        </w:rPr>
        <w:t>电石市场延续震荡整理走势。据了解，目前，省内下游PVC企业开工负荷维持高位，但鉴于外埠到货较为充足，且周边地区行情回暖受阻，因此当地电石厂家观望情绪浓厚。</w:t>
      </w:r>
    </w:p>
    <w:p w:rsidR="00DF6493" w:rsidRPr="00477AAC" w:rsidRDefault="00C52C3A" w:rsidP="000524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乌盟地区：</w:t>
      </w:r>
      <w:r w:rsidR="00C84838" w:rsidRPr="00C84838">
        <w:rPr>
          <w:rFonts w:ascii="仿宋" w:eastAsia="仿宋" w:hAnsi="仿宋" w:cs="仿宋" w:hint="eastAsia"/>
          <w:sz w:val="28"/>
          <w:szCs w:val="28"/>
        </w:rPr>
        <w:t>电石市场出货顺畅，成交价位持稳。但据业内人士称，目前该地区电石企业开工负荷暂稳。虽有部分氯碱配套装置外销，电石出货量对行情暂未造成较大影响，电石货源出货基本保持顺畅。</w:t>
      </w:r>
    </w:p>
    <w:p w:rsidR="00C84838" w:rsidRPr="00C84838" w:rsidRDefault="00C52C3A" w:rsidP="00DF649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河北地区</w:t>
      </w:r>
      <w:r w:rsidR="006474A1">
        <w:rPr>
          <w:rFonts w:ascii="仿宋" w:eastAsia="仿宋" w:hAnsi="仿宋" w:cs="仿宋" w:hint="eastAsia"/>
          <w:sz w:val="28"/>
          <w:szCs w:val="28"/>
        </w:rPr>
        <w:t>:</w:t>
      </w:r>
      <w:r w:rsidR="00DF6493" w:rsidRPr="00477AAC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C84838" w:rsidRPr="00C84838">
        <w:rPr>
          <w:rFonts w:ascii="仿宋" w:eastAsia="仿宋" w:hAnsi="仿宋" w:cs="仿宋" w:hint="eastAsia"/>
          <w:sz w:val="28"/>
          <w:szCs w:val="28"/>
        </w:rPr>
        <w:t>电石市场走势一般，交投重心未见明显改观。据分析，区内氯碱企业开工负荷较高，对电石的需求量稳定，但由于自身产品行情不佳，对原料采购价格的压力不减，市场中到货逐渐稳定，电石厂家方面操作以出货为主。</w:t>
      </w:r>
    </w:p>
    <w:p w:rsidR="00C84838" w:rsidRPr="00C84838" w:rsidRDefault="00C52C3A" w:rsidP="00C8483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山东地区</w:t>
      </w:r>
      <w:r w:rsidR="00C84838" w:rsidRPr="00C84838">
        <w:rPr>
          <w:rFonts w:ascii="仿宋" w:eastAsia="仿宋" w:hAnsi="仿宋" w:cs="仿宋" w:hint="eastAsia"/>
          <w:sz w:val="28"/>
          <w:szCs w:val="28"/>
        </w:rPr>
        <w:t>电石市场走势平淡，主流成交价格维持在前期水平。据分析，随着到货量的稳定，氯碱企业开始储备库存，而电石法PVC价格小幅走低，其对电石采购价格的压力不断增大，供需双方僵持态势已成。</w:t>
      </w:r>
    </w:p>
    <w:p w:rsidR="009B1FDC" w:rsidRDefault="00C52C3A" w:rsidP="00C84838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  <w:bookmarkStart w:id="19" w:name="_Toc485904756"/>
      <w:bookmarkStart w:id="20" w:name="_Toc485904789"/>
      <w:bookmarkStart w:id="21" w:name="_Toc485904812"/>
      <w:bookmarkStart w:id="22" w:name="_Toc485914306"/>
      <w:bookmarkStart w:id="23" w:name="_Toc489608583"/>
    </w:p>
    <w:p w:rsidR="00C84838" w:rsidRDefault="00C84838" w:rsidP="003D7C3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C84838" w:rsidRPr="00C84838" w:rsidRDefault="00C52C3A" w:rsidP="006474A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1、</w:t>
      </w:r>
      <w:r w:rsidR="007F2C09" w:rsidRPr="007F2C09">
        <w:rPr>
          <w:rFonts w:ascii="仿宋" w:eastAsia="仿宋" w:hAnsi="仿宋" w:cs="仿宋"/>
          <w:sz w:val="28"/>
          <w:szCs w:val="28"/>
        </w:rPr>
        <w:t>需求方面：</w:t>
      </w:r>
      <w:r w:rsidR="00C84838" w:rsidRPr="00C84838">
        <w:rPr>
          <w:rFonts w:ascii="仿宋" w:eastAsia="仿宋" w:hAnsi="仿宋" w:cs="仿宋"/>
          <w:sz w:val="28"/>
          <w:szCs w:val="28"/>
        </w:rPr>
        <w:t>下游PVC企业装置开工负荷维持在高位，采购积极，到货情况不一，紧张与富余并存。</w:t>
      </w:r>
    </w:p>
    <w:p w:rsidR="00C84838" w:rsidRPr="00C84838" w:rsidRDefault="00C52C3A" w:rsidP="00C8483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2.</w:t>
      </w:r>
      <w:r w:rsidR="007F2C09" w:rsidRPr="003D7C3C">
        <w:rPr>
          <w:rFonts w:ascii="仿宋" w:eastAsia="仿宋" w:hAnsi="仿宋" w:cs="仿宋"/>
          <w:sz w:val="28"/>
          <w:szCs w:val="28"/>
        </w:rPr>
        <w:t xml:space="preserve"> </w:t>
      </w:r>
      <w:r w:rsidR="007F2C09" w:rsidRPr="007F2C09">
        <w:rPr>
          <w:rFonts w:ascii="仿宋" w:eastAsia="仿宋" w:hAnsi="仿宋" w:cs="仿宋"/>
          <w:sz w:val="28"/>
          <w:szCs w:val="28"/>
        </w:rPr>
        <w:t>供应方面：</w:t>
      </w:r>
      <w:r w:rsidR="00C84838" w:rsidRPr="00C84838">
        <w:rPr>
          <w:rFonts w:ascii="仿宋" w:eastAsia="仿宋" w:hAnsi="仿宋" w:cs="仿宋"/>
          <w:sz w:val="28"/>
          <w:szCs w:val="28"/>
        </w:rPr>
        <w:t>内蒙、宁夏多地存在环保检查，多地亦存在危化品运输管控，电石厂出货情况尚可，电石库存多维持在低位。</w:t>
      </w:r>
    </w:p>
    <w:p w:rsidR="00DF6493" w:rsidRPr="00C84838" w:rsidRDefault="00C52C3A" w:rsidP="00C8483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>
        <w:rPr>
          <w:rFonts w:ascii="仿宋" w:eastAsia="仿宋" w:hAnsi="仿宋" w:cs="仿宋"/>
          <w:sz w:val="28"/>
          <w:szCs w:val="28"/>
        </w:rPr>
        <w:t>预测</w:t>
      </w:r>
      <w:r w:rsidR="006474A1">
        <w:rPr>
          <w:rFonts w:ascii="仿宋" w:eastAsia="仿宋" w:hAnsi="仿宋" w:cs="仿宋" w:hint="eastAsia"/>
          <w:sz w:val="28"/>
          <w:szCs w:val="28"/>
        </w:rPr>
        <w:t>:</w:t>
      </w:r>
      <w:r w:rsidR="006474A1" w:rsidRPr="000524A0">
        <w:rPr>
          <w:rFonts w:ascii="仿宋" w:eastAsia="仿宋" w:hAnsi="仿宋" w:cs="仿宋"/>
          <w:sz w:val="28"/>
          <w:szCs w:val="28"/>
        </w:rPr>
        <w:t xml:space="preserve"> </w:t>
      </w:r>
      <w:r w:rsidR="00C84838" w:rsidRPr="00C84838">
        <w:rPr>
          <w:rFonts w:ascii="仿宋" w:eastAsia="仿宋" w:hAnsi="仿宋" w:cs="仿宋"/>
          <w:sz w:val="28"/>
          <w:szCs w:val="28"/>
        </w:rPr>
        <w:t>现阶段，下游PVC市场价格小涨，企业对电石采购压价心理未改，电石厂方面，内蒙地区石灰石供应仍处于低位，乌海及乌盟地区存在电石炉检修及开工不稳的情况，导致电石产量下降，上调出厂价格的意愿强烈。目前各方均持观望态度，供需激烈博弈。预计价格上调幅度在0-50元/吨左右。</w:t>
      </w:r>
      <w:r w:rsidR="00DF6493" w:rsidRPr="00C84838">
        <w:rPr>
          <w:rFonts w:ascii="仿宋" w:eastAsia="仿宋" w:hAnsi="仿宋" w:cs="仿宋"/>
          <w:sz w:val="28"/>
          <w:szCs w:val="28"/>
        </w:rPr>
        <w:t> </w:t>
      </w:r>
    </w:p>
    <w:p w:rsidR="006474A1" w:rsidRPr="000524A0" w:rsidRDefault="006474A1" w:rsidP="00DF649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9B1FDC" w:rsidRDefault="00C52C3A" w:rsidP="006474A1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24" w:name="_Toc295460176"/>
      <w:bookmarkEnd w:id="18"/>
      <w:bookmarkEnd w:id="19"/>
      <w:bookmarkEnd w:id="20"/>
      <w:bookmarkEnd w:id="21"/>
      <w:bookmarkEnd w:id="22"/>
      <w:bookmarkEnd w:id="23"/>
    </w:p>
    <w:p w:rsidR="009B1FDC" w:rsidRDefault="009B1FDC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</w:p>
    <w:p w:rsidR="00C84838" w:rsidRDefault="00C52C3A" w:rsidP="00C8483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sz w:val="28"/>
          <w:szCs w:val="28"/>
        </w:rPr>
        <w:t>市场</w:t>
      </w:r>
      <w:r w:rsidRPr="00C93D64">
        <w:rPr>
          <w:rFonts w:ascii="仿宋" w:eastAsia="仿宋" w:hAnsi="仿宋" w:cs="仿宋" w:hint="eastAsia"/>
          <w:sz w:val="28"/>
          <w:szCs w:val="28"/>
        </w:rPr>
        <w:t>概述：</w:t>
      </w:r>
      <w:r w:rsidR="00C84838" w:rsidRPr="00C84838">
        <w:rPr>
          <w:rFonts w:ascii="仿宋" w:eastAsia="仿宋" w:hAnsi="仿宋" w:cs="仿宋"/>
          <w:sz w:val="28"/>
          <w:szCs w:val="28"/>
        </w:rPr>
        <w:t>PVC市场价格小幅上调，受期价持续上涨的拉动，现货市场参与者的心态转变，与此同时，由于受到电石原料石灰石供应紧张的影响，局部地区PVC企业的电石到货水平不均，PVC装置整体开工负荷灵活调整。本周华东、华南、华中及西南等地区PVC市场成交重心上移50-80元/吨，上游PVC</w:t>
      </w:r>
      <w:r w:rsidR="00C84838">
        <w:rPr>
          <w:rFonts w:ascii="仿宋" w:eastAsia="仿宋" w:hAnsi="仿宋" w:cs="仿宋"/>
          <w:sz w:val="28"/>
          <w:szCs w:val="28"/>
        </w:rPr>
        <w:t>厂的库存水平适中，本周下游采购方的刚需尚存，原料库存补</w:t>
      </w:r>
      <w:r w:rsidR="00C84838">
        <w:rPr>
          <w:rFonts w:ascii="仿宋" w:eastAsia="仿宋" w:hAnsi="仿宋" w:cs="仿宋" w:hint="eastAsia"/>
          <w:sz w:val="28"/>
          <w:szCs w:val="28"/>
        </w:rPr>
        <w:t>.</w:t>
      </w:r>
    </w:p>
    <w:p w:rsidR="00C84838" w:rsidRDefault="00C84838" w:rsidP="00C8483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C84838">
        <w:rPr>
          <w:rFonts w:ascii="仿宋" w:eastAsia="仿宋" w:hAnsi="仿宋" w:cs="仿宋"/>
          <w:sz w:val="28"/>
          <w:szCs w:val="28"/>
        </w:rPr>
        <w:t>检修方面，航锦科技电石法PVC装置本周复工，陕西金泰化工电石法PVC装置计划本周恢复，山东信发电石法PVC装置减产至30%，济源方升PVC装置检修中。后期新疆中泰160万吨PVC装置计划轮流检</w:t>
      </w:r>
      <w:r w:rsidRPr="00C84838">
        <w:rPr>
          <w:rFonts w:ascii="仿宋" w:eastAsia="仿宋" w:hAnsi="仿宋" w:cs="仿宋"/>
          <w:sz w:val="28"/>
          <w:szCs w:val="28"/>
        </w:rPr>
        <w:lastRenderedPageBreak/>
        <w:t>修，新疆天业20万吨、天伟10万吨PVC装置计划6月检修，吉兰泰40万吨PVC装置计划6月22日起检修一周左右，河南昊华宇航计划6月9日检修一周，内蒙古君正计划6月20日起检修至本月末，鲁泰化学PVC下旬有短暂检修计划，原新疆宜化30万吨电石法PVC装置检修计划7月复工。</w:t>
      </w:r>
    </w:p>
    <w:p w:rsidR="00C84838" w:rsidRPr="00C84838" w:rsidRDefault="00C84838" w:rsidP="00C8483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C84838">
        <w:rPr>
          <w:rFonts w:ascii="仿宋" w:eastAsia="仿宋" w:hAnsi="仿宋" w:cs="仿宋"/>
          <w:sz w:val="28"/>
          <w:szCs w:val="28"/>
        </w:rPr>
        <w:t>原料影响方面，本周了解电石市场整体维稳。内蒙古地区石灰石企业部分仍在停工状态，电石企业的原料库存在不断被消化，电石企业的心态有转变。但同时考虑到受青岛上合组织峰会的影响，天津、山东及河北局部地区的危化品运输受到管制，各地电石到货量不均，市场观望情绪浓。</w:t>
      </w:r>
    </w:p>
    <w:p w:rsidR="009B1FDC" w:rsidRDefault="007F2C09" w:rsidP="00C84838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市场价格</w:t>
      </w:r>
      <w:r w:rsidR="00C52C3A">
        <w:rPr>
          <w:rFonts w:hint="eastAsia"/>
          <w:b/>
          <w:bCs/>
          <w:sz w:val="28"/>
          <w:szCs w:val="28"/>
        </w:rPr>
        <w:t>分述：</w:t>
      </w:r>
    </w:p>
    <w:p w:rsidR="00C84838" w:rsidRDefault="00C84838" w:rsidP="00C84838">
      <w:pPr>
        <w:widowControl/>
        <w:spacing w:line="400" w:lineRule="exact"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C84838">
        <w:rPr>
          <w:rFonts w:ascii="仿宋" w:eastAsia="仿宋" w:hAnsi="仿宋" w:cs="仿宋"/>
          <w:kern w:val="0"/>
          <w:sz w:val="28"/>
          <w:szCs w:val="28"/>
        </w:rPr>
        <w:t>电石法PVC现货价格数据，6月7日电石料SG-5平均价格在6756元/吨，较上周五均价上涨38元/吨，涨幅0.57%。乙烯料1000型主流7073元/吨，较上周上调28元/吨，涨幅0.64%。</w:t>
      </w:r>
    </w:p>
    <w:p w:rsidR="00C84838" w:rsidRDefault="00C84838" w:rsidP="00C84838">
      <w:pPr>
        <w:widowControl/>
        <w:spacing w:line="400" w:lineRule="exact"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C84838">
        <w:rPr>
          <w:rFonts w:ascii="仿宋" w:eastAsia="仿宋" w:hAnsi="仿宋" w:cs="仿宋"/>
          <w:kern w:val="0"/>
          <w:sz w:val="28"/>
          <w:szCs w:val="28"/>
        </w:rPr>
        <w:t>电石法5型料上游参考报价：目前山东地区出厂承兑价格主流在6750-6820元/吨，内蒙地区主流承兑出厂价格在6650-6700元/吨，河南企业主流承兑出厂6700-6780元/吨；山西地区主流承兑出厂6630-6650元/吨；河北地区主流承兑出厂6750-6830元/吨。</w:t>
      </w:r>
    </w:p>
    <w:p w:rsidR="00C84838" w:rsidRPr="00C84838" w:rsidRDefault="00C84838" w:rsidP="00C84838">
      <w:pPr>
        <w:widowControl/>
        <w:spacing w:line="400" w:lineRule="exact"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C84838">
        <w:rPr>
          <w:rFonts w:ascii="仿宋" w:eastAsia="仿宋" w:hAnsi="仿宋" w:cs="仿宋"/>
          <w:kern w:val="0"/>
          <w:sz w:val="28"/>
          <w:szCs w:val="28"/>
        </w:rPr>
        <w:t>市场价格方面：华东地区自提价格集中在6850-7030元/吨，华南地区自提价格集中在6950-7040元/吨，华北地区自提价格集中在6780-6880元/吨，东北地区自提价格主流为6800-6880元/吨。华中地区自提价格集中在6750-6850元/吨，西北地区自提价格集中在6650-6680元/吨，西南地区区内送到价格集中在6780-6850元/吨。</w:t>
      </w:r>
    </w:p>
    <w:p w:rsidR="009B1FDC" w:rsidRDefault="004F6A44" w:rsidP="004F6A44">
      <w:pPr>
        <w:widowControl/>
        <w:spacing w:line="400" w:lineRule="exact"/>
        <w:jc w:val="left"/>
        <w:rPr>
          <w:rFonts w:ascii="宋体" w:hAnsi="宋体" w:cs="宋体"/>
          <w:b/>
          <w:bCs/>
          <w:color w:val="FF0000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后市预测</w:t>
      </w:r>
      <w:r w:rsidR="00C52C3A">
        <w:rPr>
          <w:rFonts w:ascii="宋体" w:hAnsi="宋体" w:cs="宋体" w:hint="eastAsia"/>
          <w:b/>
          <w:bCs/>
          <w:kern w:val="0"/>
          <w:sz w:val="28"/>
          <w:szCs w:val="28"/>
        </w:rPr>
        <w:t>：</w:t>
      </w:r>
    </w:p>
    <w:p w:rsidR="00C84838" w:rsidRPr="00C84838" w:rsidRDefault="00C84838" w:rsidP="00C8483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25" w:name="_Toc488391995"/>
      <w:bookmarkStart w:id="26" w:name="_Toc488997537"/>
      <w:bookmarkStart w:id="27" w:name="_Toc485904813"/>
      <w:bookmarkStart w:id="28" w:name="_Toc487798662"/>
      <w:bookmarkStart w:id="29" w:name="_Toc485914307"/>
      <w:bookmarkStart w:id="30" w:name="_Toc489608584"/>
      <w:bookmarkStart w:id="31" w:name="_Toc485904757"/>
      <w:bookmarkStart w:id="32" w:name="_Toc485904790"/>
      <w:r w:rsidRPr="00C84838">
        <w:rPr>
          <w:rFonts w:ascii="仿宋" w:eastAsia="仿宋" w:hAnsi="仿宋" w:cs="仿宋"/>
          <w:sz w:val="28"/>
          <w:szCs w:val="28"/>
        </w:rPr>
        <w:t>青岛上合组织峰会即将召开，山东地区上游PVC厂的装置提前进入检修，与此同时，部分下游制品企业亦有停产情况，总体上看，国内聚氯乙烯的供需关系平衡，而6月中下旬又有主力厂家安排停车检修，业内谨慎乐观心态明显，预计下周PVC现货市场调整幅度多在30-50元/吨。</w:t>
      </w:r>
    </w:p>
    <w:p w:rsidR="009B1FDC" w:rsidRPr="00D54B3B" w:rsidRDefault="00C52C3A" w:rsidP="00C84838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D54B3B">
        <w:rPr>
          <w:rFonts w:hint="eastAsia"/>
          <w:b/>
          <w:sz w:val="30"/>
          <w:szCs w:val="30"/>
        </w:rPr>
        <w:t>2.1 本周行情回顾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9B1FDC" w:rsidRDefault="009B1FD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3713D1" w:rsidRPr="003713D1" w:rsidRDefault="00C52C3A" w:rsidP="003713D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524A0">
        <w:rPr>
          <w:rFonts w:ascii="仿宋" w:eastAsia="仿宋" w:hAnsi="仿宋" w:cs="仿宋" w:hint="eastAsia"/>
          <w:sz w:val="28"/>
          <w:szCs w:val="28"/>
        </w:rPr>
        <w:t>本周观察，</w:t>
      </w:r>
      <w:bookmarkStart w:id="33" w:name="_Toc489608585"/>
      <w:bookmarkStart w:id="34" w:name="_Toc488997538"/>
      <w:bookmarkStart w:id="35" w:name="_Toc488391996"/>
      <w:bookmarkStart w:id="36" w:name="_Toc487798663"/>
      <w:bookmarkStart w:id="37" w:name="_Toc247424466"/>
      <w:bookmarkStart w:id="38" w:name="_Toc485914308"/>
      <w:bookmarkStart w:id="39" w:name="_Toc295460177"/>
      <w:bookmarkStart w:id="40" w:name="_Toc511375858"/>
      <w:bookmarkStart w:id="41" w:name="_Toc511392888"/>
      <w:bookmarkStart w:id="42" w:name="_Toc511398456"/>
      <w:bookmarkStart w:id="43" w:name="_Toc513207802"/>
      <w:r w:rsidR="003713D1" w:rsidRPr="003713D1">
        <w:rPr>
          <w:rFonts w:ascii="仿宋" w:eastAsia="仿宋" w:hAnsi="仿宋" w:cs="仿宋" w:hint="eastAsia"/>
          <w:sz w:val="28"/>
          <w:szCs w:val="28"/>
        </w:rPr>
        <w:t>国内PVC市场交投气氛活跃，厂家库存可控，在期货行情一路飙涨的刺激下，现货成交重心震荡上行。6月份，企业的检修仍较为集中，市场货源供应面未见明显增大，下游在行情一路走高的情况下提货积极性有所恢复。期货方面，本周开始，主力合约价格震荡上行，周四触及7000线，周五午盘更是一举冲破7100线，对现货市场形成有利支撑。</w:t>
      </w:r>
    </w:p>
    <w:p w:rsidR="009B1FDC" w:rsidRDefault="00C52C3A" w:rsidP="003713D1">
      <w:pPr>
        <w:pStyle w:val="a7"/>
        <w:spacing w:line="400" w:lineRule="exact"/>
        <w:ind w:firstLineChars="200" w:firstLine="600"/>
        <w:rPr>
          <w:rFonts w:asciiTheme="majorEastAsia" w:eastAsiaTheme="majorEastAsia" w:hAnsiTheme="majorEastAsia"/>
          <w:sz w:val="28"/>
          <w:szCs w:val="28"/>
        </w:rPr>
      </w:pPr>
      <w:r>
        <w:rPr>
          <w:rFonts w:hint="eastAsia"/>
          <w:sz w:val="30"/>
          <w:szCs w:val="30"/>
        </w:rPr>
        <w:t>2.2大商所PVC期货价格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9B1FDC" w:rsidRDefault="00F92986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F92986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5400040" cy="3241899"/>
            <wp:effectExtent l="19050" t="0" r="10160" b="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CE1838">
      <w:pPr>
        <w:widowControl/>
        <w:spacing w:beforeAutospacing="1" w:after="375" w:line="420" w:lineRule="atLeast"/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47.6pt;margin-top:14.25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>
              <w:txbxContent>
                <w:p w:rsidR="00C84838" w:rsidRDefault="00C84838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44" w:name="_Toc483664856"/>
            <w:bookmarkStart w:id="45" w:name="_Toc489608586"/>
            <w:bookmarkStart w:id="46" w:name="_Toc485914309"/>
            <w:bookmarkStart w:id="47" w:name="_Toc487798664"/>
            <w:bookmarkStart w:id="48" w:name="_Toc488391997"/>
            <w:bookmarkStart w:id="49" w:name="_Toc488997539"/>
            <w:bookmarkStart w:id="50" w:name="_Toc295460178"/>
            <w:bookmarkStart w:id="51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F92986" w:rsidTr="00C84838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6870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6910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6840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6865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6875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213406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256992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-11306</w:t>
            </w:r>
          </w:p>
        </w:tc>
      </w:tr>
      <w:tr w:rsidR="00F92986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6870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6960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6860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6955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6910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305082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299872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42880</w:t>
            </w:r>
          </w:p>
        </w:tc>
      </w:tr>
      <w:tr w:rsidR="00F92986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6935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6990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6890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6905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6930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252036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298014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-1858</w:t>
            </w:r>
          </w:p>
        </w:tc>
      </w:tr>
      <w:tr w:rsidR="00F92986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6920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7010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6915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7000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6960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229700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311112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13098</w:t>
            </w:r>
          </w:p>
        </w:tc>
      </w:tr>
      <w:tr w:rsidR="00F92986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7020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7130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6960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7125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7055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428596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337864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986" w:rsidRPr="00F92986" w:rsidRDefault="00F92986" w:rsidP="00F92986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F92986">
              <w:rPr>
                <w:rFonts w:asciiTheme="majorEastAsia" w:eastAsiaTheme="majorEastAsia" w:hAnsiTheme="majorEastAsia" w:hint="eastAsia"/>
                <w:sz w:val="20"/>
                <w:szCs w:val="20"/>
              </w:rPr>
              <w:t>26752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52" w:name="_Toc511375859"/>
      <w:bookmarkStart w:id="53" w:name="_Toc511392889"/>
      <w:bookmarkStart w:id="54" w:name="_Toc511398457"/>
      <w:bookmarkStart w:id="55" w:name="_Toc513207803"/>
      <w:bookmarkStart w:id="56" w:name="_Toc516234865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9B1FDC" w:rsidRPr="006D4195" w:rsidRDefault="00834D61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</w:p>
    <w:p w:rsidR="009B1FDC" w:rsidRDefault="003713D1">
      <w:pPr>
        <w:rPr>
          <w:szCs w:val="21"/>
        </w:rPr>
      </w:pPr>
      <w:r w:rsidRPr="003713D1">
        <w:rPr>
          <w:noProof/>
          <w:szCs w:val="21"/>
        </w:rPr>
        <w:drawing>
          <wp:inline distT="0" distB="0" distL="0" distR="0">
            <wp:extent cx="5400040" cy="3529401"/>
            <wp:effectExtent l="19050" t="0" r="10160" b="0"/>
            <wp:docPr id="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CE1838">
      <w:pPr>
        <w:rPr>
          <w:szCs w:val="21"/>
        </w:rPr>
      </w:pPr>
      <w:r w:rsidRPr="00CE1838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C84838" w:rsidRDefault="00C84838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C84838" w:rsidRDefault="00C84838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57" w:name="_Toc483664857"/>
            <w:bookmarkStart w:id="58" w:name="_Toc489608587"/>
            <w:bookmarkStart w:id="59" w:name="_Toc485914310"/>
            <w:bookmarkStart w:id="60" w:name="_Toc247424468"/>
            <w:bookmarkStart w:id="61" w:name="_Toc295460179"/>
            <w:bookmarkStart w:id="62" w:name="_Toc488997540"/>
            <w:bookmarkStart w:id="63" w:name="_Toc488391998"/>
            <w:bookmarkStart w:id="64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3713D1" w:rsidRPr="00DA1239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6830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6775</w:t>
            </w:r>
          </w:p>
        </w:tc>
      </w:tr>
      <w:tr w:rsidR="003713D1" w:rsidRPr="00DA1239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6880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</w:tr>
      <w:tr w:rsidR="003713D1" w:rsidRPr="00DA1239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6930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</w:tr>
      <w:tr w:rsidR="003713D1" w:rsidRPr="00DA1239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6930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</w:tr>
      <w:tr w:rsidR="003713D1" w:rsidRPr="00DA1239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6930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 w:rsidP="003713D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13D1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65" w:name="_Toc511375860"/>
      <w:bookmarkStart w:id="66" w:name="_Toc511392890"/>
      <w:bookmarkStart w:id="67" w:name="_Toc511398458"/>
      <w:bookmarkStart w:id="68" w:name="_Toc513207804"/>
      <w:bookmarkStart w:id="69" w:name="_Toc516234866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3713D1">
      <w:r w:rsidRPr="003713D1">
        <w:rPr>
          <w:noProof/>
        </w:rPr>
        <w:drawing>
          <wp:inline distT="0" distB="0" distL="0" distR="0">
            <wp:extent cx="5400040" cy="3082523"/>
            <wp:effectExtent l="19050" t="0" r="10160" b="3577"/>
            <wp:docPr id="5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CE1838">
      <w:pPr>
        <w:rPr>
          <w:rFonts w:ascii="宋体"/>
          <w:b/>
        </w:rPr>
      </w:pPr>
      <w:r w:rsidRPr="00CE1838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70" w:name="_Toc247424469"/>
      <w:bookmarkStart w:id="71" w:name="_Toc295460180"/>
      <w:bookmarkStart w:id="72" w:name="_Toc488997541"/>
      <w:bookmarkStart w:id="73" w:name="_Toc488391999"/>
      <w:bookmarkStart w:id="74" w:name="_Toc483664858"/>
      <w:bookmarkStart w:id="75" w:name="_Toc489608588"/>
      <w:bookmarkStart w:id="76" w:name="_Toc487798666"/>
      <w:bookmarkStart w:id="77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3713D1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6900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6950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6200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6220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6960</w:t>
            </w:r>
          </w:p>
        </w:tc>
      </w:tr>
      <w:tr w:rsidR="003713D1">
        <w:trPr>
          <w:trHeight w:val="90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6980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6280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6290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7000</w:t>
            </w:r>
          </w:p>
        </w:tc>
      </w:tr>
      <w:tr w:rsidR="003713D1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6980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6280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6290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7000</w:t>
            </w:r>
          </w:p>
        </w:tc>
      </w:tr>
      <w:tr w:rsidR="003713D1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6980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6350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6290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7000</w:t>
            </w:r>
          </w:p>
        </w:tc>
      </w:tr>
      <w:tr w:rsidR="003713D1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18/06/08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6980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6350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6290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13D1" w:rsidRPr="003713D1" w:rsidRDefault="003713D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713D1">
              <w:rPr>
                <w:rFonts w:asciiTheme="majorEastAsia" w:eastAsiaTheme="majorEastAsia" w:hAnsiTheme="majorEastAsia" w:hint="eastAsia"/>
                <w:sz w:val="20"/>
                <w:szCs w:val="20"/>
              </w:rPr>
              <w:t>7000</w:t>
            </w:r>
          </w:p>
        </w:tc>
      </w:tr>
    </w:tbl>
    <w:p w:rsidR="009B1FDC" w:rsidRPr="003713D1" w:rsidRDefault="009B1FDC">
      <w:pPr>
        <w:rPr>
          <w:rFonts w:asciiTheme="minorEastAsia" w:eastAsiaTheme="minorEastAsia" w:hAnsiTheme="minorEastAsia"/>
          <w:szCs w:val="28"/>
        </w:rPr>
      </w:pPr>
    </w:p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78" w:name="_Toc511375861"/>
      <w:bookmarkStart w:id="79" w:name="_Toc511392891"/>
      <w:bookmarkStart w:id="80" w:name="_Toc511398459"/>
      <w:bookmarkStart w:id="81" w:name="_Toc513207805"/>
      <w:bookmarkStart w:id="82" w:name="_Toc516234867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3713D1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3713D1">
        <w:rPr>
          <w:noProof/>
          <w:szCs w:val="21"/>
        </w:rPr>
        <w:drawing>
          <wp:inline distT="0" distB="0" distL="0" distR="0">
            <wp:extent cx="5400040" cy="3183774"/>
            <wp:effectExtent l="19050" t="0" r="10160" b="0"/>
            <wp:docPr id="6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CE1838">
      <w:r w:rsidRPr="00CE1838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3713D1" w:rsidRPr="003713D1" w:rsidTr="003713D1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3713D1" w:rsidRPr="003713D1" w:rsidRDefault="003713D1" w:rsidP="003713D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bookmarkStart w:id="83" w:name="_Toc485914312"/>
            <w:bookmarkStart w:id="84" w:name="_Toc488997542"/>
            <w:bookmarkStart w:id="85" w:name="_Toc487798667"/>
            <w:bookmarkStart w:id="86" w:name="_Toc489608589"/>
            <w:bookmarkStart w:id="87" w:name="_Toc488392000"/>
            <w:bookmarkStart w:id="88" w:name="_Toc295460181"/>
            <w:bookmarkStart w:id="89" w:name="_Toc247424474"/>
            <w:bookmarkStart w:id="90" w:name="_Toc483664859"/>
            <w:bookmarkStart w:id="91" w:name="_Toc511375862"/>
            <w:bookmarkStart w:id="92" w:name="_Toc511392892"/>
            <w:bookmarkStart w:id="93" w:name="_Toc511398460"/>
            <w:bookmarkStart w:id="94" w:name="_Toc513207806"/>
            <w:r w:rsidRPr="003713D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18/05/17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3713D1" w:rsidRPr="003713D1" w:rsidRDefault="003713D1" w:rsidP="003713D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713D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915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3713D1" w:rsidRPr="003713D1" w:rsidRDefault="003713D1" w:rsidP="003713D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713D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810</w:t>
            </w:r>
          </w:p>
        </w:tc>
      </w:tr>
      <w:tr w:rsidR="003713D1" w:rsidRPr="003713D1" w:rsidTr="003713D1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3713D1" w:rsidRPr="003713D1" w:rsidRDefault="003713D1" w:rsidP="003713D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713D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18/05/24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3713D1" w:rsidRPr="003713D1" w:rsidRDefault="003713D1" w:rsidP="003713D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713D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910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3713D1" w:rsidRPr="003713D1" w:rsidRDefault="003713D1" w:rsidP="003713D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713D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830</w:t>
            </w:r>
          </w:p>
        </w:tc>
      </w:tr>
      <w:tr w:rsidR="003713D1" w:rsidRPr="003713D1" w:rsidTr="003713D1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3713D1" w:rsidRPr="003713D1" w:rsidRDefault="003713D1" w:rsidP="003713D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713D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18/06/01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3713D1" w:rsidRPr="003713D1" w:rsidRDefault="003713D1" w:rsidP="003713D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713D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925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3713D1" w:rsidRPr="003713D1" w:rsidRDefault="003713D1" w:rsidP="003713D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713D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835</w:t>
            </w:r>
          </w:p>
        </w:tc>
      </w:tr>
      <w:tr w:rsidR="003713D1" w:rsidRPr="003713D1" w:rsidTr="003713D1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3713D1" w:rsidRPr="003713D1" w:rsidRDefault="003713D1" w:rsidP="003713D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713D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18/06/07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3713D1" w:rsidRPr="003713D1" w:rsidRDefault="003713D1" w:rsidP="003713D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713D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925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3713D1" w:rsidRPr="003713D1" w:rsidRDefault="003713D1" w:rsidP="003713D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713D1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835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95" w:name="_Toc516234868"/>
      <w:r>
        <w:rPr>
          <w:rFonts w:ascii="宋体" w:hAnsi="宋体" w:hint="eastAsia"/>
          <w:sz w:val="30"/>
          <w:szCs w:val="30"/>
        </w:rPr>
        <w:lastRenderedPageBreak/>
        <w:t>三、相关产品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96" w:name="_Toc483664860"/>
      <w:bookmarkStart w:id="97" w:name="_Toc295460182"/>
      <w:bookmarkStart w:id="98" w:name="_Toc488392001"/>
      <w:bookmarkStart w:id="99" w:name="_Toc487798668"/>
      <w:bookmarkStart w:id="100" w:name="_Toc489608590"/>
      <w:bookmarkStart w:id="101" w:name="_Toc485914313"/>
      <w:bookmarkStart w:id="102" w:name="_Toc247424475"/>
      <w:bookmarkStart w:id="103" w:name="_Toc488997543"/>
      <w:bookmarkStart w:id="104" w:name="_Toc511375863"/>
      <w:bookmarkStart w:id="105" w:name="_Toc511392893"/>
      <w:bookmarkStart w:id="106" w:name="_Toc511398461"/>
      <w:bookmarkStart w:id="107" w:name="_Toc513207807"/>
      <w:bookmarkStart w:id="108" w:name="_Toc516234869"/>
      <w:r>
        <w:rPr>
          <w:rFonts w:ascii="宋体" w:hAnsi="宋体" w:cs="宋体" w:hint="eastAsia"/>
          <w:sz w:val="30"/>
          <w:szCs w:val="30"/>
        </w:rPr>
        <w:t>3.1原油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AF20F0">
      <w:pPr>
        <w:jc w:val="center"/>
      </w:pPr>
      <w:r w:rsidRPr="00AF20F0">
        <w:rPr>
          <w:noProof/>
        </w:rPr>
        <w:drawing>
          <wp:inline distT="0" distB="0" distL="0" distR="0">
            <wp:extent cx="5086350" cy="3124200"/>
            <wp:effectExtent l="19050" t="0" r="19050" b="0"/>
            <wp:docPr id="13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CE1838">
      <w:pPr>
        <w:ind w:leftChars="100" w:left="210" w:firstLineChars="312" w:firstLine="655"/>
        <w:rPr>
          <w:rFonts w:ascii="宋体"/>
          <w:szCs w:val="21"/>
        </w:rPr>
      </w:pPr>
      <w:r w:rsidRPr="00CE1838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09" w:name="_Toc295460183"/>
            <w:bookmarkStart w:id="110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3C587B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587B" w:rsidRPr="003C587B" w:rsidRDefault="003C587B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C587B">
              <w:rPr>
                <w:rFonts w:asciiTheme="majorEastAsia" w:eastAsiaTheme="majorEastAsia" w:hAnsiTheme="majorEastAsia" w:hint="eastAsia"/>
                <w:sz w:val="20"/>
                <w:szCs w:val="20"/>
              </w:rPr>
              <w:t>2018/6/1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587B" w:rsidRPr="003C587B" w:rsidRDefault="003C587B">
            <w:pPr>
              <w:jc w:val="center"/>
              <w:rPr>
                <w:rFonts w:asciiTheme="majorEastAsia" w:eastAsiaTheme="majorEastAsia" w:hAnsiTheme="majorEastAsia" w:cs="宋体"/>
                <w:color w:val="333333"/>
                <w:sz w:val="20"/>
                <w:szCs w:val="20"/>
              </w:rPr>
            </w:pPr>
            <w:r w:rsidRPr="003C587B">
              <w:rPr>
                <w:rFonts w:asciiTheme="majorEastAsia" w:eastAsiaTheme="majorEastAsia" w:hAnsiTheme="majorEastAsia" w:hint="eastAsia"/>
                <w:color w:val="333333"/>
                <w:sz w:val="20"/>
                <w:szCs w:val="20"/>
              </w:rPr>
              <w:t>65.81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587B" w:rsidRPr="003C587B" w:rsidRDefault="003C587B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C587B">
              <w:rPr>
                <w:rFonts w:asciiTheme="majorEastAsia" w:eastAsiaTheme="majorEastAsia" w:hAnsiTheme="majorEastAsia" w:hint="eastAsia"/>
                <w:sz w:val="20"/>
                <w:szCs w:val="20"/>
              </w:rPr>
              <w:t>76.79</w:t>
            </w:r>
          </w:p>
        </w:tc>
      </w:tr>
      <w:tr w:rsidR="003C587B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587B" w:rsidRPr="003C587B" w:rsidRDefault="003C587B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C587B">
              <w:rPr>
                <w:rFonts w:asciiTheme="majorEastAsia" w:eastAsiaTheme="majorEastAsia" w:hAnsiTheme="majorEastAsia" w:hint="eastAsia"/>
                <w:sz w:val="20"/>
                <w:szCs w:val="20"/>
              </w:rPr>
              <w:t>2018/6/4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587B" w:rsidRPr="003C587B" w:rsidRDefault="003C587B">
            <w:pPr>
              <w:jc w:val="center"/>
              <w:rPr>
                <w:rFonts w:asciiTheme="majorEastAsia" w:eastAsiaTheme="majorEastAsia" w:hAnsiTheme="majorEastAsia" w:cs="宋体"/>
                <w:color w:val="333333"/>
                <w:sz w:val="20"/>
                <w:szCs w:val="20"/>
              </w:rPr>
            </w:pPr>
            <w:r w:rsidRPr="003C587B">
              <w:rPr>
                <w:rFonts w:asciiTheme="majorEastAsia" w:eastAsiaTheme="majorEastAsia" w:hAnsiTheme="majorEastAsia" w:hint="eastAsia"/>
                <w:color w:val="333333"/>
                <w:sz w:val="20"/>
                <w:szCs w:val="20"/>
              </w:rPr>
              <w:t>64.75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587B" w:rsidRPr="003C587B" w:rsidRDefault="003C587B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C587B">
              <w:rPr>
                <w:rFonts w:asciiTheme="majorEastAsia" w:eastAsiaTheme="majorEastAsia" w:hAnsiTheme="majorEastAsia" w:hint="eastAsia"/>
                <w:sz w:val="20"/>
                <w:szCs w:val="20"/>
              </w:rPr>
              <w:t>75.29</w:t>
            </w:r>
          </w:p>
        </w:tc>
      </w:tr>
      <w:tr w:rsidR="003C587B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587B" w:rsidRPr="003C587B" w:rsidRDefault="003C587B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C587B">
              <w:rPr>
                <w:rFonts w:asciiTheme="majorEastAsia" w:eastAsiaTheme="majorEastAsia" w:hAnsiTheme="majorEastAsia" w:hint="eastAsia"/>
                <w:sz w:val="20"/>
                <w:szCs w:val="20"/>
              </w:rPr>
              <w:t>2018/6/5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587B" w:rsidRPr="003C587B" w:rsidRDefault="003C587B">
            <w:pPr>
              <w:jc w:val="center"/>
              <w:rPr>
                <w:rFonts w:asciiTheme="majorEastAsia" w:eastAsiaTheme="majorEastAsia" w:hAnsiTheme="majorEastAsia" w:cs="宋体"/>
                <w:color w:val="333333"/>
                <w:sz w:val="20"/>
                <w:szCs w:val="20"/>
              </w:rPr>
            </w:pPr>
            <w:r w:rsidRPr="003C587B">
              <w:rPr>
                <w:rFonts w:asciiTheme="majorEastAsia" w:eastAsiaTheme="majorEastAsia" w:hAnsiTheme="majorEastAsia" w:hint="eastAsia"/>
                <w:color w:val="333333"/>
                <w:sz w:val="20"/>
                <w:szCs w:val="20"/>
              </w:rPr>
              <w:t>65.52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587B" w:rsidRPr="003C587B" w:rsidRDefault="003C587B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C587B">
              <w:rPr>
                <w:rFonts w:asciiTheme="majorEastAsia" w:eastAsiaTheme="majorEastAsia" w:hAnsiTheme="majorEastAsia" w:hint="eastAsia"/>
                <w:sz w:val="20"/>
                <w:szCs w:val="20"/>
              </w:rPr>
              <w:t>75.38</w:t>
            </w:r>
          </w:p>
        </w:tc>
      </w:tr>
      <w:tr w:rsidR="003C587B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587B" w:rsidRPr="003C587B" w:rsidRDefault="003C587B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C587B">
              <w:rPr>
                <w:rFonts w:asciiTheme="majorEastAsia" w:eastAsiaTheme="majorEastAsia" w:hAnsiTheme="majorEastAsia" w:hint="eastAsia"/>
                <w:sz w:val="20"/>
                <w:szCs w:val="20"/>
              </w:rPr>
              <w:t>2018/6/6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587B" w:rsidRPr="003C587B" w:rsidRDefault="003C587B">
            <w:pPr>
              <w:jc w:val="center"/>
              <w:rPr>
                <w:rFonts w:asciiTheme="majorEastAsia" w:eastAsiaTheme="majorEastAsia" w:hAnsiTheme="majorEastAsia" w:cs="宋体"/>
                <w:color w:val="333333"/>
                <w:sz w:val="20"/>
                <w:szCs w:val="20"/>
              </w:rPr>
            </w:pPr>
            <w:r w:rsidRPr="003C587B">
              <w:rPr>
                <w:rFonts w:asciiTheme="majorEastAsia" w:eastAsiaTheme="majorEastAsia" w:hAnsiTheme="majorEastAsia" w:hint="eastAsia"/>
                <w:color w:val="333333"/>
                <w:sz w:val="20"/>
                <w:szCs w:val="20"/>
              </w:rPr>
              <w:t>64.73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587B" w:rsidRPr="003C587B" w:rsidRDefault="003C587B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C587B">
              <w:rPr>
                <w:rFonts w:asciiTheme="majorEastAsia" w:eastAsiaTheme="majorEastAsia" w:hAnsiTheme="majorEastAsia" w:hint="eastAsia"/>
                <w:sz w:val="20"/>
                <w:szCs w:val="20"/>
              </w:rPr>
              <w:t>75.36</w:t>
            </w:r>
          </w:p>
        </w:tc>
      </w:tr>
      <w:tr w:rsidR="003C587B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587B" w:rsidRPr="003C587B" w:rsidRDefault="003C587B">
            <w:pPr>
              <w:jc w:val="center"/>
              <w:divId w:val="1410807640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C587B">
              <w:rPr>
                <w:rFonts w:asciiTheme="majorEastAsia" w:eastAsiaTheme="majorEastAsia" w:hAnsiTheme="majorEastAsia" w:hint="eastAsia"/>
                <w:sz w:val="20"/>
                <w:szCs w:val="20"/>
              </w:rPr>
              <w:t>2018/6/7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587B" w:rsidRPr="003C587B" w:rsidRDefault="003C587B">
            <w:pPr>
              <w:jc w:val="center"/>
              <w:rPr>
                <w:rFonts w:asciiTheme="majorEastAsia" w:eastAsiaTheme="majorEastAsia" w:hAnsiTheme="majorEastAsia" w:cs="宋体"/>
                <w:color w:val="333333"/>
                <w:sz w:val="20"/>
                <w:szCs w:val="20"/>
              </w:rPr>
            </w:pPr>
            <w:r w:rsidRPr="003C587B">
              <w:rPr>
                <w:rFonts w:asciiTheme="majorEastAsia" w:eastAsiaTheme="majorEastAsia" w:hAnsiTheme="majorEastAsia" w:hint="eastAsia"/>
                <w:color w:val="333333"/>
                <w:sz w:val="20"/>
                <w:szCs w:val="20"/>
              </w:rPr>
              <w:t>65.95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587B" w:rsidRPr="003C587B" w:rsidRDefault="003C587B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C587B">
              <w:rPr>
                <w:rFonts w:asciiTheme="majorEastAsia" w:eastAsiaTheme="majorEastAsia" w:hAnsiTheme="majorEastAsia" w:hint="eastAsia"/>
                <w:sz w:val="20"/>
                <w:szCs w:val="20"/>
              </w:rPr>
              <w:t>77.32</w:t>
            </w:r>
          </w:p>
        </w:tc>
      </w:tr>
    </w:tbl>
    <w:p w:rsidR="009B1FDC" w:rsidRDefault="00C52C3A">
      <w:pPr>
        <w:pStyle w:val="2"/>
        <w:spacing w:line="415" w:lineRule="auto"/>
      </w:pPr>
      <w:r>
        <w:rPr>
          <w:rFonts w:hint="eastAsia"/>
        </w:rPr>
        <w:lastRenderedPageBreak/>
        <w:t xml:space="preserve">　</w:t>
      </w:r>
      <w:bookmarkStart w:id="111" w:name="_Toc487798669"/>
      <w:bookmarkStart w:id="112" w:name="_Toc488392002"/>
      <w:bookmarkStart w:id="113" w:name="_Toc483664861"/>
      <w:bookmarkStart w:id="114" w:name="_Toc489608591"/>
      <w:bookmarkStart w:id="115" w:name="_Toc485914314"/>
      <w:bookmarkStart w:id="116" w:name="_Toc488997544"/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17" w:name="_Toc511375864"/>
      <w:bookmarkStart w:id="118" w:name="_Toc511392894"/>
      <w:bookmarkStart w:id="119" w:name="_Toc511398462"/>
      <w:bookmarkStart w:id="120" w:name="_Toc513207808"/>
      <w:bookmarkStart w:id="121" w:name="_Toc516234870"/>
      <w:r>
        <w:rPr>
          <w:rFonts w:ascii="宋体" w:hAnsi="宋体" w:cs="宋体" w:hint="eastAsia"/>
          <w:sz w:val="30"/>
          <w:szCs w:val="30"/>
        </w:rPr>
        <w:t>3.2 乙烯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9B1FDC" w:rsidRDefault="00834D61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9B1FDC" w:rsidRDefault="00292B81">
      <w:pPr>
        <w:widowControl/>
        <w:spacing w:beforeAutospacing="1" w:after="375" w:line="420" w:lineRule="atLeast"/>
        <w:ind w:firstLine="420"/>
        <w:jc w:val="center"/>
      </w:pPr>
      <w:r w:rsidRPr="00292B81">
        <w:rPr>
          <w:noProof/>
        </w:rPr>
        <w:drawing>
          <wp:inline distT="0" distB="0" distL="0" distR="0">
            <wp:extent cx="5400040" cy="3431275"/>
            <wp:effectExtent l="19050" t="0" r="10160" b="0"/>
            <wp:docPr id="7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CE1838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122" w:name="_Toc487798670"/>
      <w:bookmarkStart w:id="123" w:name="_Toc489608592"/>
      <w:bookmarkStart w:id="124" w:name="_Toc483664862"/>
      <w:bookmarkStart w:id="125" w:name="_Toc485914315"/>
      <w:bookmarkStart w:id="126" w:name="_Toc488392003"/>
      <w:bookmarkStart w:id="127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292B81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1335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1220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1154.5</w:t>
            </w:r>
          </w:p>
        </w:tc>
      </w:tr>
      <w:tr w:rsidR="00292B81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1335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1220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1156</w:t>
            </w:r>
          </w:p>
        </w:tc>
      </w:tr>
      <w:tr w:rsidR="00292B81" w:rsidTr="00B453DB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1335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1220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1154.5</w:t>
            </w:r>
          </w:p>
        </w:tc>
      </w:tr>
      <w:tr w:rsidR="00292B81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1350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1225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1163</w:t>
            </w:r>
          </w:p>
        </w:tc>
      </w:tr>
      <w:tr w:rsidR="00292B81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1350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1225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92B81">
              <w:rPr>
                <w:rFonts w:asciiTheme="minorEastAsia" w:eastAsiaTheme="minorEastAsia" w:hAnsiTheme="minorEastAsia" w:hint="eastAsia"/>
                <w:sz w:val="20"/>
                <w:szCs w:val="20"/>
              </w:rPr>
              <w:t>1167.5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lastRenderedPageBreak/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128" w:name="_Toc511375865"/>
      <w:bookmarkStart w:id="129" w:name="_Toc511392895"/>
      <w:bookmarkStart w:id="130" w:name="_Toc511398463"/>
      <w:bookmarkStart w:id="131" w:name="_Toc513207809"/>
      <w:bookmarkStart w:id="132" w:name="_Toc516234871"/>
      <w:r>
        <w:rPr>
          <w:rFonts w:ascii="宋体" w:hAnsi="宋体" w:cs="宋体" w:hint="eastAsia"/>
          <w:sz w:val="30"/>
          <w:szCs w:val="30"/>
        </w:rPr>
        <w:t>3.3 EDC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292B81" w:rsidP="0043293A">
      <w:pPr>
        <w:jc w:val="center"/>
      </w:pPr>
      <w:r w:rsidRPr="00292B81">
        <w:rPr>
          <w:noProof/>
        </w:rPr>
        <w:drawing>
          <wp:inline distT="0" distB="0" distL="0" distR="0">
            <wp:extent cx="5400040" cy="3180649"/>
            <wp:effectExtent l="19050" t="0" r="10160" b="701"/>
            <wp:docPr id="8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CE1838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>
              <w:txbxContent>
                <w:p w:rsidR="00C84838" w:rsidRDefault="00C84838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292B81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18/05/11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236</w:t>
            </w:r>
          </w:p>
        </w:tc>
      </w:tr>
      <w:tr w:rsidR="00292B81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18/05/18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235</w:t>
            </w:r>
          </w:p>
        </w:tc>
      </w:tr>
      <w:tr w:rsidR="00292B81" w:rsidTr="00223425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18/05/25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235</w:t>
            </w:r>
          </w:p>
        </w:tc>
      </w:tr>
      <w:tr w:rsidR="00292B81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18/06/01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235</w:t>
            </w:r>
          </w:p>
        </w:tc>
      </w:tr>
      <w:tr w:rsidR="00292B81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18/06/08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B81" w:rsidRPr="00292B81" w:rsidRDefault="00292B81" w:rsidP="00292B81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92B8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235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33" w:name="_Toc487798671"/>
      <w:bookmarkStart w:id="134" w:name="_Toc489608593"/>
      <w:bookmarkStart w:id="135" w:name="_Toc488997546"/>
      <w:bookmarkStart w:id="136" w:name="_Toc322078441"/>
      <w:bookmarkStart w:id="137" w:name="_Toc247424478"/>
      <w:bookmarkStart w:id="138" w:name="_Toc286647029"/>
      <w:bookmarkStart w:id="139" w:name="_Toc488392004"/>
      <w:bookmarkStart w:id="140" w:name="_Toc485914316"/>
      <w:bookmarkStart w:id="141" w:name="_Toc283391557"/>
      <w:bookmarkStart w:id="142" w:name="_Toc295460185"/>
      <w:bookmarkStart w:id="143" w:name="_Toc292436437"/>
      <w:bookmarkStart w:id="144" w:name="_Toc483664863"/>
      <w:bookmarkStart w:id="145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46" w:name="_Toc511375866"/>
      <w:bookmarkStart w:id="147" w:name="_Toc511392896"/>
      <w:bookmarkStart w:id="148" w:name="_Toc511398464"/>
      <w:bookmarkStart w:id="149" w:name="_Toc513207810"/>
      <w:bookmarkStart w:id="150" w:name="_Toc516234872"/>
      <w:r>
        <w:rPr>
          <w:rFonts w:ascii="宋体" w:hAnsi="宋体" w:cs="宋体" w:hint="eastAsia"/>
          <w:sz w:val="30"/>
          <w:szCs w:val="30"/>
        </w:rPr>
        <w:t>3.4 VCM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292B81">
      <w:r w:rsidRPr="00292B81">
        <w:rPr>
          <w:noProof/>
        </w:rPr>
        <w:drawing>
          <wp:inline distT="0" distB="0" distL="0" distR="0">
            <wp:extent cx="5400040" cy="3140023"/>
            <wp:effectExtent l="19050" t="0" r="10160" b="3227"/>
            <wp:docPr id="9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CE1838">
      <w:pPr>
        <w:spacing w:line="360" w:lineRule="auto"/>
        <w:rPr>
          <w:sz w:val="18"/>
          <w:szCs w:val="18"/>
        </w:rPr>
      </w:pPr>
      <w:r w:rsidRPr="00CE1838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>
              <w:txbxContent>
                <w:p w:rsidR="00C84838" w:rsidRDefault="00C84838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E1223E" w:rsidTr="00DF6493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18/05/11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740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680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670</w:t>
            </w:r>
          </w:p>
        </w:tc>
      </w:tr>
      <w:tr w:rsidR="00E1223E" w:rsidTr="00DF6493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18/05/18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680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670</w:t>
            </w:r>
          </w:p>
        </w:tc>
      </w:tr>
      <w:tr w:rsidR="00E1223E" w:rsidTr="00223425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18/05/25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680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670</w:t>
            </w:r>
          </w:p>
        </w:tc>
      </w:tr>
      <w:tr w:rsidR="00E1223E" w:rsidTr="00223425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681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680</w:t>
            </w:r>
          </w:p>
        </w:tc>
      </w:tr>
      <w:tr w:rsidR="00E1223E" w:rsidTr="00223425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690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680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151" w:name="_Toc488392005"/>
      <w:bookmarkStart w:id="152" w:name="_Toc489608594"/>
      <w:bookmarkStart w:id="153" w:name="_Toc295460186"/>
      <w:bookmarkStart w:id="154" w:name="_Toc247424479"/>
      <w:bookmarkStart w:id="155" w:name="_Toc485914317"/>
      <w:bookmarkStart w:id="156" w:name="_Toc483664864"/>
      <w:bookmarkStart w:id="157" w:name="_Toc488997547"/>
      <w:bookmarkStart w:id="158" w:name="_Toc487798672"/>
      <w:bookmarkEnd w:id="109"/>
      <w:bookmarkEnd w:id="110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59" w:name="_Toc511375867"/>
      <w:bookmarkStart w:id="160" w:name="_Toc511392897"/>
      <w:bookmarkStart w:id="161" w:name="_Toc511398465"/>
      <w:bookmarkStart w:id="162" w:name="_Toc513207811"/>
      <w:bookmarkStart w:id="163" w:name="_Toc516234873"/>
      <w:r>
        <w:rPr>
          <w:rFonts w:ascii="宋体" w:hAnsi="宋体" w:cs="宋体" w:hint="eastAsia"/>
          <w:sz w:val="30"/>
          <w:szCs w:val="30"/>
        </w:rPr>
        <w:lastRenderedPageBreak/>
        <w:t>3.5电石</w:t>
      </w:r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E1223E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E1223E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0040" cy="3436900"/>
            <wp:effectExtent l="19050" t="0" r="10160" b="0"/>
            <wp:docPr id="12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spacing w:beforeAutospacing="1" w:after="375" w:line="420" w:lineRule="atLeast"/>
        <w:ind w:firstLine="420"/>
        <w:jc w:val="left"/>
        <w:rPr>
          <w:szCs w:val="21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164" w:name="_GoBack"/>
      <w:bookmarkEnd w:id="164"/>
      <w:r w:rsidR="00CE1838" w:rsidRPr="00CE1838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C84838" w:rsidRDefault="00C84838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E1223E" w:rsidTr="00273940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18/06/04</w:t>
            </w:r>
          </w:p>
        </w:tc>
      </w:tr>
      <w:tr w:rsidR="00E1223E" w:rsidTr="00273940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18/06/05</w:t>
            </w:r>
          </w:p>
        </w:tc>
      </w:tr>
      <w:tr w:rsidR="00E1223E" w:rsidTr="00273940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18/06/06</w:t>
            </w:r>
          </w:p>
        </w:tc>
      </w:tr>
      <w:tr w:rsidR="00E1223E" w:rsidTr="00273940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18/06/07</w:t>
            </w:r>
          </w:p>
        </w:tc>
      </w:tr>
      <w:tr w:rsidR="00E1223E" w:rsidTr="00273940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23E" w:rsidRPr="00E1223E" w:rsidRDefault="00E1223E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1223E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18/06/08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9B1FDC" w:rsidRDefault="00C52C3A" w:rsidP="001A7243">
      <w:pPr>
        <w:pStyle w:val="a7"/>
        <w:spacing w:before="0" w:beforeAutospacing="0" w:after="0" w:afterAutospacing="0" w:line="400" w:lineRule="exact"/>
        <w:ind w:left="420"/>
        <w:rPr>
          <w:sz w:val="30"/>
          <w:szCs w:val="30"/>
        </w:rPr>
      </w:pPr>
      <w:bookmarkStart w:id="165" w:name="_Toc260227055"/>
      <w:bookmarkStart w:id="166" w:name="_Toc260229009"/>
      <w:bookmarkStart w:id="167" w:name="_Toc262550199"/>
      <w:bookmarkStart w:id="168" w:name="_Toc261616908"/>
      <w:bookmarkStart w:id="169" w:name="_Toc401302144"/>
      <w:bookmarkStart w:id="170" w:name="_Toc488997548"/>
      <w:bookmarkStart w:id="171" w:name="_Toc487798673"/>
      <w:bookmarkStart w:id="172" w:name="_Toc483664865"/>
      <w:bookmarkStart w:id="173" w:name="_Toc488392006"/>
      <w:bookmarkStart w:id="174" w:name="_Toc489608595"/>
      <w:bookmarkStart w:id="175" w:name="_Toc485914318"/>
      <w:bookmarkStart w:id="176" w:name="_Toc295460173"/>
      <w:bookmarkStart w:id="177" w:name="_Toc262826500"/>
      <w:bookmarkStart w:id="178" w:name="_Toc511375868"/>
      <w:bookmarkStart w:id="179" w:name="_Toc511392898"/>
      <w:bookmarkStart w:id="180" w:name="_Toc511398466"/>
      <w:bookmarkStart w:id="181" w:name="_Toc513207812"/>
      <w:r>
        <w:rPr>
          <w:rFonts w:hint="eastAsia"/>
          <w:sz w:val="30"/>
          <w:szCs w:val="30"/>
        </w:rPr>
        <w:t>专题：</w:t>
      </w:r>
      <w:bookmarkEnd w:id="165"/>
      <w:bookmarkEnd w:id="166"/>
      <w:bookmarkEnd w:id="167"/>
      <w:r>
        <w:rPr>
          <w:rFonts w:hint="eastAsia"/>
          <w:sz w:val="30"/>
          <w:szCs w:val="30"/>
        </w:rPr>
        <w:t>宏观统计数据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:rsidR="001A7243" w:rsidRDefault="001A7243" w:rsidP="001A7243">
      <w:pPr>
        <w:pStyle w:val="a7"/>
        <w:spacing w:before="0" w:beforeAutospacing="0" w:after="0" w:afterAutospacing="0" w:line="400" w:lineRule="exact"/>
        <w:rPr>
          <w:sz w:val="30"/>
          <w:szCs w:val="30"/>
        </w:rPr>
      </w:pPr>
    </w:p>
    <w:p w:rsidR="001A7243" w:rsidRPr="001A7243" w:rsidRDefault="001A7243" w:rsidP="001A7243">
      <w:pPr>
        <w:pStyle w:val="a7"/>
        <w:spacing w:before="0" w:beforeAutospacing="0" w:after="0" w:afterAutospacing="0" w:line="40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1A7243">
        <w:rPr>
          <w:rFonts w:ascii="仿宋" w:eastAsia="仿宋" w:hAnsi="仿宋" w:cs="仿宋"/>
          <w:sz w:val="28"/>
          <w:szCs w:val="28"/>
        </w:rPr>
        <w:lastRenderedPageBreak/>
        <w:t>2018</w:t>
      </w:r>
      <w:r w:rsidRPr="001A7243">
        <w:rPr>
          <w:rFonts w:ascii="仿宋" w:eastAsia="仿宋" w:hAnsi="仿宋" w:cs="仿宋" w:hint="eastAsia"/>
          <w:sz w:val="28"/>
          <w:szCs w:val="28"/>
        </w:rPr>
        <w:t>年</w:t>
      </w:r>
      <w:r w:rsidRPr="001A7243">
        <w:rPr>
          <w:rFonts w:ascii="仿宋" w:eastAsia="仿宋" w:hAnsi="仿宋" w:cs="仿宋"/>
          <w:sz w:val="28"/>
          <w:szCs w:val="28"/>
        </w:rPr>
        <w:t>1-4</w:t>
      </w:r>
      <w:r w:rsidRPr="001A7243">
        <w:rPr>
          <w:rFonts w:ascii="仿宋" w:eastAsia="仿宋" w:hAnsi="仿宋" w:cs="仿宋" w:hint="eastAsia"/>
          <w:sz w:val="28"/>
          <w:szCs w:val="28"/>
        </w:rPr>
        <w:t>月份，全国房地产开发投资</w:t>
      </w:r>
      <w:r w:rsidRPr="001A7243">
        <w:rPr>
          <w:rFonts w:ascii="仿宋" w:eastAsia="仿宋" w:hAnsi="仿宋" w:cs="仿宋"/>
          <w:sz w:val="28"/>
          <w:szCs w:val="28"/>
        </w:rPr>
        <w:t>30592</w:t>
      </w:r>
      <w:r w:rsidRPr="001A7243">
        <w:rPr>
          <w:rFonts w:ascii="仿宋" w:eastAsia="仿宋" w:hAnsi="仿宋" w:cs="仿宋" w:hint="eastAsia"/>
          <w:sz w:val="28"/>
          <w:szCs w:val="28"/>
        </w:rPr>
        <w:t>亿元，同比名义增长</w:t>
      </w:r>
      <w:r w:rsidRPr="001A7243">
        <w:rPr>
          <w:rFonts w:ascii="仿宋" w:eastAsia="仿宋" w:hAnsi="仿宋" w:cs="仿宋"/>
          <w:sz w:val="28"/>
          <w:szCs w:val="28"/>
        </w:rPr>
        <w:t>10.3%</w:t>
      </w:r>
      <w:r w:rsidRPr="001A7243">
        <w:rPr>
          <w:rFonts w:ascii="仿宋" w:eastAsia="仿宋" w:hAnsi="仿宋" w:cs="仿宋" w:hint="eastAsia"/>
          <w:sz w:val="28"/>
          <w:szCs w:val="28"/>
        </w:rPr>
        <w:t>，增速比</w:t>
      </w:r>
      <w:r w:rsidRPr="001A7243">
        <w:rPr>
          <w:rFonts w:ascii="仿宋" w:eastAsia="仿宋" w:hAnsi="仿宋" w:cs="仿宋"/>
          <w:sz w:val="28"/>
          <w:szCs w:val="28"/>
        </w:rPr>
        <w:t>1-3</w:t>
      </w:r>
      <w:r w:rsidRPr="001A7243">
        <w:rPr>
          <w:rFonts w:ascii="仿宋" w:eastAsia="仿宋" w:hAnsi="仿宋" w:cs="仿宋" w:hint="eastAsia"/>
          <w:sz w:val="28"/>
          <w:szCs w:val="28"/>
        </w:rPr>
        <w:t>月份回落</w:t>
      </w:r>
      <w:r w:rsidRPr="001A7243">
        <w:rPr>
          <w:rFonts w:ascii="仿宋" w:eastAsia="仿宋" w:hAnsi="仿宋" w:cs="仿宋"/>
          <w:sz w:val="28"/>
          <w:szCs w:val="28"/>
        </w:rPr>
        <w:t>0.1</w:t>
      </w:r>
      <w:r w:rsidRPr="001A7243">
        <w:rPr>
          <w:rFonts w:ascii="仿宋" w:eastAsia="仿宋" w:hAnsi="仿宋" w:cs="仿宋" w:hint="eastAsia"/>
          <w:sz w:val="28"/>
          <w:szCs w:val="28"/>
        </w:rPr>
        <w:t>个百分点。其中，住宅投资</w:t>
      </w:r>
      <w:r w:rsidRPr="001A7243">
        <w:rPr>
          <w:rFonts w:ascii="仿宋" w:eastAsia="仿宋" w:hAnsi="仿宋" w:cs="仿宋"/>
          <w:sz w:val="28"/>
          <w:szCs w:val="28"/>
        </w:rPr>
        <w:t>21331</w:t>
      </w:r>
      <w:r w:rsidRPr="001A7243">
        <w:rPr>
          <w:rFonts w:ascii="仿宋" w:eastAsia="仿宋" w:hAnsi="仿宋" w:cs="仿宋" w:hint="eastAsia"/>
          <w:sz w:val="28"/>
          <w:szCs w:val="28"/>
        </w:rPr>
        <w:t>亿元，增长</w:t>
      </w:r>
      <w:r w:rsidRPr="001A7243">
        <w:rPr>
          <w:rFonts w:ascii="仿宋" w:eastAsia="仿宋" w:hAnsi="仿宋" w:cs="仿宋"/>
          <w:sz w:val="28"/>
          <w:szCs w:val="28"/>
        </w:rPr>
        <w:t>14.2%</w:t>
      </w:r>
      <w:r w:rsidRPr="001A7243">
        <w:rPr>
          <w:rFonts w:ascii="仿宋" w:eastAsia="仿宋" w:hAnsi="仿宋" w:cs="仿宋" w:hint="eastAsia"/>
          <w:sz w:val="28"/>
          <w:szCs w:val="28"/>
        </w:rPr>
        <w:t>，增速提高</w:t>
      </w:r>
      <w:r w:rsidRPr="001A7243">
        <w:rPr>
          <w:rFonts w:ascii="仿宋" w:eastAsia="仿宋" w:hAnsi="仿宋" w:cs="仿宋"/>
          <w:sz w:val="28"/>
          <w:szCs w:val="28"/>
        </w:rPr>
        <w:t>0.9</w:t>
      </w:r>
      <w:r w:rsidRPr="001A7243">
        <w:rPr>
          <w:rFonts w:ascii="仿宋" w:eastAsia="仿宋" w:hAnsi="仿宋" w:cs="仿宋" w:hint="eastAsia"/>
          <w:sz w:val="28"/>
          <w:szCs w:val="28"/>
        </w:rPr>
        <w:t>个百分点。住宅投资占房地产开发投资的比重为</w:t>
      </w:r>
      <w:r w:rsidRPr="001A7243">
        <w:rPr>
          <w:rFonts w:ascii="仿宋" w:eastAsia="仿宋" w:hAnsi="仿宋" w:cs="仿宋"/>
          <w:sz w:val="28"/>
          <w:szCs w:val="28"/>
        </w:rPr>
        <w:t>69.7%</w:t>
      </w:r>
      <w:r w:rsidRPr="001A7243">
        <w:rPr>
          <w:rFonts w:ascii="仿宋" w:eastAsia="仿宋" w:hAnsi="仿宋" w:cs="仿宋" w:hint="eastAsia"/>
          <w:sz w:val="28"/>
          <w:szCs w:val="28"/>
        </w:rPr>
        <w:t>。</w:t>
      </w:r>
    </w:p>
    <w:p w:rsidR="001A7243" w:rsidRPr="001A7243" w:rsidRDefault="001A7243" w:rsidP="001A7243">
      <w:pPr>
        <w:pStyle w:val="a7"/>
        <w:spacing w:before="0" w:beforeAutospacing="0" w:after="0" w:afterAutospacing="0" w:line="40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1A7243">
        <w:rPr>
          <w:rFonts w:ascii="仿宋" w:eastAsia="仿宋" w:hAnsi="仿宋" w:cs="仿宋"/>
          <w:sz w:val="28"/>
          <w:szCs w:val="28"/>
        </w:rPr>
        <w:t>2018</w:t>
      </w:r>
      <w:r w:rsidRPr="001A7243">
        <w:rPr>
          <w:rFonts w:ascii="仿宋" w:eastAsia="仿宋" w:hAnsi="仿宋" w:cs="仿宋" w:hint="eastAsia"/>
          <w:sz w:val="28"/>
          <w:szCs w:val="28"/>
        </w:rPr>
        <w:t>年</w:t>
      </w:r>
      <w:r w:rsidRPr="001A7243">
        <w:rPr>
          <w:rFonts w:ascii="仿宋" w:eastAsia="仿宋" w:hAnsi="仿宋" w:cs="仿宋"/>
          <w:sz w:val="28"/>
          <w:szCs w:val="28"/>
        </w:rPr>
        <w:t>4</w:t>
      </w:r>
      <w:r w:rsidRPr="001A7243">
        <w:rPr>
          <w:rFonts w:ascii="仿宋" w:eastAsia="仿宋" w:hAnsi="仿宋" w:cs="仿宋" w:hint="eastAsia"/>
          <w:sz w:val="28"/>
          <w:szCs w:val="28"/>
        </w:rPr>
        <w:t>月份，全国居民消费价格同比上涨</w:t>
      </w:r>
      <w:r w:rsidRPr="001A7243">
        <w:rPr>
          <w:rFonts w:ascii="仿宋" w:eastAsia="仿宋" w:hAnsi="仿宋" w:cs="仿宋"/>
          <w:sz w:val="28"/>
          <w:szCs w:val="28"/>
        </w:rPr>
        <w:t>1.8%</w:t>
      </w:r>
      <w:r w:rsidRPr="001A7243">
        <w:rPr>
          <w:rFonts w:ascii="仿宋" w:eastAsia="仿宋" w:hAnsi="仿宋" w:cs="仿宋" w:hint="eastAsia"/>
          <w:sz w:val="28"/>
          <w:szCs w:val="28"/>
        </w:rPr>
        <w:t>。其中，城市上涨</w:t>
      </w:r>
      <w:r w:rsidRPr="001A7243">
        <w:rPr>
          <w:rFonts w:ascii="仿宋" w:eastAsia="仿宋" w:hAnsi="仿宋" w:cs="仿宋"/>
          <w:sz w:val="28"/>
          <w:szCs w:val="28"/>
        </w:rPr>
        <w:t>1.8%</w:t>
      </w:r>
      <w:r w:rsidRPr="001A7243">
        <w:rPr>
          <w:rFonts w:ascii="仿宋" w:eastAsia="仿宋" w:hAnsi="仿宋" w:cs="仿宋" w:hint="eastAsia"/>
          <w:sz w:val="28"/>
          <w:szCs w:val="28"/>
        </w:rPr>
        <w:t>，农村上涨</w:t>
      </w:r>
      <w:r w:rsidRPr="001A7243">
        <w:rPr>
          <w:rFonts w:ascii="仿宋" w:eastAsia="仿宋" w:hAnsi="仿宋" w:cs="仿宋"/>
          <w:sz w:val="28"/>
          <w:szCs w:val="28"/>
        </w:rPr>
        <w:t>1.7%</w:t>
      </w:r>
      <w:r w:rsidRPr="001A7243">
        <w:rPr>
          <w:rFonts w:ascii="仿宋" w:eastAsia="仿宋" w:hAnsi="仿宋" w:cs="仿宋" w:hint="eastAsia"/>
          <w:sz w:val="28"/>
          <w:szCs w:val="28"/>
        </w:rPr>
        <w:t>；食品价格上涨</w:t>
      </w:r>
      <w:r w:rsidRPr="001A7243">
        <w:rPr>
          <w:rFonts w:ascii="仿宋" w:eastAsia="仿宋" w:hAnsi="仿宋" w:cs="仿宋"/>
          <w:sz w:val="28"/>
          <w:szCs w:val="28"/>
        </w:rPr>
        <w:t>0.7%</w:t>
      </w:r>
      <w:r w:rsidRPr="001A7243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1A7243">
        <w:rPr>
          <w:rFonts w:ascii="仿宋" w:eastAsia="仿宋" w:hAnsi="仿宋" w:cs="仿宋"/>
          <w:sz w:val="28"/>
          <w:szCs w:val="28"/>
        </w:rPr>
        <w:t>2.1%</w:t>
      </w:r>
      <w:r w:rsidRPr="001A7243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1A7243">
        <w:rPr>
          <w:rFonts w:ascii="仿宋" w:eastAsia="仿宋" w:hAnsi="仿宋" w:cs="仿宋"/>
          <w:sz w:val="28"/>
          <w:szCs w:val="28"/>
        </w:rPr>
        <w:t>1.3%</w:t>
      </w:r>
      <w:r w:rsidRPr="001A7243">
        <w:rPr>
          <w:rFonts w:ascii="仿宋" w:eastAsia="仿宋" w:hAnsi="仿宋" w:cs="仿宋" w:hint="eastAsia"/>
          <w:sz w:val="28"/>
          <w:szCs w:val="28"/>
        </w:rPr>
        <w:t>，服务价格上涨</w:t>
      </w:r>
      <w:r w:rsidRPr="001A7243">
        <w:rPr>
          <w:rFonts w:ascii="仿宋" w:eastAsia="仿宋" w:hAnsi="仿宋" w:cs="仿宋"/>
          <w:sz w:val="28"/>
          <w:szCs w:val="28"/>
        </w:rPr>
        <w:t>2.6%</w:t>
      </w:r>
      <w:r w:rsidRPr="001A7243">
        <w:rPr>
          <w:rFonts w:ascii="仿宋" w:eastAsia="仿宋" w:hAnsi="仿宋" w:cs="仿宋" w:hint="eastAsia"/>
          <w:sz w:val="28"/>
          <w:szCs w:val="28"/>
        </w:rPr>
        <w:t>。</w:t>
      </w:r>
      <w:r w:rsidRPr="001A7243">
        <w:rPr>
          <w:rFonts w:ascii="仿宋" w:eastAsia="仿宋" w:hAnsi="仿宋" w:cs="仿宋"/>
          <w:sz w:val="28"/>
          <w:szCs w:val="28"/>
        </w:rPr>
        <w:t>1-4</w:t>
      </w:r>
      <w:r w:rsidRPr="001A7243">
        <w:rPr>
          <w:rFonts w:ascii="仿宋" w:eastAsia="仿宋" w:hAnsi="仿宋" w:cs="仿宋" w:hint="eastAsia"/>
          <w:sz w:val="28"/>
          <w:szCs w:val="28"/>
        </w:rPr>
        <w:t>月平均，全国居民消费价格总水平比去年同期上涨</w:t>
      </w:r>
      <w:r w:rsidRPr="001A7243">
        <w:rPr>
          <w:rFonts w:ascii="仿宋" w:eastAsia="仿宋" w:hAnsi="仿宋" w:cs="仿宋"/>
          <w:sz w:val="28"/>
          <w:szCs w:val="28"/>
        </w:rPr>
        <w:t>2.1%</w:t>
      </w:r>
      <w:r w:rsidRPr="001A7243">
        <w:rPr>
          <w:rFonts w:ascii="仿宋" w:eastAsia="仿宋" w:hAnsi="仿宋" w:cs="仿宋" w:hint="eastAsia"/>
          <w:sz w:val="28"/>
          <w:szCs w:val="28"/>
        </w:rPr>
        <w:t xml:space="preserve">。             </w:t>
      </w:r>
    </w:p>
    <w:p w:rsidR="001A7243" w:rsidRDefault="001A7243" w:rsidP="001A7243">
      <w:pPr>
        <w:pStyle w:val="a7"/>
        <w:spacing w:before="0" w:beforeAutospacing="0" w:after="0" w:afterAutospacing="0" w:line="40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1A7243">
        <w:rPr>
          <w:rFonts w:ascii="仿宋" w:eastAsia="仿宋" w:hAnsi="仿宋" w:cs="仿宋"/>
          <w:sz w:val="28"/>
          <w:szCs w:val="28"/>
        </w:rPr>
        <w:t>2018</w:t>
      </w:r>
      <w:r w:rsidRPr="001A7243">
        <w:rPr>
          <w:rFonts w:ascii="仿宋" w:eastAsia="仿宋" w:hAnsi="仿宋" w:cs="仿宋" w:hint="eastAsia"/>
          <w:sz w:val="28"/>
          <w:szCs w:val="28"/>
        </w:rPr>
        <w:t>年</w:t>
      </w:r>
      <w:r w:rsidRPr="001A7243">
        <w:rPr>
          <w:rFonts w:ascii="仿宋" w:eastAsia="仿宋" w:hAnsi="仿宋" w:cs="仿宋"/>
          <w:sz w:val="28"/>
          <w:szCs w:val="28"/>
        </w:rPr>
        <w:t xml:space="preserve">1-4 </w:t>
      </w:r>
      <w:r w:rsidRPr="001A7243">
        <w:rPr>
          <w:rFonts w:ascii="仿宋" w:eastAsia="仿宋" w:hAnsi="仿宋" w:cs="仿宋" w:hint="eastAsia"/>
          <w:sz w:val="28"/>
          <w:szCs w:val="28"/>
        </w:rPr>
        <w:t>月份，全国固定资产投资（不含农户）</w:t>
      </w:r>
      <w:r w:rsidRPr="001A7243">
        <w:rPr>
          <w:rFonts w:ascii="仿宋" w:eastAsia="仿宋" w:hAnsi="仿宋" w:cs="仿宋"/>
          <w:sz w:val="28"/>
          <w:szCs w:val="28"/>
        </w:rPr>
        <w:t>154358</w:t>
      </w:r>
      <w:r w:rsidRPr="001A7243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1A7243">
        <w:rPr>
          <w:rFonts w:ascii="仿宋" w:eastAsia="仿宋" w:hAnsi="仿宋" w:cs="仿宋"/>
          <w:sz w:val="28"/>
          <w:szCs w:val="28"/>
        </w:rPr>
        <w:t>7%</w:t>
      </w:r>
      <w:r w:rsidRPr="001A7243">
        <w:rPr>
          <w:rFonts w:ascii="仿宋" w:eastAsia="仿宋" w:hAnsi="仿宋" w:cs="仿宋" w:hint="eastAsia"/>
          <w:sz w:val="28"/>
          <w:szCs w:val="28"/>
        </w:rPr>
        <w:t>，增速比</w:t>
      </w:r>
      <w:r w:rsidRPr="001A7243">
        <w:rPr>
          <w:rFonts w:ascii="仿宋" w:eastAsia="仿宋" w:hAnsi="仿宋" w:cs="仿宋"/>
          <w:sz w:val="28"/>
          <w:szCs w:val="28"/>
        </w:rPr>
        <w:t>1-3</w:t>
      </w:r>
      <w:r w:rsidRPr="001A7243">
        <w:rPr>
          <w:rFonts w:ascii="仿宋" w:eastAsia="仿宋" w:hAnsi="仿宋" w:cs="仿宋" w:hint="eastAsia"/>
          <w:sz w:val="28"/>
          <w:szCs w:val="28"/>
        </w:rPr>
        <w:t>月份回落</w:t>
      </w:r>
      <w:r w:rsidRPr="001A7243">
        <w:rPr>
          <w:rFonts w:ascii="仿宋" w:eastAsia="仿宋" w:hAnsi="仿宋" w:cs="仿宋"/>
          <w:sz w:val="28"/>
          <w:szCs w:val="28"/>
        </w:rPr>
        <w:t>0.5</w:t>
      </w:r>
      <w:r w:rsidRPr="001A7243">
        <w:rPr>
          <w:rFonts w:ascii="仿宋" w:eastAsia="仿宋" w:hAnsi="仿宋" w:cs="仿宋" w:hint="eastAsia"/>
          <w:sz w:val="28"/>
          <w:szCs w:val="28"/>
        </w:rPr>
        <w:t>个百分点。从环比速度看，</w:t>
      </w:r>
      <w:r w:rsidRPr="001A7243">
        <w:rPr>
          <w:rFonts w:ascii="仿宋" w:eastAsia="仿宋" w:hAnsi="仿宋" w:cs="仿宋"/>
          <w:sz w:val="28"/>
          <w:szCs w:val="28"/>
        </w:rPr>
        <w:t>4</w:t>
      </w:r>
      <w:r w:rsidRPr="001A7243">
        <w:rPr>
          <w:rFonts w:ascii="仿宋" w:eastAsia="仿宋" w:hAnsi="仿宋" w:cs="仿宋" w:hint="eastAsia"/>
          <w:sz w:val="28"/>
          <w:szCs w:val="28"/>
        </w:rPr>
        <w:t>月份固定资产投资（不含农户）增长</w:t>
      </w:r>
      <w:r w:rsidRPr="001A7243">
        <w:rPr>
          <w:rFonts w:ascii="仿宋" w:eastAsia="仿宋" w:hAnsi="仿宋" w:cs="仿宋"/>
          <w:sz w:val="28"/>
          <w:szCs w:val="28"/>
        </w:rPr>
        <w:t>0.52%</w:t>
      </w:r>
      <w:r w:rsidRPr="001A7243">
        <w:rPr>
          <w:rFonts w:ascii="仿宋" w:eastAsia="仿宋" w:hAnsi="仿宋" w:cs="仿宋" w:hint="eastAsia"/>
          <w:sz w:val="28"/>
          <w:szCs w:val="28"/>
        </w:rPr>
        <w:t>。其中，民间固定资产投资</w:t>
      </w:r>
      <w:r w:rsidRPr="001A7243">
        <w:rPr>
          <w:rFonts w:ascii="仿宋" w:eastAsia="仿宋" w:hAnsi="仿宋" w:cs="仿宋"/>
          <w:sz w:val="28"/>
          <w:szCs w:val="28"/>
        </w:rPr>
        <w:t>95449</w:t>
      </w:r>
      <w:r w:rsidRPr="001A7243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1A7243">
        <w:rPr>
          <w:rFonts w:ascii="仿宋" w:eastAsia="仿宋" w:hAnsi="仿宋" w:cs="仿宋"/>
          <w:sz w:val="28"/>
          <w:szCs w:val="28"/>
        </w:rPr>
        <w:t>8.4%</w:t>
      </w:r>
      <w:r w:rsidRPr="001A7243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9B1FD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9B1FDC" w:rsidRDefault="009B1FDC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FCB" w:rsidRDefault="008F1FCB" w:rsidP="009B1FDC">
      <w:r>
        <w:separator/>
      </w:r>
    </w:p>
  </w:endnote>
  <w:endnote w:type="continuationSeparator" w:id="1">
    <w:p w:rsidR="008F1FCB" w:rsidRDefault="008F1FCB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838" w:rsidRDefault="00CE1838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C84838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617A12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C84838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C84838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617A12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C84838" w:rsidRDefault="00C8483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FCB" w:rsidRDefault="008F1FCB" w:rsidP="009B1FDC">
      <w:r>
        <w:separator/>
      </w:r>
    </w:p>
  </w:footnote>
  <w:footnote w:type="continuationSeparator" w:id="1">
    <w:p w:rsidR="008F1FCB" w:rsidRDefault="008F1FCB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838" w:rsidRDefault="00C84838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84838" w:rsidRDefault="00C84838">
    <w:pPr>
      <w:pStyle w:val="a5"/>
      <w:pBdr>
        <w:bottom w:val="none" w:sz="0" w:space="0" w:color="auto"/>
      </w:pBdr>
    </w:pPr>
  </w:p>
  <w:p w:rsidR="00C84838" w:rsidRDefault="00C84838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49154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7DFB"/>
    <w:rsid w:val="000133F2"/>
    <w:rsid w:val="00020488"/>
    <w:rsid w:val="00025F3A"/>
    <w:rsid w:val="000308BA"/>
    <w:rsid w:val="00034D91"/>
    <w:rsid w:val="00035EF6"/>
    <w:rsid w:val="0004312A"/>
    <w:rsid w:val="00043BD5"/>
    <w:rsid w:val="000524A0"/>
    <w:rsid w:val="000538D5"/>
    <w:rsid w:val="0006271A"/>
    <w:rsid w:val="0007451C"/>
    <w:rsid w:val="00083CF6"/>
    <w:rsid w:val="00085917"/>
    <w:rsid w:val="00085939"/>
    <w:rsid w:val="00096A95"/>
    <w:rsid w:val="00096CEE"/>
    <w:rsid w:val="000B0FBD"/>
    <w:rsid w:val="000C2753"/>
    <w:rsid w:val="000C2CDE"/>
    <w:rsid w:val="000C5BD8"/>
    <w:rsid w:val="000C6A76"/>
    <w:rsid w:val="000D3807"/>
    <w:rsid w:val="000D7161"/>
    <w:rsid w:val="000E24C0"/>
    <w:rsid w:val="000E75D7"/>
    <w:rsid w:val="000F5020"/>
    <w:rsid w:val="000F7115"/>
    <w:rsid w:val="001006E5"/>
    <w:rsid w:val="00101388"/>
    <w:rsid w:val="0010493A"/>
    <w:rsid w:val="001076A7"/>
    <w:rsid w:val="001128DB"/>
    <w:rsid w:val="00117B9C"/>
    <w:rsid w:val="001209C8"/>
    <w:rsid w:val="00132894"/>
    <w:rsid w:val="00134A19"/>
    <w:rsid w:val="00135602"/>
    <w:rsid w:val="00140694"/>
    <w:rsid w:val="0014454E"/>
    <w:rsid w:val="001470D3"/>
    <w:rsid w:val="00156AD9"/>
    <w:rsid w:val="0017137D"/>
    <w:rsid w:val="00193843"/>
    <w:rsid w:val="001944C7"/>
    <w:rsid w:val="001A611D"/>
    <w:rsid w:val="001A7243"/>
    <w:rsid w:val="001B0566"/>
    <w:rsid w:val="001B40D4"/>
    <w:rsid w:val="001C20CD"/>
    <w:rsid w:val="001D3943"/>
    <w:rsid w:val="001D51C3"/>
    <w:rsid w:val="001D66C9"/>
    <w:rsid w:val="001E436A"/>
    <w:rsid w:val="001E44DF"/>
    <w:rsid w:val="001F1627"/>
    <w:rsid w:val="001F5133"/>
    <w:rsid w:val="001F53BC"/>
    <w:rsid w:val="0020375C"/>
    <w:rsid w:val="0021248D"/>
    <w:rsid w:val="002153A3"/>
    <w:rsid w:val="00215CC5"/>
    <w:rsid w:val="00223425"/>
    <w:rsid w:val="002241BA"/>
    <w:rsid w:val="0022723B"/>
    <w:rsid w:val="00233C66"/>
    <w:rsid w:val="0023654D"/>
    <w:rsid w:val="002432F1"/>
    <w:rsid w:val="00254ACB"/>
    <w:rsid w:val="00254B8C"/>
    <w:rsid w:val="0026357C"/>
    <w:rsid w:val="0027222D"/>
    <w:rsid w:val="00277D2C"/>
    <w:rsid w:val="002827CF"/>
    <w:rsid w:val="00284A3C"/>
    <w:rsid w:val="00292B81"/>
    <w:rsid w:val="00294308"/>
    <w:rsid w:val="00294BF0"/>
    <w:rsid w:val="002951CA"/>
    <w:rsid w:val="00295C2D"/>
    <w:rsid w:val="002B1650"/>
    <w:rsid w:val="002B2AF6"/>
    <w:rsid w:val="002B4374"/>
    <w:rsid w:val="002B4D7E"/>
    <w:rsid w:val="002B7E00"/>
    <w:rsid w:val="002C1E4D"/>
    <w:rsid w:val="002C5A7C"/>
    <w:rsid w:val="002C6806"/>
    <w:rsid w:val="002D2965"/>
    <w:rsid w:val="002D67FA"/>
    <w:rsid w:val="0030370A"/>
    <w:rsid w:val="00315550"/>
    <w:rsid w:val="00330140"/>
    <w:rsid w:val="00351054"/>
    <w:rsid w:val="00361079"/>
    <w:rsid w:val="00363A5A"/>
    <w:rsid w:val="003713D1"/>
    <w:rsid w:val="003C03BF"/>
    <w:rsid w:val="003C587B"/>
    <w:rsid w:val="003D7C3C"/>
    <w:rsid w:val="003E5A2D"/>
    <w:rsid w:val="003F534D"/>
    <w:rsid w:val="00400BB7"/>
    <w:rsid w:val="00403EAD"/>
    <w:rsid w:val="00404F29"/>
    <w:rsid w:val="004240C3"/>
    <w:rsid w:val="0043293A"/>
    <w:rsid w:val="004438D9"/>
    <w:rsid w:val="004468EC"/>
    <w:rsid w:val="00447A7E"/>
    <w:rsid w:val="00455424"/>
    <w:rsid w:val="00460727"/>
    <w:rsid w:val="00461EC9"/>
    <w:rsid w:val="00477AAC"/>
    <w:rsid w:val="0048213C"/>
    <w:rsid w:val="00487D2C"/>
    <w:rsid w:val="00491A4E"/>
    <w:rsid w:val="00491FD8"/>
    <w:rsid w:val="0049544D"/>
    <w:rsid w:val="00497981"/>
    <w:rsid w:val="004A325A"/>
    <w:rsid w:val="004B3F10"/>
    <w:rsid w:val="004C40C3"/>
    <w:rsid w:val="004C4D15"/>
    <w:rsid w:val="004E5F2C"/>
    <w:rsid w:val="004F6A44"/>
    <w:rsid w:val="005000A9"/>
    <w:rsid w:val="005027CA"/>
    <w:rsid w:val="00514F38"/>
    <w:rsid w:val="005369A0"/>
    <w:rsid w:val="00537871"/>
    <w:rsid w:val="00562C5F"/>
    <w:rsid w:val="005644D5"/>
    <w:rsid w:val="00564DD0"/>
    <w:rsid w:val="005728D8"/>
    <w:rsid w:val="00583127"/>
    <w:rsid w:val="00587A17"/>
    <w:rsid w:val="0059522B"/>
    <w:rsid w:val="005B2422"/>
    <w:rsid w:val="005B6C8D"/>
    <w:rsid w:val="005C0E51"/>
    <w:rsid w:val="005C27BC"/>
    <w:rsid w:val="005D7BFA"/>
    <w:rsid w:val="005E1428"/>
    <w:rsid w:val="005E152A"/>
    <w:rsid w:val="005E5645"/>
    <w:rsid w:val="005E6DA3"/>
    <w:rsid w:val="005F185E"/>
    <w:rsid w:val="005F335A"/>
    <w:rsid w:val="005F4661"/>
    <w:rsid w:val="00612B48"/>
    <w:rsid w:val="00617A12"/>
    <w:rsid w:val="006259B0"/>
    <w:rsid w:val="006349D1"/>
    <w:rsid w:val="00635DE9"/>
    <w:rsid w:val="006456B0"/>
    <w:rsid w:val="00645CD6"/>
    <w:rsid w:val="006474A1"/>
    <w:rsid w:val="00655213"/>
    <w:rsid w:val="0066117C"/>
    <w:rsid w:val="006619A0"/>
    <w:rsid w:val="006653C3"/>
    <w:rsid w:val="0068419C"/>
    <w:rsid w:val="00687DFE"/>
    <w:rsid w:val="00695DC6"/>
    <w:rsid w:val="0069612A"/>
    <w:rsid w:val="006A5CC5"/>
    <w:rsid w:val="006B00C4"/>
    <w:rsid w:val="006B2652"/>
    <w:rsid w:val="006B780F"/>
    <w:rsid w:val="006D4195"/>
    <w:rsid w:val="006E3F43"/>
    <w:rsid w:val="007116AF"/>
    <w:rsid w:val="007274C1"/>
    <w:rsid w:val="00733411"/>
    <w:rsid w:val="00735CCE"/>
    <w:rsid w:val="007419C8"/>
    <w:rsid w:val="007441A5"/>
    <w:rsid w:val="00746C71"/>
    <w:rsid w:val="007510DA"/>
    <w:rsid w:val="007545F7"/>
    <w:rsid w:val="00760F98"/>
    <w:rsid w:val="00761DA8"/>
    <w:rsid w:val="00762659"/>
    <w:rsid w:val="00764161"/>
    <w:rsid w:val="00777E3C"/>
    <w:rsid w:val="00791197"/>
    <w:rsid w:val="007A2906"/>
    <w:rsid w:val="007A4701"/>
    <w:rsid w:val="007B48CA"/>
    <w:rsid w:val="007B50FD"/>
    <w:rsid w:val="007B63DD"/>
    <w:rsid w:val="007B6C15"/>
    <w:rsid w:val="007C32F6"/>
    <w:rsid w:val="007C4414"/>
    <w:rsid w:val="007C68D1"/>
    <w:rsid w:val="007D1289"/>
    <w:rsid w:val="007D496F"/>
    <w:rsid w:val="007D61D1"/>
    <w:rsid w:val="007E15A8"/>
    <w:rsid w:val="007E15E3"/>
    <w:rsid w:val="007E325A"/>
    <w:rsid w:val="007E3D63"/>
    <w:rsid w:val="007E47F0"/>
    <w:rsid w:val="007E65C9"/>
    <w:rsid w:val="007F2C09"/>
    <w:rsid w:val="00800CDB"/>
    <w:rsid w:val="0080544C"/>
    <w:rsid w:val="0080729C"/>
    <w:rsid w:val="0081768D"/>
    <w:rsid w:val="00823AC9"/>
    <w:rsid w:val="00824F69"/>
    <w:rsid w:val="008253ED"/>
    <w:rsid w:val="008322E6"/>
    <w:rsid w:val="00834D61"/>
    <w:rsid w:val="00836D23"/>
    <w:rsid w:val="0084474A"/>
    <w:rsid w:val="00851423"/>
    <w:rsid w:val="008567F6"/>
    <w:rsid w:val="00857BA3"/>
    <w:rsid w:val="00872209"/>
    <w:rsid w:val="0087364C"/>
    <w:rsid w:val="00873C6D"/>
    <w:rsid w:val="00884C52"/>
    <w:rsid w:val="00885481"/>
    <w:rsid w:val="0089094C"/>
    <w:rsid w:val="00891E12"/>
    <w:rsid w:val="008A13F1"/>
    <w:rsid w:val="008A16F4"/>
    <w:rsid w:val="008A4ADF"/>
    <w:rsid w:val="008D0BC3"/>
    <w:rsid w:val="008D4DF4"/>
    <w:rsid w:val="008E4D4B"/>
    <w:rsid w:val="008F0C22"/>
    <w:rsid w:val="008F0EA6"/>
    <w:rsid w:val="008F1FCB"/>
    <w:rsid w:val="009067E8"/>
    <w:rsid w:val="00910F41"/>
    <w:rsid w:val="00911C20"/>
    <w:rsid w:val="00914E5F"/>
    <w:rsid w:val="00927365"/>
    <w:rsid w:val="009373E9"/>
    <w:rsid w:val="00953D05"/>
    <w:rsid w:val="00965694"/>
    <w:rsid w:val="009714AB"/>
    <w:rsid w:val="00981905"/>
    <w:rsid w:val="00985CE4"/>
    <w:rsid w:val="00990AE6"/>
    <w:rsid w:val="00993180"/>
    <w:rsid w:val="00993879"/>
    <w:rsid w:val="0099657D"/>
    <w:rsid w:val="00997207"/>
    <w:rsid w:val="009A41DE"/>
    <w:rsid w:val="009A6423"/>
    <w:rsid w:val="009B1FDC"/>
    <w:rsid w:val="009B2B0B"/>
    <w:rsid w:val="009B4DE2"/>
    <w:rsid w:val="009B6896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31F3B"/>
    <w:rsid w:val="00A3381B"/>
    <w:rsid w:val="00A431A7"/>
    <w:rsid w:val="00A45A0A"/>
    <w:rsid w:val="00A45D47"/>
    <w:rsid w:val="00A47797"/>
    <w:rsid w:val="00A54A17"/>
    <w:rsid w:val="00A564D5"/>
    <w:rsid w:val="00A70333"/>
    <w:rsid w:val="00A7553D"/>
    <w:rsid w:val="00A77016"/>
    <w:rsid w:val="00A86414"/>
    <w:rsid w:val="00A9016F"/>
    <w:rsid w:val="00AA2B10"/>
    <w:rsid w:val="00AA726E"/>
    <w:rsid w:val="00AB77E9"/>
    <w:rsid w:val="00AC0BBE"/>
    <w:rsid w:val="00AC5239"/>
    <w:rsid w:val="00AD0D88"/>
    <w:rsid w:val="00AD4A90"/>
    <w:rsid w:val="00AD545F"/>
    <w:rsid w:val="00AD5D7D"/>
    <w:rsid w:val="00AE5627"/>
    <w:rsid w:val="00AF20F0"/>
    <w:rsid w:val="00AF48E9"/>
    <w:rsid w:val="00B048E7"/>
    <w:rsid w:val="00B10BC4"/>
    <w:rsid w:val="00B23FD4"/>
    <w:rsid w:val="00B306B3"/>
    <w:rsid w:val="00B31CA8"/>
    <w:rsid w:val="00B36608"/>
    <w:rsid w:val="00B4232A"/>
    <w:rsid w:val="00B42350"/>
    <w:rsid w:val="00B42DF1"/>
    <w:rsid w:val="00B44411"/>
    <w:rsid w:val="00B520C1"/>
    <w:rsid w:val="00B57551"/>
    <w:rsid w:val="00B62BC8"/>
    <w:rsid w:val="00B779AB"/>
    <w:rsid w:val="00B8208E"/>
    <w:rsid w:val="00BA72F0"/>
    <w:rsid w:val="00BA7BA1"/>
    <w:rsid w:val="00BB56DD"/>
    <w:rsid w:val="00BD0117"/>
    <w:rsid w:val="00BD5E1E"/>
    <w:rsid w:val="00BE0DD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50B6A"/>
    <w:rsid w:val="00C52C3A"/>
    <w:rsid w:val="00C641DD"/>
    <w:rsid w:val="00C64DB3"/>
    <w:rsid w:val="00C70A39"/>
    <w:rsid w:val="00C77BE0"/>
    <w:rsid w:val="00C84838"/>
    <w:rsid w:val="00C92DB0"/>
    <w:rsid w:val="00C92F00"/>
    <w:rsid w:val="00C93D64"/>
    <w:rsid w:val="00CA2500"/>
    <w:rsid w:val="00CB48B7"/>
    <w:rsid w:val="00CC67C0"/>
    <w:rsid w:val="00CC7472"/>
    <w:rsid w:val="00CD2145"/>
    <w:rsid w:val="00CD2B03"/>
    <w:rsid w:val="00CD3B11"/>
    <w:rsid w:val="00CD65BB"/>
    <w:rsid w:val="00CD7279"/>
    <w:rsid w:val="00CE1838"/>
    <w:rsid w:val="00CE3D30"/>
    <w:rsid w:val="00CE4B61"/>
    <w:rsid w:val="00CF01D1"/>
    <w:rsid w:val="00CF032A"/>
    <w:rsid w:val="00CF6D64"/>
    <w:rsid w:val="00D013C8"/>
    <w:rsid w:val="00D14616"/>
    <w:rsid w:val="00D1688D"/>
    <w:rsid w:val="00D241EB"/>
    <w:rsid w:val="00D436F2"/>
    <w:rsid w:val="00D46F19"/>
    <w:rsid w:val="00D54B3B"/>
    <w:rsid w:val="00D56D51"/>
    <w:rsid w:val="00D707F0"/>
    <w:rsid w:val="00D70F3A"/>
    <w:rsid w:val="00D9274F"/>
    <w:rsid w:val="00D9634D"/>
    <w:rsid w:val="00DA010F"/>
    <w:rsid w:val="00DA113E"/>
    <w:rsid w:val="00DA1239"/>
    <w:rsid w:val="00DB121A"/>
    <w:rsid w:val="00DD14F8"/>
    <w:rsid w:val="00DD3ECF"/>
    <w:rsid w:val="00DF26F7"/>
    <w:rsid w:val="00DF6493"/>
    <w:rsid w:val="00DF738C"/>
    <w:rsid w:val="00E1223E"/>
    <w:rsid w:val="00E16C8C"/>
    <w:rsid w:val="00E21C2B"/>
    <w:rsid w:val="00E22F7D"/>
    <w:rsid w:val="00E30E69"/>
    <w:rsid w:val="00E50622"/>
    <w:rsid w:val="00E551D3"/>
    <w:rsid w:val="00E5577A"/>
    <w:rsid w:val="00E57FC7"/>
    <w:rsid w:val="00E6031F"/>
    <w:rsid w:val="00E70F83"/>
    <w:rsid w:val="00E71AEA"/>
    <w:rsid w:val="00E71B40"/>
    <w:rsid w:val="00E90BA4"/>
    <w:rsid w:val="00E94998"/>
    <w:rsid w:val="00E960D1"/>
    <w:rsid w:val="00E97139"/>
    <w:rsid w:val="00EB41F5"/>
    <w:rsid w:val="00EC1596"/>
    <w:rsid w:val="00EC6EDD"/>
    <w:rsid w:val="00EC7A75"/>
    <w:rsid w:val="00ED4E0B"/>
    <w:rsid w:val="00EE240D"/>
    <w:rsid w:val="00EE5CEB"/>
    <w:rsid w:val="00EF2763"/>
    <w:rsid w:val="00F07379"/>
    <w:rsid w:val="00F15674"/>
    <w:rsid w:val="00F16010"/>
    <w:rsid w:val="00F267F7"/>
    <w:rsid w:val="00F27154"/>
    <w:rsid w:val="00F36DE5"/>
    <w:rsid w:val="00F51A12"/>
    <w:rsid w:val="00F6141E"/>
    <w:rsid w:val="00F63B59"/>
    <w:rsid w:val="00F72F1C"/>
    <w:rsid w:val="00F837E4"/>
    <w:rsid w:val="00F90807"/>
    <w:rsid w:val="00F913D1"/>
    <w:rsid w:val="00F92986"/>
    <w:rsid w:val="00FA552B"/>
    <w:rsid w:val="00FA620A"/>
    <w:rsid w:val="00FA6990"/>
    <w:rsid w:val="00FA7D1D"/>
    <w:rsid w:val="00FB74C5"/>
    <w:rsid w:val="00FB7651"/>
    <w:rsid w:val="00FB7750"/>
    <w:rsid w:val="00FC00DE"/>
    <w:rsid w:val="00FC236A"/>
    <w:rsid w:val="00FC31F5"/>
    <w:rsid w:val="00FC4D3B"/>
    <w:rsid w:val="00FC5522"/>
    <w:rsid w:val="00FD691E"/>
    <w:rsid w:val="00FD6CA4"/>
    <w:rsid w:val="00FD768A"/>
    <w:rsid w:val="00FE0FE4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0608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143021814216452"/>
          <c:y val="4.88506699820420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29965"/>
          <c:h val="0.672415680045808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'!$B$7:$C$2205</c:f>
              <c:numCache>
                <c:formatCode>yy/mm/dd</c:formatCode>
                <c:ptCount val="2191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</c:numCache>
            </c:numRef>
          </c:cat>
          <c:val>
            <c:numRef>
              <c:f>'pvc期货  '!$H$7:$H$2205</c:f>
              <c:numCache>
                <c:formatCode>0_);[Red]\(0\)</c:formatCode>
                <c:ptCount val="2191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</c:numCache>
            </c:numRef>
          </c:val>
        </c:ser>
        <c:marker val="1"/>
        <c:axId val="153618688"/>
        <c:axId val="171741184"/>
      </c:lineChart>
      <c:dateAx>
        <c:axId val="153618688"/>
        <c:scaling>
          <c:orientation val="minMax"/>
          <c:max val="43269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1741184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71741184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3618688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41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重点PVC厂家价格!$A$16:$A$2283</c:f>
              <c:numCache>
                <c:formatCode>yy/mm/dd</c:formatCode>
                <c:ptCount val="2268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</c:numCache>
            </c:numRef>
          </c:cat>
          <c:val>
            <c:numRef>
              <c:f>重点PVC厂家价格!$B$17:$B$2283</c:f>
              <c:numCache>
                <c:formatCode>General</c:formatCode>
                <c:ptCount val="2267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重点PVC厂家价格!$A$16:$A$2283</c:f>
              <c:numCache>
                <c:formatCode>yy/mm/dd</c:formatCode>
                <c:ptCount val="2268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</c:numCache>
            </c:numRef>
          </c:cat>
          <c:val>
            <c:numRef>
              <c:f>重点PVC厂家价格!$D$16:$D$2283</c:f>
              <c:numCache>
                <c:formatCode>General</c:formatCode>
                <c:ptCount val="2268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重点PVC厂家价格!$A$16:$A$2283</c:f>
              <c:numCache>
                <c:formatCode>yy/mm/dd</c:formatCode>
                <c:ptCount val="2268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</c:numCache>
            </c:numRef>
          </c:cat>
          <c:val>
            <c:numRef>
              <c:f>重点PVC厂家价格!$E$16:$E$2283</c:f>
              <c:numCache>
                <c:formatCode>General</c:formatCode>
                <c:ptCount val="2268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</c:numCache>
            </c:numRef>
          </c:val>
        </c:ser>
        <c:marker val="1"/>
        <c:axId val="175575040"/>
        <c:axId val="175576960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重点PVC厂家价格!$A$16:$A$2242</c15:sqref>
                        </c15:formulaRef>
                      </c:ext>
                    </c:extLst>
                    <c:numCache>
                      <c:formatCode>yy/mm/dd</c:formatCode>
                      <c:ptCount val="222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重点PVC厂家价格!$A$16:$A$2242</c15:sqref>
                        </c15:formulaRef>
                      </c:ext>
                    </c:extLst>
                    <c:numCache>
                      <c:formatCode>yy/mm/dd</c:formatCode>
                      <c:ptCount val="222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75575040"/>
        <c:scaling>
          <c:orientation val="minMax"/>
          <c:max val="4326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5576960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175576960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5575040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194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6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3000607402908"/>
          <c:y val="3.977692298655357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736"/>
          <c:w val="0.81708579531006897"/>
          <c:h val="0.667020069461028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'!$B$21:$B$2217</c:f>
              <c:numCache>
                <c:formatCode>yy/mm/dd</c:formatCode>
                <c:ptCount val="2197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</c:numCache>
            </c:numRef>
          </c:cat>
          <c:val>
            <c:numRef>
              <c:f>'国内电石法PVC市场价格 '!$C$21:$C$2217</c:f>
              <c:numCache>
                <c:formatCode>General</c:formatCode>
                <c:ptCount val="2197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7000</c:v>
                </c:pt>
                <c:pt idx="2173">
                  <c:v>7050</c:v>
                </c:pt>
                <c:pt idx="2174">
                  <c:v>7050</c:v>
                </c:pt>
                <c:pt idx="2175">
                  <c:v>7050</c:v>
                </c:pt>
                <c:pt idx="2176">
                  <c:v>7050</c:v>
                </c:pt>
                <c:pt idx="2177">
                  <c:v>7050</c:v>
                </c:pt>
                <c:pt idx="2178">
                  <c:v>7050</c:v>
                </c:pt>
                <c:pt idx="2179">
                  <c:v>7050</c:v>
                </c:pt>
                <c:pt idx="2180">
                  <c:v>7050</c:v>
                </c:pt>
                <c:pt idx="2181">
                  <c:v>6950</c:v>
                </c:pt>
                <c:pt idx="2182">
                  <c:v>6950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6900</c:v>
                </c:pt>
                <c:pt idx="2190">
                  <c:v>6900</c:v>
                </c:pt>
                <c:pt idx="2191">
                  <c:v>6900</c:v>
                </c:pt>
                <c:pt idx="2192">
                  <c:v>6900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'!$B$21:$B$2217</c:f>
              <c:numCache>
                <c:formatCode>yy/mm/dd</c:formatCode>
                <c:ptCount val="2197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</c:numCache>
            </c:numRef>
          </c:cat>
          <c:val>
            <c:numRef>
              <c:f>'国内电石法PVC市场价格 '!$D$21:$D$2217</c:f>
              <c:numCache>
                <c:formatCode>General</c:formatCode>
                <c:ptCount val="2197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6980</c:v>
                </c:pt>
                <c:pt idx="2173">
                  <c:v>7050</c:v>
                </c:pt>
                <c:pt idx="2174">
                  <c:v>7080</c:v>
                </c:pt>
                <c:pt idx="2175">
                  <c:v>7080</c:v>
                </c:pt>
                <c:pt idx="2176">
                  <c:v>7080</c:v>
                </c:pt>
                <c:pt idx="2177">
                  <c:v>7080</c:v>
                </c:pt>
                <c:pt idx="2178">
                  <c:v>7080</c:v>
                </c:pt>
                <c:pt idx="2179">
                  <c:v>7080</c:v>
                </c:pt>
                <c:pt idx="2180">
                  <c:v>7080</c:v>
                </c:pt>
                <c:pt idx="2181">
                  <c:v>7080</c:v>
                </c:pt>
                <c:pt idx="2182">
                  <c:v>7080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6850</c:v>
                </c:pt>
                <c:pt idx="2190">
                  <c:v>6850</c:v>
                </c:pt>
                <c:pt idx="2191">
                  <c:v>6850</c:v>
                </c:pt>
                <c:pt idx="2192">
                  <c:v>6950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'!$B$21:$B$2217</c:f>
              <c:numCache>
                <c:formatCode>yy/mm/dd</c:formatCode>
                <c:ptCount val="2197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</c:numCache>
            </c:numRef>
          </c:cat>
          <c:val>
            <c:numRef>
              <c:f>'国内电石法PVC市场价格 '!$E$21:$E$2217</c:f>
              <c:numCache>
                <c:formatCode>General</c:formatCode>
                <c:ptCount val="2197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  <c:pt idx="2172">
                  <c:v>7050</c:v>
                </c:pt>
                <c:pt idx="2173">
                  <c:v>6330</c:v>
                </c:pt>
                <c:pt idx="2174">
                  <c:v>6330</c:v>
                </c:pt>
                <c:pt idx="2175">
                  <c:v>6330</c:v>
                </c:pt>
                <c:pt idx="2176">
                  <c:v>6330</c:v>
                </c:pt>
                <c:pt idx="2177">
                  <c:v>6330</c:v>
                </c:pt>
                <c:pt idx="2178">
                  <c:v>6330</c:v>
                </c:pt>
                <c:pt idx="2179">
                  <c:v>6330</c:v>
                </c:pt>
                <c:pt idx="2180">
                  <c:v>6330</c:v>
                </c:pt>
                <c:pt idx="2181">
                  <c:v>6330</c:v>
                </c:pt>
                <c:pt idx="2182">
                  <c:v>6330</c:v>
                </c:pt>
                <c:pt idx="2183">
                  <c:v>6320</c:v>
                </c:pt>
                <c:pt idx="2184">
                  <c:v>6320</c:v>
                </c:pt>
                <c:pt idx="2185">
                  <c:v>6320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6200</c:v>
                </c:pt>
                <c:pt idx="2193">
                  <c:v>6280</c:v>
                </c:pt>
                <c:pt idx="2194">
                  <c:v>6280</c:v>
                </c:pt>
                <c:pt idx="2195">
                  <c:v>6350</c:v>
                </c:pt>
                <c:pt idx="2196">
                  <c:v>6350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'!$B$21:$B$2217</c:f>
              <c:numCache>
                <c:formatCode>yy/mm/dd</c:formatCode>
                <c:ptCount val="2197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</c:numCache>
            </c:numRef>
          </c:cat>
          <c:val>
            <c:numRef>
              <c:f>'国内电石法PVC市场价格 '!$F$21:$F$2217</c:f>
              <c:numCache>
                <c:formatCode>General</c:formatCode>
                <c:ptCount val="2197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  <c:pt idx="2172">
                  <c:v>6130</c:v>
                </c:pt>
                <c:pt idx="2173">
                  <c:v>6300</c:v>
                </c:pt>
                <c:pt idx="2174">
                  <c:v>6400</c:v>
                </c:pt>
                <c:pt idx="2175">
                  <c:v>6400</c:v>
                </c:pt>
                <c:pt idx="2176">
                  <c:v>6400</c:v>
                </c:pt>
                <c:pt idx="2177">
                  <c:v>6400</c:v>
                </c:pt>
                <c:pt idx="2178">
                  <c:v>6400</c:v>
                </c:pt>
                <c:pt idx="2179">
                  <c:v>6400</c:v>
                </c:pt>
                <c:pt idx="2180">
                  <c:v>6400</c:v>
                </c:pt>
                <c:pt idx="2181">
                  <c:v>6400</c:v>
                </c:pt>
                <c:pt idx="2182">
                  <c:v>6400</c:v>
                </c:pt>
                <c:pt idx="2183">
                  <c:v>6340</c:v>
                </c:pt>
                <c:pt idx="2184">
                  <c:v>6280</c:v>
                </c:pt>
                <c:pt idx="2185">
                  <c:v>6280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6220</c:v>
                </c:pt>
                <c:pt idx="2193">
                  <c:v>6290</c:v>
                </c:pt>
                <c:pt idx="2194">
                  <c:v>6290</c:v>
                </c:pt>
                <c:pt idx="2195">
                  <c:v>6290</c:v>
                </c:pt>
                <c:pt idx="2196">
                  <c:v>6290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'!$B$21:$B$2217</c:f>
              <c:numCache>
                <c:formatCode>yy/mm/dd</c:formatCode>
                <c:ptCount val="2197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</c:numCache>
            </c:numRef>
          </c:cat>
          <c:val>
            <c:numRef>
              <c:f>'国内电石法PVC市场价格 '!$G$21:$G$2217</c:f>
              <c:numCache>
                <c:formatCode>General</c:formatCode>
                <c:ptCount val="2197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  <c:pt idx="2172">
                  <c:v>6980</c:v>
                </c:pt>
                <c:pt idx="2173">
                  <c:v>6980</c:v>
                </c:pt>
                <c:pt idx="2174">
                  <c:v>7100</c:v>
                </c:pt>
                <c:pt idx="2175">
                  <c:v>7100</c:v>
                </c:pt>
                <c:pt idx="2176">
                  <c:v>7100</c:v>
                </c:pt>
                <c:pt idx="2177">
                  <c:v>7100</c:v>
                </c:pt>
                <c:pt idx="2178">
                  <c:v>7100</c:v>
                </c:pt>
                <c:pt idx="2179">
                  <c:v>7100</c:v>
                </c:pt>
                <c:pt idx="2180">
                  <c:v>7100</c:v>
                </c:pt>
                <c:pt idx="2181">
                  <c:v>6900</c:v>
                </c:pt>
                <c:pt idx="2182">
                  <c:v>6900</c:v>
                </c:pt>
                <c:pt idx="2183">
                  <c:v>6980</c:v>
                </c:pt>
                <c:pt idx="2184">
                  <c:v>6980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6920</c:v>
                </c:pt>
                <c:pt idx="2190">
                  <c:v>6920</c:v>
                </c:pt>
                <c:pt idx="2191">
                  <c:v>6920</c:v>
                </c:pt>
                <c:pt idx="2192">
                  <c:v>6960</c:v>
                </c:pt>
                <c:pt idx="2193">
                  <c:v>7000</c:v>
                </c:pt>
                <c:pt idx="2194">
                  <c:v>7000</c:v>
                </c:pt>
                <c:pt idx="2195">
                  <c:v>7000</c:v>
                </c:pt>
                <c:pt idx="2196">
                  <c:v>7000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150409600"/>
        <c:axId val="150411136"/>
      </c:lineChart>
      <c:dateAx>
        <c:axId val="150409600"/>
        <c:scaling>
          <c:orientation val="minMax"/>
          <c:max val="4326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0411136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0411136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0409600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5548E-2"/>
          <c:y val="0.17997724591187444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5156"/>
          <c:h val="0.650569084263315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PVC外盘'!$A$7:$A$593</c:f>
              <c:numCache>
                <c:formatCode>yy/mm/dd</c:formatCode>
                <c:ptCount val="470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</c:numCache>
            </c:numRef>
          </c:cat>
          <c:val>
            <c:numRef>
              <c:f>'乙烯法PVC国际价格表  周四 PVC外盘'!$B$7:$B$593</c:f>
              <c:numCache>
                <c:formatCode>0_ </c:formatCode>
                <c:ptCount val="470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PVC外盘'!$A$7:$A$593</c:f>
              <c:numCache>
                <c:formatCode>yy/mm/dd</c:formatCode>
                <c:ptCount val="470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</c:numCache>
            </c:numRef>
          </c:cat>
          <c:val>
            <c:numRef>
              <c:f>'乙烯法PVC国际价格表  周四 PVC外盘'!$C$7:$C$593</c:f>
              <c:numCache>
                <c:formatCode>0_ </c:formatCode>
                <c:ptCount val="470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</c:numCache>
            </c:numRef>
          </c:val>
        </c:ser>
        <c:marker val="1"/>
        <c:axId val="151841024"/>
        <c:axId val="153300992"/>
      </c:lineChart>
      <c:dateAx>
        <c:axId val="151841024"/>
        <c:scaling>
          <c:orientation val="minMax"/>
          <c:max val="43269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3300992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3300992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1841024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6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562"/>
          <c:h val="0.65798707294552816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Sheet1!$B$4:$B$627</c:f>
              <c:numCache>
                <c:formatCode>yy/mm/dd</c:formatCode>
                <c:ptCount val="624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</c:numCache>
            </c:numRef>
          </c:cat>
          <c:val>
            <c:numRef>
              <c:f>Sheet1!$C$4:$C$627</c:f>
              <c:numCache>
                <c:formatCode>General</c:formatCode>
                <c:ptCount val="624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30.439999999999991</c:v>
                </c:pt>
                <c:pt idx="6">
                  <c:v>30.47999999999999</c:v>
                </c:pt>
                <c:pt idx="7">
                  <c:v>31.2</c:v>
                </c:pt>
                <c:pt idx="8">
                  <c:v>29.419999999999991</c:v>
                </c:pt>
                <c:pt idx="10">
                  <c:v>28.45999999999999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27.939999999999991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29.439999999999991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2">
                  <c:v>0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60.120000000000012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61.190000000000012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64.940000000000026</c:v>
                </c:pt>
                <c:pt idx="574">
                  <c:v>64.940000000000026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5">
                  <c:v>0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Sheet1!$B$4:$B$627</c:f>
              <c:numCache>
                <c:formatCode>yy/mm/dd</c:formatCode>
                <c:ptCount val="624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</c:numCache>
            </c:numRef>
          </c:cat>
          <c:val>
            <c:numRef>
              <c:f>Sheet1!$D$4:$D$627</c:f>
              <c:numCache>
                <c:formatCode>General</c:formatCode>
                <c:ptCount val="624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30.310000000000009</c:v>
                </c:pt>
                <c:pt idx="7">
                  <c:v>31.03</c:v>
                </c:pt>
                <c:pt idx="8">
                  <c:v>28.939999999999991</c:v>
                </c:pt>
                <c:pt idx="9">
                  <c:v>28.55</c:v>
                </c:pt>
                <c:pt idx="10">
                  <c:v>28.759999999999991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68.910000000000025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76.440000000000026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</c:numCache>
            </c:numRef>
          </c:val>
        </c:ser>
        <c:marker val="1"/>
        <c:axId val="150598016"/>
        <c:axId val="150599552"/>
      </c:lineChart>
      <c:dateAx>
        <c:axId val="150598016"/>
        <c:scaling>
          <c:orientation val="minMax"/>
          <c:max val="43254"/>
          <c:min val="42493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50599552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0599552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50598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183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69479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每日外盘1'!$A$7:$C$2417</c:f>
              <c:numCache>
                <c:formatCode>yy/mm/dd</c:formatCode>
                <c:ptCount val="240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每日外盘1'!$A$7:$C$2417</c:f>
              <c:numCache>
                <c:formatCode>yy/mm/dd</c:formatCode>
                <c:ptCount val="240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每日外盘1'!$A$7:$C$2451</c:f>
              <c:numCache>
                <c:formatCode>yy/mm/dd</c:formatCode>
                <c:ptCount val="244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</c:numCache>
            </c:numRef>
          </c:cat>
          <c:val>
            <c:numRef>
              <c:f>'乙烯单体价格表  每日外盘1'!$D$9:$D$2451</c:f>
              <c:numCache>
                <c:formatCode>General</c:formatCode>
                <c:ptCount val="2439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每日外盘1'!$A$7:$A$2451</c:f>
              <c:numCache>
                <c:formatCode>yy/mm/dd</c:formatCode>
                <c:ptCount val="244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</c:numCache>
            </c:numRef>
          </c:cat>
          <c:val>
            <c:numRef>
              <c:f>'乙烯单体价格表  每日外盘1'!$E$7:$E$2451</c:f>
              <c:numCache>
                <c:formatCode>General</c:formatCode>
                <c:ptCount val="2441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每日外盘1'!$A$7:$C$2451</c:f>
              <c:numCache>
                <c:formatCode>yy/mm/dd</c:formatCode>
                <c:ptCount val="244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</c:numCache>
            </c:numRef>
          </c:cat>
          <c:val>
            <c:numRef>
              <c:f>'乙烯单体价格表  每日外盘1'!$F$7:$F$2451</c:f>
              <c:numCache>
                <c:formatCode>General</c:formatCode>
                <c:ptCount val="2441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  <c:pt idx="2315">
                  <c:v>1105</c:v>
                </c:pt>
                <c:pt idx="2316">
                  <c:v>1109</c:v>
                </c:pt>
                <c:pt idx="2317">
                  <c:v>1101.5</c:v>
                </c:pt>
                <c:pt idx="2318">
                  <c:v>1105</c:v>
                </c:pt>
                <c:pt idx="2319">
                  <c:v>1105.5</c:v>
                </c:pt>
                <c:pt idx="2320">
                  <c:v>1117</c:v>
                </c:pt>
                <c:pt idx="2321">
                  <c:v>1119.5</c:v>
                </c:pt>
                <c:pt idx="2322">
                  <c:v>1170.5</c:v>
                </c:pt>
                <c:pt idx="2323">
                  <c:v>1152.5</c:v>
                </c:pt>
                <c:pt idx="2324">
                  <c:v>1153</c:v>
                </c:pt>
                <c:pt idx="2325">
                  <c:v>1152</c:v>
                </c:pt>
                <c:pt idx="2326">
                  <c:v>1152</c:v>
                </c:pt>
                <c:pt idx="2327">
                  <c:v>1156</c:v>
                </c:pt>
                <c:pt idx="2328">
                  <c:v>1175.5</c:v>
                </c:pt>
                <c:pt idx="2329">
                  <c:v>1178.5</c:v>
                </c:pt>
                <c:pt idx="2330">
                  <c:v>1184.5</c:v>
                </c:pt>
                <c:pt idx="2331">
                  <c:v>1182</c:v>
                </c:pt>
                <c:pt idx="2332">
                  <c:v>1187</c:v>
                </c:pt>
                <c:pt idx="2333">
                  <c:v>1184</c:v>
                </c:pt>
                <c:pt idx="2334">
                  <c:v>1180</c:v>
                </c:pt>
                <c:pt idx="2335">
                  <c:v>1175</c:v>
                </c:pt>
                <c:pt idx="2336">
                  <c:v>1206</c:v>
                </c:pt>
                <c:pt idx="2337">
                  <c:v>1214.5</c:v>
                </c:pt>
                <c:pt idx="2338">
                  <c:v>1226</c:v>
                </c:pt>
                <c:pt idx="2339">
                  <c:v>1238.5</c:v>
                </c:pt>
                <c:pt idx="2340">
                  <c:v>1235.5</c:v>
                </c:pt>
                <c:pt idx="2341">
                  <c:v>1237</c:v>
                </c:pt>
                <c:pt idx="2342">
                  <c:v>1239</c:v>
                </c:pt>
                <c:pt idx="2343">
                  <c:v>1251.5</c:v>
                </c:pt>
                <c:pt idx="2344">
                  <c:v>1256.5</c:v>
                </c:pt>
                <c:pt idx="2345">
                  <c:v>1260.5</c:v>
                </c:pt>
                <c:pt idx="2346">
                  <c:v>1273</c:v>
                </c:pt>
                <c:pt idx="2347">
                  <c:v>1284</c:v>
                </c:pt>
                <c:pt idx="2348">
                  <c:v>1301</c:v>
                </c:pt>
                <c:pt idx="2349">
                  <c:v>1303</c:v>
                </c:pt>
                <c:pt idx="2350">
                  <c:v>1308</c:v>
                </c:pt>
                <c:pt idx="2351">
                  <c:v>1313</c:v>
                </c:pt>
                <c:pt idx="2352">
                  <c:v>1316.5</c:v>
                </c:pt>
                <c:pt idx="2353">
                  <c:v>1313</c:v>
                </c:pt>
                <c:pt idx="2354">
                  <c:v>1310</c:v>
                </c:pt>
                <c:pt idx="2355">
                  <c:v>1304.5</c:v>
                </c:pt>
                <c:pt idx="2356">
                  <c:v>1296</c:v>
                </c:pt>
                <c:pt idx="2357">
                  <c:v>1290.5</c:v>
                </c:pt>
                <c:pt idx="2358">
                  <c:v>1297</c:v>
                </c:pt>
                <c:pt idx="2359">
                  <c:v>1297.75</c:v>
                </c:pt>
                <c:pt idx="2360">
                  <c:v>1304</c:v>
                </c:pt>
                <c:pt idx="2361">
                  <c:v>1206</c:v>
                </c:pt>
                <c:pt idx="2362">
                  <c:v>1311</c:v>
                </c:pt>
                <c:pt idx="2363">
                  <c:v>1303.5</c:v>
                </c:pt>
                <c:pt idx="2364">
                  <c:v>1292.5</c:v>
                </c:pt>
                <c:pt idx="2365">
                  <c:v>1283</c:v>
                </c:pt>
                <c:pt idx="2366">
                  <c:v>1277.5</c:v>
                </c:pt>
                <c:pt idx="2367">
                  <c:v>1276.5</c:v>
                </c:pt>
                <c:pt idx="2368">
                  <c:v>1273</c:v>
                </c:pt>
                <c:pt idx="2369">
                  <c:v>1271</c:v>
                </c:pt>
                <c:pt idx="2370">
                  <c:v>1265.5</c:v>
                </c:pt>
                <c:pt idx="2371">
                  <c:v>1265</c:v>
                </c:pt>
                <c:pt idx="2372">
                  <c:v>1263</c:v>
                </c:pt>
                <c:pt idx="2373">
                  <c:v>1276</c:v>
                </c:pt>
                <c:pt idx="2374">
                  <c:v>1279.5</c:v>
                </c:pt>
                <c:pt idx="2375">
                  <c:v>1286.5</c:v>
                </c:pt>
                <c:pt idx="2376">
                  <c:v>1284.5</c:v>
                </c:pt>
                <c:pt idx="2377">
                  <c:v>1279.5</c:v>
                </c:pt>
                <c:pt idx="2378">
                  <c:v>1278</c:v>
                </c:pt>
                <c:pt idx="2379">
                  <c:v>1277.5</c:v>
                </c:pt>
                <c:pt idx="2380">
                  <c:v>1285.5</c:v>
                </c:pt>
                <c:pt idx="2381">
                  <c:v>1282.5</c:v>
                </c:pt>
                <c:pt idx="2382">
                  <c:v>1277</c:v>
                </c:pt>
                <c:pt idx="2383">
                  <c:v>1274</c:v>
                </c:pt>
                <c:pt idx="2384">
                  <c:v>1279</c:v>
                </c:pt>
                <c:pt idx="2385">
                  <c:v>1272.5</c:v>
                </c:pt>
                <c:pt idx="2386">
                  <c:v>1274</c:v>
                </c:pt>
                <c:pt idx="2387">
                  <c:v>1281.5</c:v>
                </c:pt>
                <c:pt idx="2388">
                  <c:v>1287.5</c:v>
                </c:pt>
                <c:pt idx="2389">
                  <c:v>1300.5</c:v>
                </c:pt>
                <c:pt idx="2390">
                  <c:v>1298.5</c:v>
                </c:pt>
                <c:pt idx="2391">
                  <c:v>1290.5</c:v>
                </c:pt>
                <c:pt idx="2392">
                  <c:v>1289</c:v>
                </c:pt>
                <c:pt idx="2393">
                  <c:v>1289</c:v>
                </c:pt>
                <c:pt idx="2394">
                  <c:v>1284</c:v>
                </c:pt>
                <c:pt idx="2395">
                  <c:v>1287.5</c:v>
                </c:pt>
                <c:pt idx="2396">
                  <c:v>1280</c:v>
                </c:pt>
                <c:pt idx="2397">
                  <c:v>1286</c:v>
                </c:pt>
                <c:pt idx="2398">
                  <c:v>1291.5</c:v>
                </c:pt>
                <c:pt idx="2399">
                  <c:v>1292.5</c:v>
                </c:pt>
                <c:pt idx="2400">
                  <c:v>1298.5</c:v>
                </c:pt>
                <c:pt idx="2401">
                  <c:v>1292</c:v>
                </c:pt>
                <c:pt idx="2402">
                  <c:v>1294</c:v>
                </c:pt>
                <c:pt idx="2403">
                  <c:v>1260.5</c:v>
                </c:pt>
                <c:pt idx="2404">
                  <c:v>1259</c:v>
                </c:pt>
                <c:pt idx="2405">
                  <c:v>1263.5</c:v>
                </c:pt>
                <c:pt idx="2406">
                  <c:v>1261.5</c:v>
                </c:pt>
                <c:pt idx="2407">
                  <c:v>1255.5</c:v>
                </c:pt>
                <c:pt idx="2408">
                  <c:v>1253</c:v>
                </c:pt>
                <c:pt idx="2409">
                  <c:v>1256</c:v>
                </c:pt>
                <c:pt idx="2410">
                  <c:v>1254.5</c:v>
                </c:pt>
                <c:pt idx="2411">
                  <c:v>1248</c:v>
                </c:pt>
                <c:pt idx="2412">
                  <c:v>1250.5</c:v>
                </c:pt>
                <c:pt idx="2413">
                  <c:v>1239.5</c:v>
                </c:pt>
                <c:pt idx="2414">
                  <c:v>2474</c:v>
                </c:pt>
                <c:pt idx="2415">
                  <c:v>1235.5</c:v>
                </c:pt>
                <c:pt idx="2416">
                  <c:v>1155.5</c:v>
                </c:pt>
                <c:pt idx="2417">
                  <c:v>1155.5</c:v>
                </c:pt>
                <c:pt idx="2418">
                  <c:v>1151</c:v>
                </c:pt>
                <c:pt idx="2419">
                  <c:v>1151.5</c:v>
                </c:pt>
                <c:pt idx="2420">
                  <c:v>1156.5</c:v>
                </c:pt>
                <c:pt idx="2421">
                  <c:v>1162</c:v>
                </c:pt>
                <c:pt idx="2422">
                  <c:v>1168.5</c:v>
                </c:pt>
                <c:pt idx="2423">
                  <c:v>1160.5</c:v>
                </c:pt>
                <c:pt idx="2424">
                  <c:v>1155</c:v>
                </c:pt>
                <c:pt idx="2425">
                  <c:v>1159</c:v>
                </c:pt>
                <c:pt idx="2426">
                  <c:v>1160</c:v>
                </c:pt>
                <c:pt idx="2427">
                  <c:v>1166</c:v>
                </c:pt>
                <c:pt idx="2428">
                  <c:v>1175.5</c:v>
                </c:pt>
                <c:pt idx="2429">
                  <c:v>1169.5</c:v>
                </c:pt>
                <c:pt idx="2430">
                  <c:v>1176</c:v>
                </c:pt>
                <c:pt idx="2431">
                  <c:v>1160</c:v>
                </c:pt>
                <c:pt idx="2432">
                  <c:v>0</c:v>
                </c:pt>
                <c:pt idx="2433">
                  <c:v>1158.5</c:v>
                </c:pt>
                <c:pt idx="2434">
                  <c:v>1177.5</c:v>
                </c:pt>
                <c:pt idx="2435">
                  <c:v>1179</c:v>
                </c:pt>
                <c:pt idx="2436">
                  <c:v>1154.5</c:v>
                </c:pt>
                <c:pt idx="2437">
                  <c:v>1156</c:v>
                </c:pt>
                <c:pt idx="2438">
                  <c:v>1154.5</c:v>
                </c:pt>
                <c:pt idx="2439">
                  <c:v>1163</c:v>
                </c:pt>
                <c:pt idx="2440">
                  <c:v>1167.5</c:v>
                </c:pt>
              </c:numCache>
            </c:numRef>
          </c:val>
        </c:ser>
        <c:marker val="1"/>
        <c:axId val="150541056"/>
        <c:axId val="150542592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每日外盘1'!$A$7:$C$2417</c15:sqref>
                        </c15:formulaRef>
                      </c:ext>
                    </c:extLst>
                    <c:numCache>
                      <c:formatCode>yy/mm/dd</c:formatCode>
                      <c:ptCount val="2407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50541056"/>
        <c:scaling>
          <c:orientation val="minMax"/>
          <c:max val="4326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0542592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0542592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0541056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5653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24277365670007"/>
          <c:y val="3.668684478024141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49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'!$A$6:$A$587</c:f>
              <c:numCache>
                <c:formatCode>yy/mm/dd</c:formatCode>
                <c:ptCount val="58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</c:numCache>
            </c:numRef>
          </c:cat>
          <c:val>
            <c:numRef>
              <c:f>'国际EDC市场价格   周五 每周五中间体 '!$B$6:$B$587</c:f>
              <c:numCache>
                <c:formatCode>0_ </c:formatCode>
                <c:ptCount val="582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'!$A$6:$A$577</c:f>
              <c:numCache>
                <c:formatCode>yy/mm/dd</c:formatCode>
                <c:ptCount val="57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'!$A$6:$A$587</c:f>
              <c:numCache>
                <c:formatCode>yy/mm/dd</c:formatCode>
                <c:ptCount val="58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</c:numCache>
            </c:numRef>
          </c:cat>
          <c:val>
            <c:numRef>
              <c:f>'国际EDC市场价格   周五 每周五中间体 '!$D$6:$D$587</c:f>
              <c:numCache>
                <c:formatCode>0_ </c:formatCode>
                <c:ptCount val="582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'!$A$6:$A$587</c:f>
              <c:numCache>
                <c:formatCode>yy/mm/dd</c:formatCode>
                <c:ptCount val="58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</c:numCache>
            </c:numRef>
          </c:cat>
          <c:val>
            <c:numRef>
              <c:f>'国际EDC市场价格   周五 每周五中间体 '!$E$6:$E$587</c:f>
              <c:numCache>
                <c:formatCode>0_ </c:formatCode>
                <c:ptCount val="582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</c:numCache>
            </c:numRef>
          </c:val>
        </c:ser>
        <c:marker val="1"/>
        <c:axId val="153620864"/>
        <c:axId val="153622400"/>
      </c:lineChart>
      <c:dateAx>
        <c:axId val="153620864"/>
        <c:scaling>
          <c:orientation val="minMax"/>
          <c:max val="43269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3622400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3622400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3620864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6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0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周五中间体'!$A$8:$A$585</c:f>
              <c:numCache>
                <c:formatCode>yy/mm/dd</c:formatCode>
                <c:ptCount val="57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</c:numCache>
            </c:numRef>
          </c:cat>
          <c:val>
            <c:numRef>
              <c:f>'国际VCM市场价格  周五中间体'!$B$7:$B$585</c:f>
              <c:numCache>
                <c:formatCode>0_ </c:formatCode>
                <c:ptCount val="579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周五中间体'!$A$7:$A$576</c:f>
              <c:numCache>
                <c:formatCode>yy/mm/dd</c:formatCode>
                <c:ptCount val="57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周五中间体'!$A$7:$A$585</c:f>
              <c:numCache>
                <c:formatCode>yy/mm/dd</c:formatCode>
                <c:ptCount val="579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  <c:pt idx="570">
                  <c:v>43203</c:v>
                </c:pt>
                <c:pt idx="571">
                  <c:v>43210</c:v>
                </c:pt>
                <c:pt idx="572">
                  <c:v>43217</c:v>
                </c:pt>
                <c:pt idx="573">
                  <c:v>43224</c:v>
                </c:pt>
                <c:pt idx="574">
                  <c:v>43231</c:v>
                </c:pt>
                <c:pt idx="575">
                  <c:v>43238</c:v>
                </c:pt>
                <c:pt idx="576">
                  <c:v>43245</c:v>
                </c:pt>
                <c:pt idx="577">
                  <c:v>43252</c:v>
                </c:pt>
                <c:pt idx="578">
                  <c:v>43259</c:v>
                </c:pt>
              </c:numCache>
            </c:numRef>
          </c:cat>
          <c:val>
            <c:numRef>
              <c:f>'国际VCM市场价格  周五中间体'!$D$7:$D$585</c:f>
              <c:numCache>
                <c:formatCode>0_ </c:formatCode>
                <c:ptCount val="579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周五中间体'!$A$7:$A$585</c:f>
              <c:numCache>
                <c:formatCode>yy/mm/dd</c:formatCode>
                <c:ptCount val="579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  <c:pt idx="570">
                  <c:v>43203</c:v>
                </c:pt>
                <c:pt idx="571">
                  <c:v>43210</c:v>
                </c:pt>
                <c:pt idx="572">
                  <c:v>43217</c:v>
                </c:pt>
                <c:pt idx="573">
                  <c:v>43224</c:v>
                </c:pt>
                <c:pt idx="574">
                  <c:v>43231</c:v>
                </c:pt>
                <c:pt idx="575">
                  <c:v>43238</c:v>
                </c:pt>
                <c:pt idx="576">
                  <c:v>43245</c:v>
                </c:pt>
                <c:pt idx="577">
                  <c:v>43252</c:v>
                </c:pt>
                <c:pt idx="578">
                  <c:v>43259</c:v>
                </c:pt>
              </c:numCache>
            </c:numRef>
          </c:cat>
          <c:val>
            <c:numRef>
              <c:f>'国际VCM市场价格  周五中间体'!$E$7:$E$585</c:f>
              <c:numCache>
                <c:formatCode>0_ </c:formatCode>
                <c:ptCount val="579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周五中间体'!$A$7:$A$576</c:f>
              <c:numCache>
                <c:formatCode>yy/mm/dd</c:formatCode>
                <c:ptCount val="57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153547520"/>
        <c:axId val="153549056"/>
      </c:lineChart>
      <c:dateAx>
        <c:axId val="153547520"/>
        <c:scaling>
          <c:orientation val="minMax"/>
          <c:max val="43269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3549056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153549056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3547520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98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276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7032E-2"/>
          <c:y val="0.12869678496089201"/>
          <c:w val="0.85674931129483356"/>
          <c:h val="0.68129670311587565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新电石市场价格!$A$1614:$A$2208</c:f>
              <c:numCache>
                <c:formatCode>yy/mm/dd</c:formatCode>
                <c:ptCount val="595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</c:numCache>
            </c:numRef>
          </c:cat>
          <c:val>
            <c:numRef>
              <c:f>新电石市场价格!$C$1612:$C$2208</c:f>
              <c:numCache>
                <c:formatCode>General</c:formatCode>
                <c:ptCount val="597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新电石市场价格!$A$1614:$A$2208</c:f>
              <c:numCache>
                <c:formatCode>yy/mm/dd</c:formatCode>
                <c:ptCount val="595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</c:numCache>
            </c:numRef>
          </c:cat>
          <c:val>
            <c:numRef>
              <c:f>新电石市场价格!$D$1612:$D$2208</c:f>
              <c:numCache>
                <c:formatCode>General</c:formatCode>
                <c:ptCount val="597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新电石市场价格!$A$1619:$A$2208</c:f>
              <c:numCache>
                <c:formatCode>yy/mm/dd</c:formatCode>
                <c:ptCount val="590"/>
                <c:pt idx="0">
                  <c:v>42382</c:v>
                </c:pt>
                <c:pt idx="1">
                  <c:v>42383</c:v>
                </c:pt>
                <c:pt idx="2">
                  <c:v>42384</c:v>
                </c:pt>
                <c:pt idx="3">
                  <c:v>42387</c:v>
                </c:pt>
                <c:pt idx="4">
                  <c:v>42388</c:v>
                </c:pt>
                <c:pt idx="5">
                  <c:v>42389</c:v>
                </c:pt>
                <c:pt idx="6">
                  <c:v>42390</c:v>
                </c:pt>
                <c:pt idx="7">
                  <c:v>42391</c:v>
                </c:pt>
                <c:pt idx="8">
                  <c:v>42394</c:v>
                </c:pt>
                <c:pt idx="9">
                  <c:v>42395</c:v>
                </c:pt>
                <c:pt idx="10">
                  <c:v>42396</c:v>
                </c:pt>
                <c:pt idx="11">
                  <c:v>42397</c:v>
                </c:pt>
                <c:pt idx="12">
                  <c:v>42398</c:v>
                </c:pt>
                <c:pt idx="13">
                  <c:v>42401</c:v>
                </c:pt>
                <c:pt idx="14">
                  <c:v>42402</c:v>
                </c:pt>
                <c:pt idx="15">
                  <c:v>42403</c:v>
                </c:pt>
                <c:pt idx="16">
                  <c:v>42404</c:v>
                </c:pt>
                <c:pt idx="17">
                  <c:v>42405</c:v>
                </c:pt>
                <c:pt idx="18">
                  <c:v>42414</c:v>
                </c:pt>
                <c:pt idx="19">
                  <c:v>42415</c:v>
                </c:pt>
                <c:pt idx="20">
                  <c:v>42416</c:v>
                </c:pt>
                <c:pt idx="21">
                  <c:v>42417</c:v>
                </c:pt>
                <c:pt idx="22">
                  <c:v>42418</c:v>
                </c:pt>
                <c:pt idx="23">
                  <c:v>42419</c:v>
                </c:pt>
                <c:pt idx="24">
                  <c:v>42422</c:v>
                </c:pt>
                <c:pt idx="25">
                  <c:v>42423</c:v>
                </c:pt>
                <c:pt idx="26">
                  <c:v>42424</c:v>
                </c:pt>
                <c:pt idx="27">
                  <c:v>42425</c:v>
                </c:pt>
                <c:pt idx="28">
                  <c:v>42426</c:v>
                </c:pt>
                <c:pt idx="29">
                  <c:v>42429</c:v>
                </c:pt>
                <c:pt idx="30">
                  <c:v>42430</c:v>
                </c:pt>
                <c:pt idx="31">
                  <c:v>42431</c:v>
                </c:pt>
                <c:pt idx="32">
                  <c:v>42432</c:v>
                </c:pt>
                <c:pt idx="33">
                  <c:v>42433</c:v>
                </c:pt>
                <c:pt idx="34">
                  <c:v>42436</c:v>
                </c:pt>
                <c:pt idx="35">
                  <c:v>42437</c:v>
                </c:pt>
                <c:pt idx="36">
                  <c:v>42438</c:v>
                </c:pt>
                <c:pt idx="37">
                  <c:v>42439</c:v>
                </c:pt>
                <c:pt idx="38">
                  <c:v>42440</c:v>
                </c:pt>
                <c:pt idx="39">
                  <c:v>42443</c:v>
                </c:pt>
                <c:pt idx="40">
                  <c:v>42444</c:v>
                </c:pt>
                <c:pt idx="41">
                  <c:v>42445</c:v>
                </c:pt>
                <c:pt idx="42">
                  <c:v>42446</c:v>
                </c:pt>
                <c:pt idx="43">
                  <c:v>42447</c:v>
                </c:pt>
                <c:pt idx="44">
                  <c:v>42450</c:v>
                </c:pt>
                <c:pt idx="45">
                  <c:v>42451</c:v>
                </c:pt>
                <c:pt idx="46">
                  <c:v>42452</c:v>
                </c:pt>
                <c:pt idx="47">
                  <c:v>42453</c:v>
                </c:pt>
                <c:pt idx="48">
                  <c:v>42454</c:v>
                </c:pt>
                <c:pt idx="49">
                  <c:v>42457</c:v>
                </c:pt>
                <c:pt idx="50">
                  <c:v>42458</c:v>
                </c:pt>
                <c:pt idx="51">
                  <c:v>42459</c:v>
                </c:pt>
                <c:pt idx="52">
                  <c:v>42460</c:v>
                </c:pt>
                <c:pt idx="53">
                  <c:v>42461</c:v>
                </c:pt>
                <c:pt idx="54">
                  <c:v>42465</c:v>
                </c:pt>
                <c:pt idx="55">
                  <c:v>42466</c:v>
                </c:pt>
                <c:pt idx="56">
                  <c:v>42467</c:v>
                </c:pt>
                <c:pt idx="57">
                  <c:v>42468</c:v>
                </c:pt>
                <c:pt idx="58">
                  <c:v>42471</c:v>
                </c:pt>
                <c:pt idx="59">
                  <c:v>42472</c:v>
                </c:pt>
                <c:pt idx="60">
                  <c:v>42473</c:v>
                </c:pt>
                <c:pt idx="61">
                  <c:v>42474</c:v>
                </c:pt>
                <c:pt idx="62">
                  <c:v>42475</c:v>
                </c:pt>
                <c:pt idx="63">
                  <c:v>42478</c:v>
                </c:pt>
                <c:pt idx="64">
                  <c:v>42479</c:v>
                </c:pt>
                <c:pt idx="65">
                  <c:v>42480</c:v>
                </c:pt>
                <c:pt idx="66">
                  <c:v>42481</c:v>
                </c:pt>
                <c:pt idx="67">
                  <c:v>42482</c:v>
                </c:pt>
                <c:pt idx="68">
                  <c:v>42485</c:v>
                </c:pt>
                <c:pt idx="69">
                  <c:v>42486</c:v>
                </c:pt>
                <c:pt idx="70">
                  <c:v>42487</c:v>
                </c:pt>
                <c:pt idx="71">
                  <c:v>42488</c:v>
                </c:pt>
                <c:pt idx="72">
                  <c:v>42489</c:v>
                </c:pt>
                <c:pt idx="73">
                  <c:v>42493</c:v>
                </c:pt>
                <c:pt idx="74">
                  <c:v>42494</c:v>
                </c:pt>
                <c:pt idx="75">
                  <c:v>42495</c:v>
                </c:pt>
                <c:pt idx="76">
                  <c:v>42496</c:v>
                </c:pt>
                <c:pt idx="77">
                  <c:v>42499</c:v>
                </c:pt>
                <c:pt idx="78">
                  <c:v>42500</c:v>
                </c:pt>
                <c:pt idx="79">
                  <c:v>42501</c:v>
                </c:pt>
                <c:pt idx="80">
                  <c:v>42502</c:v>
                </c:pt>
                <c:pt idx="81">
                  <c:v>42503</c:v>
                </c:pt>
                <c:pt idx="82">
                  <c:v>42506</c:v>
                </c:pt>
                <c:pt idx="83">
                  <c:v>42507</c:v>
                </c:pt>
                <c:pt idx="84">
                  <c:v>42508</c:v>
                </c:pt>
                <c:pt idx="85">
                  <c:v>42509</c:v>
                </c:pt>
                <c:pt idx="86">
                  <c:v>42510</c:v>
                </c:pt>
                <c:pt idx="87">
                  <c:v>42513</c:v>
                </c:pt>
                <c:pt idx="88">
                  <c:v>42514</c:v>
                </c:pt>
                <c:pt idx="89">
                  <c:v>42515</c:v>
                </c:pt>
                <c:pt idx="90">
                  <c:v>42516</c:v>
                </c:pt>
                <c:pt idx="91">
                  <c:v>42517</c:v>
                </c:pt>
                <c:pt idx="92">
                  <c:v>42520</c:v>
                </c:pt>
                <c:pt idx="93">
                  <c:v>42521</c:v>
                </c:pt>
                <c:pt idx="94">
                  <c:v>42522</c:v>
                </c:pt>
                <c:pt idx="95">
                  <c:v>42523</c:v>
                </c:pt>
                <c:pt idx="96">
                  <c:v>42524</c:v>
                </c:pt>
                <c:pt idx="97">
                  <c:v>42527</c:v>
                </c:pt>
                <c:pt idx="98">
                  <c:v>42528</c:v>
                </c:pt>
                <c:pt idx="99">
                  <c:v>42529</c:v>
                </c:pt>
                <c:pt idx="100">
                  <c:v>42533</c:v>
                </c:pt>
                <c:pt idx="101">
                  <c:v>42534</c:v>
                </c:pt>
                <c:pt idx="102">
                  <c:v>42535</c:v>
                </c:pt>
                <c:pt idx="103">
                  <c:v>42536</c:v>
                </c:pt>
                <c:pt idx="104">
                  <c:v>42537</c:v>
                </c:pt>
                <c:pt idx="105">
                  <c:v>42538</c:v>
                </c:pt>
                <c:pt idx="106">
                  <c:v>42541</c:v>
                </c:pt>
                <c:pt idx="107">
                  <c:v>42542</c:v>
                </c:pt>
                <c:pt idx="108">
                  <c:v>42543</c:v>
                </c:pt>
                <c:pt idx="109">
                  <c:v>42544</c:v>
                </c:pt>
                <c:pt idx="110">
                  <c:v>42545</c:v>
                </c:pt>
                <c:pt idx="111">
                  <c:v>42548</c:v>
                </c:pt>
                <c:pt idx="112">
                  <c:v>42549</c:v>
                </c:pt>
                <c:pt idx="113">
                  <c:v>42550</c:v>
                </c:pt>
                <c:pt idx="114">
                  <c:v>42551</c:v>
                </c:pt>
                <c:pt idx="115">
                  <c:v>42552</c:v>
                </c:pt>
                <c:pt idx="116">
                  <c:v>42555</c:v>
                </c:pt>
                <c:pt idx="117">
                  <c:v>42556</c:v>
                </c:pt>
                <c:pt idx="118">
                  <c:v>42557</c:v>
                </c:pt>
                <c:pt idx="119">
                  <c:v>42558</c:v>
                </c:pt>
                <c:pt idx="120">
                  <c:v>42559</c:v>
                </c:pt>
                <c:pt idx="121">
                  <c:v>42562</c:v>
                </c:pt>
                <c:pt idx="122">
                  <c:v>42563</c:v>
                </c:pt>
                <c:pt idx="123">
                  <c:v>42564</c:v>
                </c:pt>
                <c:pt idx="124">
                  <c:v>42565</c:v>
                </c:pt>
                <c:pt idx="125">
                  <c:v>42566</c:v>
                </c:pt>
                <c:pt idx="126">
                  <c:v>42569</c:v>
                </c:pt>
                <c:pt idx="127">
                  <c:v>42570</c:v>
                </c:pt>
                <c:pt idx="128">
                  <c:v>42571</c:v>
                </c:pt>
                <c:pt idx="129">
                  <c:v>42572</c:v>
                </c:pt>
                <c:pt idx="130">
                  <c:v>42573</c:v>
                </c:pt>
                <c:pt idx="131">
                  <c:v>42576</c:v>
                </c:pt>
                <c:pt idx="132">
                  <c:v>42577</c:v>
                </c:pt>
                <c:pt idx="133">
                  <c:v>42578</c:v>
                </c:pt>
                <c:pt idx="134">
                  <c:v>42579</c:v>
                </c:pt>
                <c:pt idx="135">
                  <c:v>42580</c:v>
                </c:pt>
                <c:pt idx="136">
                  <c:v>42583</c:v>
                </c:pt>
                <c:pt idx="137">
                  <c:v>42584</c:v>
                </c:pt>
                <c:pt idx="138">
                  <c:v>42585</c:v>
                </c:pt>
                <c:pt idx="139">
                  <c:v>42586</c:v>
                </c:pt>
                <c:pt idx="140">
                  <c:v>42587</c:v>
                </c:pt>
                <c:pt idx="141">
                  <c:v>42590</c:v>
                </c:pt>
                <c:pt idx="142">
                  <c:v>42591</c:v>
                </c:pt>
                <c:pt idx="143">
                  <c:v>42592</c:v>
                </c:pt>
                <c:pt idx="144">
                  <c:v>42593</c:v>
                </c:pt>
                <c:pt idx="145">
                  <c:v>42594</c:v>
                </c:pt>
                <c:pt idx="146">
                  <c:v>42597</c:v>
                </c:pt>
                <c:pt idx="147">
                  <c:v>42598</c:v>
                </c:pt>
                <c:pt idx="148">
                  <c:v>42599</c:v>
                </c:pt>
                <c:pt idx="149">
                  <c:v>42600</c:v>
                </c:pt>
                <c:pt idx="150">
                  <c:v>42601</c:v>
                </c:pt>
                <c:pt idx="151">
                  <c:v>42604</c:v>
                </c:pt>
                <c:pt idx="152">
                  <c:v>42605</c:v>
                </c:pt>
                <c:pt idx="153">
                  <c:v>42606</c:v>
                </c:pt>
                <c:pt idx="154">
                  <c:v>42607</c:v>
                </c:pt>
                <c:pt idx="155">
                  <c:v>42608</c:v>
                </c:pt>
                <c:pt idx="156">
                  <c:v>42611</c:v>
                </c:pt>
                <c:pt idx="157">
                  <c:v>42612</c:v>
                </c:pt>
                <c:pt idx="158">
                  <c:v>42613</c:v>
                </c:pt>
                <c:pt idx="159">
                  <c:v>42614</c:v>
                </c:pt>
                <c:pt idx="160">
                  <c:v>42615</c:v>
                </c:pt>
                <c:pt idx="161">
                  <c:v>42618</c:v>
                </c:pt>
                <c:pt idx="162">
                  <c:v>42619</c:v>
                </c:pt>
                <c:pt idx="163">
                  <c:v>42620</c:v>
                </c:pt>
                <c:pt idx="164">
                  <c:v>42621</c:v>
                </c:pt>
                <c:pt idx="165">
                  <c:v>42622</c:v>
                </c:pt>
                <c:pt idx="166">
                  <c:v>42625</c:v>
                </c:pt>
                <c:pt idx="167">
                  <c:v>42626</c:v>
                </c:pt>
                <c:pt idx="168">
                  <c:v>42627</c:v>
                </c:pt>
                <c:pt idx="169">
                  <c:v>42631</c:v>
                </c:pt>
                <c:pt idx="170">
                  <c:v>42632</c:v>
                </c:pt>
                <c:pt idx="171">
                  <c:v>42633</c:v>
                </c:pt>
                <c:pt idx="172">
                  <c:v>42634</c:v>
                </c:pt>
                <c:pt idx="173">
                  <c:v>42635</c:v>
                </c:pt>
                <c:pt idx="174">
                  <c:v>42636</c:v>
                </c:pt>
                <c:pt idx="175">
                  <c:v>42639</c:v>
                </c:pt>
                <c:pt idx="176">
                  <c:v>42640</c:v>
                </c:pt>
                <c:pt idx="177">
                  <c:v>42641</c:v>
                </c:pt>
                <c:pt idx="178">
                  <c:v>42642</c:v>
                </c:pt>
                <c:pt idx="179">
                  <c:v>42643</c:v>
                </c:pt>
                <c:pt idx="180">
                  <c:v>42653</c:v>
                </c:pt>
                <c:pt idx="181">
                  <c:v>42654</c:v>
                </c:pt>
                <c:pt idx="182">
                  <c:v>42655</c:v>
                </c:pt>
                <c:pt idx="183">
                  <c:v>42656</c:v>
                </c:pt>
                <c:pt idx="184">
                  <c:v>42657</c:v>
                </c:pt>
                <c:pt idx="185">
                  <c:v>42660</c:v>
                </c:pt>
                <c:pt idx="186">
                  <c:v>42661</c:v>
                </c:pt>
                <c:pt idx="187">
                  <c:v>42662</c:v>
                </c:pt>
                <c:pt idx="188">
                  <c:v>42663</c:v>
                </c:pt>
                <c:pt idx="189">
                  <c:v>42664</c:v>
                </c:pt>
                <c:pt idx="190">
                  <c:v>42667</c:v>
                </c:pt>
                <c:pt idx="191">
                  <c:v>42668</c:v>
                </c:pt>
                <c:pt idx="192">
                  <c:v>42669</c:v>
                </c:pt>
                <c:pt idx="193">
                  <c:v>42670</c:v>
                </c:pt>
                <c:pt idx="194">
                  <c:v>42671</c:v>
                </c:pt>
                <c:pt idx="195">
                  <c:v>42674</c:v>
                </c:pt>
                <c:pt idx="196">
                  <c:v>42675</c:v>
                </c:pt>
                <c:pt idx="197">
                  <c:v>42676</c:v>
                </c:pt>
                <c:pt idx="198">
                  <c:v>42677</c:v>
                </c:pt>
                <c:pt idx="199">
                  <c:v>42678</c:v>
                </c:pt>
                <c:pt idx="200">
                  <c:v>42681</c:v>
                </c:pt>
                <c:pt idx="201">
                  <c:v>42682</c:v>
                </c:pt>
                <c:pt idx="202">
                  <c:v>42683</c:v>
                </c:pt>
                <c:pt idx="203">
                  <c:v>42684</c:v>
                </c:pt>
                <c:pt idx="204">
                  <c:v>42685</c:v>
                </c:pt>
                <c:pt idx="205">
                  <c:v>42688</c:v>
                </c:pt>
                <c:pt idx="206">
                  <c:v>42689</c:v>
                </c:pt>
                <c:pt idx="207">
                  <c:v>42690</c:v>
                </c:pt>
                <c:pt idx="208">
                  <c:v>42691</c:v>
                </c:pt>
                <c:pt idx="209">
                  <c:v>42692</c:v>
                </c:pt>
                <c:pt idx="210">
                  <c:v>42695</c:v>
                </c:pt>
                <c:pt idx="211">
                  <c:v>42696</c:v>
                </c:pt>
                <c:pt idx="212">
                  <c:v>42697</c:v>
                </c:pt>
                <c:pt idx="213">
                  <c:v>42698</c:v>
                </c:pt>
                <c:pt idx="214">
                  <c:v>42699</c:v>
                </c:pt>
                <c:pt idx="215">
                  <c:v>42702</c:v>
                </c:pt>
                <c:pt idx="216">
                  <c:v>42703</c:v>
                </c:pt>
                <c:pt idx="217">
                  <c:v>42704</c:v>
                </c:pt>
                <c:pt idx="218">
                  <c:v>42705</c:v>
                </c:pt>
                <c:pt idx="219">
                  <c:v>42706</c:v>
                </c:pt>
                <c:pt idx="220">
                  <c:v>42709</c:v>
                </c:pt>
                <c:pt idx="221">
                  <c:v>42710</c:v>
                </c:pt>
                <c:pt idx="222">
                  <c:v>42711</c:v>
                </c:pt>
                <c:pt idx="223">
                  <c:v>42712</c:v>
                </c:pt>
                <c:pt idx="224">
                  <c:v>42713</c:v>
                </c:pt>
                <c:pt idx="225">
                  <c:v>42716</c:v>
                </c:pt>
                <c:pt idx="226">
                  <c:v>42717</c:v>
                </c:pt>
                <c:pt idx="227">
                  <c:v>42718</c:v>
                </c:pt>
                <c:pt idx="228">
                  <c:v>42719</c:v>
                </c:pt>
                <c:pt idx="229">
                  <c:v>42720</c:v>
                </c:pt>
                <c:pt idx="230">
                  <c:v>42723</c:v>
                </c:pt>
                <c:pt idx="231">
                  <c:v>42724</c:v>
                </c:pt>
                <c:pt idx="232">
                  <c:v>42725</c:v>
                </c:pt>
                <c:pt idx="233">
                  <c:v>42726</c:v>
                </c:pt>
                <c:pt idx="234">
                  <c:v>42727</c:v>
                </c:pt>
                <c:pt idx="235">
                  <c:v>42730</c:v>
                </c:pt>
                <c:pt idx="236">
                  <c:v>42731</c:v>
                </c:pt>
                <c:pt idx="237">
                  <c:v>42732</c:v>
                </c:pt>
                <c:pt idx="238">
                  <c:v>42733</c:v>
                </c:pt>
                <c:pt idx="239">
                  <c:v>42734</c:v>
                </c:pt>
                <c:pt idx="240">
                  <c:v>42738</c:v>
                </c:pt>
                <c:pt idx="241">
                  <c:v>42739</c:v>
                </c:pt>
                <c:pt idx="242">
                  <c:v>42740</c:v>
                </c:pt>
                <c:pt idx="243">
                  <c:v>42741</c:v>
                </c:pt>
                <c:pt idx="244">
                  <c:v>42744</c:v>
                </c:pt>
                <c:pt idx="245">
                  <c:v>42745</c:v>
                </c:pt>
                <c:pt idx="246">
                  <c:v>42746</c:v>
                </c:pt>
                <c:pt idx="247">
                  <c:v>42747</c:v>
                </c:pt>
                <c:pt idx="248">
                  <c:v>42748</c:v>
                </c:pt>
                <c:pt idx="249">
                  <c:v>42751</c:v>
                </c:pt>
                <c:pt idx="250">
                  <c:v>42752</c:v>
                </c:pt>
                <c:pt idx="251">
                  <c:v>42753</c:v>
                </c:pt>
                <c:pt idx="252">
                  <c:v>42754</c:v>
                </c:pt>
                <c:pt idx="253">
                  <c:v>42755</c:v>
                </c:pt>
                <c:pt idx="254">
                  <c:v>42758</c:v>
                </c:pt>
                <c:pt idx="255">
                  <c:v>42759</c:v>
                </c:pt>
                <c:pt idx="256">
                  <c:v>42769</c:v>
                </c:pt>
                <c:pt idx="257">
                  <c:v>42770</c:v>
                </c:pt>
                <c:pt idx="258">
                  <c:v>42772</c:v>
                </c:pt>
                <c:pt idx="259">
                  <c:v>42773</c:v>
                </c:pt>
                <c:pt idx="260">
                  <c:v>42774</c:v>
                </c:pt>
                <c:pt idx="261">
                  <c:v>42775</c:v>
                </c:pt>
                <c:pt idx="262">
                  <c:v>42776</c:v>
                </c:pt>
                <c:pt idx="263">
                  <c:v>42779</c:v>
                </c:pt>
                <c:pt idx="264">
                  <c:v>42780</c:v>
                </c:pt>
                <c:pt idx="265">
                  <c:v>42781</c:v>
                </c:pt>
                <c:pt idx="266">
                  <c:v>42782</c:v>
                </c:pt>
                <c:pt idx="267">
                  <c:v>42783</c:v>
                </c:pt>
                <c:pt idx="268">
                  <c:v>42786</c:v>
                </c:pt>
                <c:pt idx="269">
                  <c:v>42787</c:v>
                </c:pt>
                <c:pt idx="270">
                  <c:v>42788</c:v>
                </c:pt>
                <c:pt idx="271">
                  <c:v>42789</c:v>
                </c:pt>
                <c:pt idx="272">
                  <c:v>42790</c:v>
                </c:pt>
                <c:pt idx="273">
                  <c:v>42793</c:v>
                </c:pt>
                <c:pt idx="274">
                  <c:v>42794</c:v>
                </c:pt>
                <c:pt idx="275">
                  <c:v>42795</c:v>
                </c:pt>
                <c:pt idx="276">
                  <c:v>42796</c:v>
                </c:pt>
                <c:pt idx="277">
                  <c:v>42797</c:v>
                </c:pt>
                <c:pt idx="278">
                  <c:v>42800</c:v>
                </c:pt>
                <c:pt idx="279">
                  <c:v>42801</c:v>
                </c:pt>
                <c:pt idx="280">
                  <c:v>42802</c:v>
                </c:pt>
                <c:pt idx="281">
                  <c:v>42803</c:v>
                </c:pt>
                <c:pt idx="282">
                  <c:v>42804</c:v>
                </c:pt>
                <c:pt idx="283">
                  <c:v>42807</c:v>
                </c:pt>
                <c:pt idx="284">
                  <c:v>42808</c:v>
                </c:pt>
                <c:pt idx="285">
                  <c:v>42809</c:v>
                </c:pt>
                <c:pt idx="286">
                  <c:v>42810</c:v>
                </c:pt>
                <c:pt idx="287">
                  <c:v>42811</c:v>
                </c:pt>
                <c:pt idx="288">
                  <c:v>42814</c:v>
                </c:pt>
                <c:pt idx="289">
                  <c:v>42815</c:v>
                </c:pt>
                <c:pt idx="290">
                  <c:v>42816</c:v>
                </c:pt>
                <c:pt idx="291">
                  <c:v>42817</c:v>
                </c:pt>
                <c:pt idx="292">
                  <c:v>42818</c:v>
                </c:pt>
                <c:pt idx="293">
                  <c:v>42821</c:v>
                </c:pt>
                <c:pt idx="294">
                  <c:v>42822</c:v>
                </c:pt>
                <c:pt idx="295">
                  <c:v>42823</c:v>
                </c:pt>
                <c:pt idx="296">
                  <c:v>42824</c:v>
                </c:pt>
                <c:pt idx="297">
                  <c:v>42825</c:v>
                </c:pt>
                <c:pt idx="298">
                  <c:v>42826</c:v>
                </c:pt>
                <c:pt idx="299">
                  <c:v>42830</c:v>
                </c:pt>
                <c:pt idx="300">
                  <c:v>42831</c:v>
                </c:pt>
                <c:pt idx="301">
                  <c:v>42832</c:v>
                </c:pt>
                <c:pt idx="302">
                  <c:v>42835</c:v>
                </c:pt>
                <c:pt idx="303">
                  <c:v>42836</c:v>
                </c:pt>
                <c:pt idx="304">
                  <c:v>42837</c:v>
                </c:pt>
                <c:pt idx="305">
                  <c:v>42838</c:v>
                </c:pt>
                <c:pt idx="306">
                  <c:v>42839</c:v>
                </c:pt>
                <c:pt idx="307">
                  <c:v>42842</c:v>
                </c:pt>
                <c:pt idx="308">
                  <c:v>42843</c:v>
                </c:pt>
                <c:pt idx="309">
                  <c:v>42844</c:v>
                </c:pt>
                <c:pt idx="310">
                  <c:v>42845</c:v>
                </c:pt>
                <c:pt idx="311">
                  <c:v>42846</c:v>
                </c:pt>
                <c:pt idx="312">
                  <c:v>42849</c:v>
                </c:pt>
                <c:pt idx="313">
                  <c:v>42850</c:v>
                </c:pt>
                <c:pt idx="314">
                  <c:v>42851</c:v>
                </c:pt>
                <c:pt idx="315">
                  <c:v>42852</c:v>
                </c:pt>
                <c:pt idx="316">
                  <c:v>42853</c:v>
                </c:pt>
                <c:pt idx="317">
                  <c:v>42857</c:v>
                </c:pt>
                <c:pt idx="318">
                  <c:v>42858</c:v>
                </c:pt>
                <c:pt idx="319">
                  <c:v>42859</c:v>
                </c:pt>
                <c:pt idx="320">
                  <c:v>42860</c:v>
                </c:pt>
                <c:pt idx="321">
                  <c:v>42863</c:v>
                </c:pt>
                <c:pt idx="322">
                  <c:v>42864</c:v>
                </c:pt>
                <c:pt idx="323">
                  <c:v>42865</c:v>
                </c:pt>
                <c:pt idx="324">
                  <c:v>42866</c:v>
                </c:pt>
                <c:pt idx="325">
                  <c:v>42867</c:v>
                </c:pt>
                <c:pt idx="326">
                  <c:v>42870</c:v>
                </c:pt>
                <c:pt idx="327">
                  <c:v>42871</c:v>
                </c:pt>
                <c:pt idx="328">
                  <c:v>42872</c:v>
                </c:pt>
                <c:pt idx="329">
                  <c:v>42873</c:v>
                </c:pt>
                <c:pt idx="330">
                  <c:v>42874</c:v>
                </c:pt>
                <c:pt idx="331">
                  <c:v>42877</c:v>
                </c:pt>
                <c:pt idx="332">
                  <c:v>42878</c:v>
                </c:pt>
                <c:pt idx="333">
                  <c:v>42879</c:v>
                </c:pt>
                <c:pt idx="334">
                  <c:v>42880</c:v>
                </c:pt>
                <c:pt idx="335">
                  <c:v>42881</c:v>
                </c:pt>
                <c:pt idx="336">
                  <c:v>42886</c:v>
                </c:pt>
                <c:pt idx="337">
                  <c:v>42887</c:v>
                </c:pt>
                <c:pt idx="338">
                  <c:v>42888</c:v>
                </c:pt>
                <c:pt idx="339">
                  <c:v>42891</c:v>
                </c:pt>
                <c:pt idx="340">
                  <c:v>42892</c:v>
                </c:pt>
                <c:pt idx="341">
                  <c:v>42893</c:v>
                </c:pt>
                <c:pt idx="342">
                  <c:v>42894</c:v>
                </c:pt>
                <c:pt idx="343">
                  <c:v>42895</c:v>
                </c:pt>
                <c:pt idx="344">
                  <c:v>42898</c:v>
                </c:pt>
                <c:pt idx="345">
                  <c:v>42899</c:v>
                </c:pt>
                <c:pt idx="346">
                  <c:v>42900</c:v>
                </c:pt>
                <c:pt idx="347">
                  <c:v>42901</c:v>
                </c:pt>
                <c:pt idx="348">
                  <c:v>42902</c:v>
                </c:pt>
                <c:pt idx="349">
                  <c:v>42905</c:v>
                </c:pt>
                <c:pt idx="350">
                  <c:v>42906</c:v>
                </c:pt>
                <c:pt idx="351">
                  <c:v>42907</c:v>
                </c:pt>
                <c:pt idx="352">
                  <c:v>42908</c:v>
                </c:pt>
                <c:pt idx="353">
                  <c:v>42909</c:v>
                </c:pt>
                <c:pt idx="354">
                  <c:v>42912</c:v>
                </c:pt>
                <c:pt idx="355">
                  <c:v>42913</c:v>
                </c:pt>
                <c:pt idx="356">
                  <c:v>42914</c:v>
                </c:pt>
                <c:pt idx="357">
                  <c:v>42915</c:v>
                </c:pt>
                <c:pt idx="358">
                  <c:v>42916</c:v>
                </c:pt>
                <c:pt idx="359">
                  <c:v>42919</c:v>
                </c:pt>
                <c:pt idx="360">
                  <c:v>42920</c:v>
                </c:pt>
                <c:pt idx="361">
                  <c:v>42921</c:v>
                </c:pt>
                <c:pt idx="362">
                  <c:v>42922</c:v>
                </c:pt>
                <c:pt idx="363">
                  <c:v>42923</c:v>
                </c:pt>
                <c:pt idx="364">
                  <c:v>42926</c:v>
                </c:pt>
                <c:pt idx="365">
                  <c:v>42927</c:v>
                </c:pt>
                <c:pt idx="366">
                  <c:v>42928</c:v>
                </c:pt>
                <c:pt idx="367">
                  <c:v>42929</c:v>
                </c:pt>
                <c:pt idx="368">
                  <c:v>42930</c:v>
                </c:pt>
                <c:pt idx="369">
                  <c:v>42933</c:v>
                </c:pt>
                <c:pt idx="370">
                  <c:v>42934</c:v>
                </c:pt>
                <c:pt idx="371">
                  <c:v>42935</c:v>
                </c:pt>
                <c:pt idx="372">
                  <c:v>42936</c:v>
                </c:pt>
                <c:pt idx="373">
                  <c:v>42937</c:v>
                </c:pt>
                <c:pt idx="374">
                  <c:v>42940</c:v>
                </c:pt>
                <c:pt idx="375">
                  <c:v>42941</c:v>
                </c:pt>
                <c:pt idx="376">
                  <c:v>42942</c:v>
                </c:pt>
                <c:pt idx="377">
                  <c:v>42943</c:v>
                </c:pt>
                <c:pt idx="378">
                  <c:v>42944</c:v>
                </c:pt>
                <c:pt idx="379">
                  <c:v>42947</c:v>
                </c:pt>
                <c:pt idx="380">
                  <c:v>42948</c:v>
                </c:pt>
                <c:pt idx="381">
                  <c:v>42949</c:v>
                </c:pt>
                <c:pt idx="382">
                  <c:v>42950</c:v>
                </c:pt>
                <c:pt idx="383">
                  <c:v>42951</c:v>
                </c:pt>
                <c:pt idx="384">
                  <c:v>42954</c:v>
                </c:pt>
                <c:pt idx="385">
                  <c:v>42955</c:v>
                </c:pt>
                <c:pt idx="386">
                  <c:v>42956</c:v>
                </c:pt>
                <c:pt idx="387">
                  <c:v>42957</c:v>
                </c:pt>
                <c:pt idx="388">
                  <c:v>42958</c:v>
                </c:pt>
                <c:pt idx="389">
                  <c:v>42961</c:v>
                </c:pt>
                <c:pt idx="390">
                  <c:v>42962</c:v>
                </c:pt>
                <c:pt idx="391">
                  <c:v>42963</c:v>
                </c:pt>
                <c:pt idx="392">
                  <c:v>42964</c:v>
                </c:pt>
                <c:pt idx="393">
                  <c:v>42965</c:v>
                </c:pt>
                <c:pt idx="394">
                  <c:v>42968</c:v>
                </c:pt>
                <c:pt idx="395">
                  <c:v>42969</c:v>
                </c:pt>
                <c:pt idx="396">
                  <c:v>42970</c:v>
                </c:pt>
                <c:pt idx="397">
                  <c:v>42971</c:v>
                </c:pt>
                <c:pt idx="398">
                  <c:v>42972</c:v>
                </c:pt>
                <c:pt idx="399">
                  <c:v>42975</c:v>
                </c:pt>
                <c:pt idx="400">
                  <c:v>42976</c:v>
                </c:pt>
                <c:pt idx="401">
                  <c:v>42977</c:v>
                </c:pt>
                <c:pt idx="402">
                  <c:v>42978</c:v>
                </c:pt>
                <c:pt idx="403">
                  <c:v>42979</c:v>
                </c:pt>
                <c:pt idx="404">
                  <c:v>42982</c:v>
                </c:pt>
                <c:pt idx="405">
                  <c:v>42983</c:v>
                </c:pt>
                <c:pt idx="406">
                  <c:v>42984</c:v>
                </c:pt>
                <c:pt idx="407">
                  <c:v>42985</c:v>
                </c:pt>
                <c:pt idx="408">
                  <c:v>42986</c:v>
                </c:pt>
                <c:pt idx="409">
                  <c:v>42989</c:v>
                </c:pt>
                <c:pt idx="410">
                  <c:v>42990</c:v>
                </c:pt>
                <c:pt idx="411">
                  <c:v>42991</c:v>
                </c:pt>
                <c:pt idx="412">
                  <c:v>42992</c:v>
                </c:pt>
                <c:pt idx="413">
                  <c:v>42993</c:v>
                </c:pt>
                <c:pt idx="414">
                  <c:v>42996</c:v>
                </c:pt>
                <c:pt idx="415">
                  <c:v>42997</c:v>
                </c:pt>
                <c:pt idx="416">
                  <c:v>42998</c:v>
                </c:pt>
                <c:pt idx="417">
                  <c:v>42999</c:v>
                </c:pt>
                <c:pt idx="418">
                  <c:v>43000</c:v>
                </c:pt>
                <c:pt idx="419">
                  <c:v>43003</c:v>
                </c:pt>
                <c:pt idx="420">
                  <c:v>43004</c:v>
                </c:pt>
                <c:pt idx="421">
                  <c:v>43005</c:v>
                </c:pt>
                <c:pt idx="422">
                  <c:v>43006</c:v>
                </c:pt>
                <c:pt idx="423">
                  <c:v>43017</c:v>
                </c:pt>
                <c:pt idx="424">
                  <c:v>43018</c:v>
                </c:pt>
                <c:pt idx="425">
                  <c:v>43019</c:v>
                </c:pt>
                <c:pt idx="426">
                  <c:v>43020</c:v>
                </c:pt>
                <c:pt idx="427">
                  <c:v>43021</c:v>
                </c:pt>
                <c:pt idx="428">
                  <c:v>43024</c:v>
                </c:pt>
                <c:pt idx="429">
                  <c:v>43025</c:v>
                </c:pt>
                <c:pt idx="430">
                  <c:v>43026</c:v>
                </c:pt>
                <c:pt idx="431">
                  <c:v>43027</c:v>
                </c:pt>
                <c:pt idx="432">
                  <c:v>43028</c:v>
                </c:pt>
                <c:pt idx="433">
                  <c:v>43031</c:v>
                </c:pt>
                <c:pt idx="434">
                  <c:v>43032</c:v>
                </c:pt>
                <c:pt idx="435">
                  <c:v>43033</c:v>
                </c:pt>
                <c:pt idx="436">
                  <c:v>43034</c:v>
                </c:pt>
                <c:pt idx="437">
                  <c:v>43035</c:v>
                </c:pt>
                <c:pt idx="438">
                  <c:v>43038</c:v>
                </c:pt>
                <c:pt idx="439">
                  <c:v>43039</c:v>
                </c:pt>
                <c:pt idx="440">
                  <c:v>43040</c:v>
                </c:pt>
                <c:pt idx="441">
                  <c:v>43041</c:v>
                </c:pt>
                <c:pt idx="442">
                  <c:v>43042</c:v>
                </c:pt>
                <c:pt idx="443">
                  <c:v>43045</c:v>
                </c:pt>
                <c:pt idx="444">
                  <c:v>43046</c:v>
                </c:pt>
                <c:pt idx="445">
                  <c:v>43047</c:v>
                </c:pt>
                <c:pt idx="446">
                  <c:v>43048</c:v>
                </c:pt>
                <c:pt idx="447">
                  <c:v>43049</c:v>
                </c:pt>
                <c:pt idx="448">
                  <c:v>43052</c:v>
                </c:pt>
                <c:pt idx="449">
                  <c:v>43053</c:v>
                </c:pt>
                <c:pt idx="450">
                  <c:v>43054</c:v>
                </c:pt>
                <c:pt idx="451">
                  <c:v>43055</c:v>
                </c:pt>
                <c:pt idx="452">
                  <c:v>43056</c:v>
                </c:pt>
                <c:pt idx="453">
                  <c:v>43059</c:v>
                </c:pt>
                <c:pt idx="454">
                  <c:v>43060</c:v>
                </c:pt>
                <c:pt idx="455">
                  <c:v>43061</c:v>
                </c:pt>
                <c:pt idx="456">
                  <c:v>43062</c:v>
                </c:pt>
                <c:pt idx="457">
                  <c:v>43063</c:v>
                </c:pt>
                <c:pt idx="458">
                  <c:v>43066</c:v>
                </c:pt>
                <c:pt idx="459">
                  <c:v>43067</c:v>
                </c:pt>
                <c:pt idx="460">
                  <c:v>43068</c:v>
                </c:pt>
                <c:pt idx="461">
                  <c:v>43069</c:v>
                </c:pt>
                <c:pt idx="462">
                  <c:v>43070</c:v>
                </c:pt>
                <c:pt idx="463">
                  <c:v>43073</c:v>
                </c:pt>
                <c:pt idx="464">
                  <c:v>43074</c:v>
                </c:pt>
                <c:pt idx="465">
                  <c:v>43075</c:v>
                </c:pt>
                <c:pt idx="466">
                  <c:v>43076</c:v>
                </c:pt>
                <c:pt idx="467">
                  <c:v>43077</c:v>
                </c:pt>
                <c:pt idx="468">
                  <c:v>43080</c:v>
                </c:pt>
                <c:pt idx="469">
                  <c:v>43081</c:v>
                </c:pt>
                <c:pt idx="470">
                  <c:v>43082</c:v>
                </c:pt>
                <c:pt idx="471">
                  <c:v>43083</c:v>
                </c:pt>
                <c:pt idx="472">
                  <c:v>43084</c:v>
                </c:pt>
                <c:pt idx="473">
                  <c:v>43087</c:v>
                </c:pt>
                <c:pt idx="474">
                  <c:v>43088</c:v>
                </c:pt>
                <c:pt idx="475">
                  <c:v>43089</c:v>
                </c:pt>
                <c:pt idx="476">
                  <c:v>43090</c:v>
                </c:pt>
                <c:pt idx="477">
                  <c:v>43091</c:v>
                </c:pt>
                <c:pt idx="478">
                  <c:v>43094</c:v>
                </c:pt>
                <c:pt idx="479">
                  <c:v>43095</c:v>
                </c:pt>
                <c:pt idx="480">
                  <c:v>43096</c:v>
                </c:pt>
                <c:pt idx="481">
                  <c:v>43097</c:v>
                </c:pt>
                <c:pt idx="482">
                  <c:v>43098</c:v>
                </c:pt>
                <c:pt idx="483">
                  <c:v>43102</c:v>
                </c:pt>
                <c:pt idx="484">
                  <c:v>43103</c:v>
                </c:pt>
                <c:pt idx="485">
                  <c:v>43104</c:v>
                </c:pt>
                <c:pt idx="486">
                  <c:v>43105</c:v>
                </c:pt>
                <c:pt idx="487">
                  <c:v>43108</c:v>
                </c:pt>
                <c:pt idx="488">
                  <c:v>43109</c:v>
                </c:pt>
                <c:pt idx="489">
                  <c:v>43110</c:v>
                </c:pt>
                <c:pt idx="490">
                  <c:v>43111</c:v>
                </c:pt>
                <c:pt idx="491">
                  <c:v>43112</c:v>
                </c:pt>
                <c:pt idx="492">
                  <c:v>43115</c:v>
                </c:pt>
                <c:pt idx="493">
                  <c:v>43116</c:v>
                </c:pt>
                <c:pt idx="494">
                  <c:v>43117</c:v>
                </c:pt>
                <c:pt idx="495">
                  <c:v>43118</c:v>
                </c:pt>
                <c:pt idx="496">
                  <c:v>43119</c:v>
                </c:pt>
                <c:pt idx="497">
                  <c:v>43122</c:v>
                </c:pt>
                <c:pt idx="498">
                  <c:v>43123</c:v>
                </c:pt>
                <c:pt idx="499">
                  <c:v>43124</c:v>
                </c:pt>
                <c:pt idx="500">
                  <c:v>43125</c:v>
                </c:pt>
                <c:pt idx="501">
                  <c:v>43126</c:v>
                </c:pt>
                <c:pt idx="502">
                  <c:v>43129</c:v>
                </c:pt>
                <c:pt idx="503">
                  <c:v>43130</c:v>
                </c:pt>
                <c:pt idx="504">
                  <c:v>43131</c:v>
                </c:pt>
                <c:pt idx="505">
                  <c:v>43132</c:v>
                </c:pt>
                <c:pt idx="506">
                  <c:v>43133</c:v>
                </c:pt>
                <c:pt idx="507">
                  <c:v>43136</c:v>
                </c:pt>
                <c:pt idx="508">
                  <c:v>43137</c:v>
                </c:pt>
                <c:pt idx="509">
                  <c:v>43138</c:v>
                </c:pt>
                <c:pt idx="510">
                  <c:v>43139</c:v>
                </c:pt>
                <c:pt idx="511">
                  <c:v>43140</c:v>
                </c:pt>
                <c:pt idx="512">
                  <c:v>43142</c:v>
                </c:pt>
                <c:pt idx="513">
                  <c:v>43143</c:v>
                </c:pt>
                <c:pt idx="514">
                  <c:v>43153</c:v>
                </c:pt>
                <c:pt idx="515">
                  <c:v>43154</c:v>
                </c:pt>
                <c:pt idx="516">
                  <c:v>43155</c:v>
                </c:pt>
                <c:pt idx="517">
                  <c:v>43157</c:v>
                </c:pt>
                <c:pt idx="518">
                  <c:v>43158</c:v>
                </c:pt>
                <c:pt idx="519">
                  <c:v>43159</c:v>
                </c:pt>
                <c:pt idx="520">
                  <c:v>43160</c:v>
                </c:pt>
                <c:pt idx="521">
                  <c:v>43161</c:v>
                </c:pt>
                <c:pt idx="522">
                  <c:v>43164</c:v>
                </c:pt>
                <c:pt idx="523">
                  <c:v>43165</c:v>
                </c:pt>
                <c:pt idx="524">
                  <c:v>43166</c:v>
                </c:pt>
                <c:pt idx="525">
                  <c:v>43167</c:v>
                </c:pt>
                <c:pt idx="526">
                  <c:v>43168</c:v>
                </c:pt>
                <c:pt idx="527">
                  <c:v>43171</c:v>
                </c:pt>
                <c:pt idx="528">
                  <c:v>43172</c:v>
                </c:pt>
                <c:pt idx="529">
                  <c:v>43173</c:v>
                </c:pt>
                <c:pt idx="530">
                  <c:v>43174</c:v>
                </c:pt>
                <c:pt idx="531">
                  <c:v>43175</c:v>
                </c:pt>
                <c:pt idx="532">
                  <c:v>43178</c:v>
                </c:pt>
                <c:pt idx="533">
                  <c:v>43179</c:v>
                </c:pt>
                <c:pt idx="534">
                  <c:v>43180</c:v>
                </c:pt>
                <c:pt idx="535">
                  <c:v>43181</c:v>
                </c:pt>
                <c:pt idx="536">
                  <c:v>43182</c:v>
                </c:pt>
                <c:pt idx="537">
                  <c:v>43185</c:v>
                </c:pt>
                <c:pt idx="538">
                  <c:v>43186</c:v>
                </c:pt>
                <c:pt idx="539">
                  <c:v>43187</c:v>
                </c:pt>
                <c:pt idx="540">
                  <c:v>43188</c:v>
                </c:pt>
                <c:pt idx="541">
                  <c:v>43189</c:v>
                </c:pt>
                <c:pt idx="542">
                  <c:v>43192</c:v>
                </c:pt>
                <c:pt idx="543">
                  <c:v>43193</c:v>
                </c:pt>
                <c:pt idx="544">
                  <c:v>43194</c:v>
                </c:pt>
                <c:pt idx="545">
                  <c:v>43198</c:v>
                </c:pt>
                <c:pt idx="546">
                  <c:v>43199</c:v>
                </c:pt>
                <c:pt idx="547">
                  <c:v>43200</c:v>
                </c:pt>
                <c:pt idx="548">
                  <c:v>43201</c:v>
                </c:pt>
                <c:pt idx="549">
                  <c:v>43202</c:v>
                </c:pt>
                <c:pt idx="550">
                  <c:v>43203</c:v>
                </c:pt>
                <c:pt idx="551">
                  <c:v>43206</c:v>
                </c:pt>
                <c:pt idx="552">
                  <c:v>43207</c:v>
                </c:pt>
                <c:pt idx="553">
                  <c:v>43208</c:v>
                </c:pt>
                <c:pt idx="554">
                  <c:v>43209</c:v>
                </c:pt>
                <c:pt idx="555">
                  <c:v>43210</c:v>
                </c:pt>
                <c:pt idx="556">
                  <c:v>43213</c:v>
                </c:pt>
                <c:pt idx="557">
                  <c:v>43214</c:v>
                </c:pt>
                <c:pt idx="558">
                  <c:v>43215</c:v>
                </c:pt>
                <c:pt idx="559">
                  <c:v>43216</c:v>
                </c:pt>
                <c:pt idx="560">
                  <c:v>43217</c:v>
                </c:pt>
                <c:pt idx="561">
                  <c:v>43218</c:v>
                </c:pt>
                <c:pt idx="562">
                  <c:v>43222</c:v>
                </c:pt>
                <c:pt idx="563">
                  <c:v>43223</c:v>
                </c:pt>
                <c:pt idx="564">
                  <c:v>43224</c:v>
                </c:pt>
                <c:pt idx="565">
                  <c:v>43227</c:v>
                </c:pt>
                <c:pt idx="566">
                  <c:v>43228</c:v>
                </c:pt>
                <c:pt idx="567">
                  <c:v>43229</c:v>
                </c:pt>
                <c:pt idx="568">
                  <c:v>43230</c:v>
                </c:pt>
                <c:pt idx="569">
                  <c:v>43231</c:v>
                </c:pt>
                <c:pt idx="570">
                  <c:v>43234</c:v>
                </c:pt>
                <c:pt idx="571">
                  <c:v>43235</c:v>
                </c:pt>
                <c:pt idx="572">
                  <c:v>43236</c:v>
                </c:pt>
                <c:pt idx="573">
                  <c:v>43237</c:v>
                </c:pt>
                <c:pt idx="574">
                  <c:v>43238</c:v>
                </c:pt>
                <c:pt idx="575">
                  <c:v>43241</c:v>
                </c:pt>
                <c:pt idx="576">
                  <c:v>43242</c:v>
                </c:pt>
                <c:pt idx="577">
                  <c:v>43243</c:v>
                </c:pt>
                <c:pt idx="578">
                  <c:v>43244</c:v>
                </c:pt>
                <c:pt idx="579">
                  <c:v>43245</c:v>
                </c:pt>
                <c:pt idx="580">
                  <c:v>43248</c:v>
                </c:pt>
                <c:pt idx="581">
                  <c:v>43249</c:v>
                </c:pt>
                <c:pt idx="582">
                  <c:v>43250</c:v>
                </c:pt>
                <c:pt idx="583">
                  <c:v>43251</c:v>
                </c:pt>
                <c:pt idx="584">
                  <c:v>43252</c:v>
                </c:pt>
                <c:pt idx="585">
                  <c:v>43255</c:v>
                </c:pt>
                <c:pt idx="586">
                  <c:v>43256</c:v>
                </c:pt>
                <c:pt idx="587">
                  <c:v>43257</c:v>
                </c:pt>
                <c:pt idx="588">
                  <c:v>43258</c:v>
                </c:pt>
                <c:pt idx="589">
                  <c:v>43259</c:v>
                </c:pt>
              </c:numCache>
            </c:numRef>
          </c:cat>
          <c:val>
            <c:numRef>
              <c:f>新电石市场价格!$E$1612:$E$2208</c:f>
              <c:numCache>
                <c:formatCode>General</c:formatCode>
                <c:ptCount val="597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新电石市场价格!$A$1614:$A$2208</c:f>
              <c:numCache>
                <c:formatCode>yy/mm/dd</c:formatCode>
                <c:ptCount val="595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</c:numCache>
            </c:numRef>
          </c:cat>
          <c:val>
            <c:numRef>
              <c:f>新电石市场价格!$F$1613:$F$2208</c:f>
              <c:numCache>
                <c:formatCode>General</c:formatCode>
                <c:ptCount val="596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</c:numCache>
            </c:numRef>
          </c:val>
        </c:ser>
        <c:marker val="1"/>
        <c:axId val="153649536"/>
        <c:axId val="153651072"/>
      </c:lineChart>
      <c:dateAx>
        <c:axId val="153649536"/>
        <c:scaling>
          <c:orientation val="minMax"/>
          <c:max val="4326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3651072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3651072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3649536"/>
        <c:crosses val="autoZero"/>
        <c:crossBetween val="between"/>
        <c:majorUnit val="300"/>
        <c:minorUnit val="40"/>
      </c:valAx>
    </c:plotArea>
    <c:legend>
      <c:legendPos val="r"/>
      <c:layout>
        <c:manualLayout>
          <c:xMode val="edge"/>
          <c:yMode val="edge"/>
          <c:x val="6.0118089103596534E-2"/>
          <c:y val="0.15329457364341101"/>
          <c:w val="0.64358561460014996"/>
          <c:h val="6.1821705426356607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15</Pages>
  <Words>710</Words>
  <Characters>4052</Characters>
  <Application>Microsoft Office Word</Application>
  <DocSecurity>0</DocSecurity>
  <Lines>33</Lines>
  <Paragraphs>9</Paragraphs>
  <ScaleCrop>false</ScaleCrop>
  <Company>china</Company>
  <LinksUpToDate>false</LinksUpToDate>
  <CharactersWithSpaces>4753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30</cp:revision>
  <dcterms:created xsi:type="dcterms:W3CDTF">2018-04-20T08:55:00Z</dcterms:created>
  <dcterms:modified xsi:type="dcterms:W3CDTF">2018-06-08T07:25:00Z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