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10</w:t>
                            </w:r>
                            <w:r>
                              <w:rPr>
                                <w:rFonts w:hint="eastAsia"/>
                                <w:kern w:val="2"/>
                              </w:rPr>
                              <w:t>.</w:t>
                            </w:r>
                            <w:r>
                              <w:rPr>
                                <w:rFonts w:hint="eastAsia"/>
                                <w:kern w:val="2"/>
                                <w:lang w:val="en-US" w:eastAsia="zh-CN"/>
                              </w:rPr>
                              <w:t>19</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8" w:name="_Toc505349996"/>
                      <w:bookmarkStart w:id="79" w:name="_Toc485828984"/>
                      <w:r>
                        <w:rPr>
                          <w:rFonts w:hint="eastAsia"/>
                          <w:kern w:val="2"/>
                        </w:rPr>
                        <w:t>2018.</w:t>
                      </w:r>
                      <w:bookmarkEnd w:id="78"/>
                      <w:bookmarkEnd w:id="79"/>
                      <w:r>
                        <w:rPr>
                          <w:rFonts w:hint="eastAsia"/>
                          <w:kern w:val="2"/>
                          <w:lang w:val="en-US" w:eastAsia="zh-CN"/>
                        </w:rPr>
                        <w:t>10</w:t>
                      </w:r>
                      <w:r>
                        <w:rPr>
                          <w:rFonts w:hint="eastAsia"/>
                          <w:kern w:val="2"/>
                        </w:rPr>
                        <w:t>.</w:t>
                      </w:r>
                      <w:r>
                        <w:rPr>
                          <w:rFonts w:hint="eastAsia"/>
                          <w:kern w:val="2"/>
                          <w:lang w:val="en-US" w:eastAsia="zh-CN"/>
                        </w:rPr>
                        <w:t>19</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8年3月份全国原油进出口统计数据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8年3月中国溶剂油、石脑油进出口数据统计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296600805"/>
      <w:bookmarkStart w:id="5" w:name="_Toc281568195"/>
      <w:bookmarkStart w:id="6" w:name="_Toc460250400"/>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74"/>
        <w:gridCol w:w="920"/>
        <w:gridCol w:w="919"/>
        <w:gridCol w:w="6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474"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1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46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2018-10-17</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69.75</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80.05</w:t>
            </w:r>
          </w:p>
        </w:tc>
        <w:tc>
          <w:tcPr>
            <w:tcW w:w="6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美国原油库存连续第四个星期大幅上升的消息令原油多头信心遭受重挫，同时美联储会议纪要提振美元强势反弹，加大了油价的下行空间。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2018-10-16</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71.92</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81.41</w:t>
            </w:r>
          </w:p>
        </w:tc>
        <w:tc>
          <w:tcPr>
            <w:tcW w:w="6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伊朗制裁最后期限临近，市场担心主要产油国备用产能不足，原油供应可能趋紧。另外，记者在土耳其失踪事件持续发酵，美国与沙特阿拉伯之间的关系会进一步恶化可能影响原油市场。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2018-10-15</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71.78</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80.78</w:t>
            </w:r>
          </w:p>
        </w:tc>
        <w:tc>
          <w:tcPr>
            <w:tcW w:w="6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 xml:space="preserve">随着美国股市反弹，上周五国际油价收高。今日盘中，因沙特记者哈苏吉在土耳其失踪的案件持续发酵，美沙两国矛盾有望进一步激化，油价小幅上扬。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2018-10-12</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71.34</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80.43</w:t>
            </w:r>
          </w:p>
        </w:tc>
        <w:tc>
          <w:tcPr>
            <w:tcW w:w="6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虽然美国石油活跃钻井数大幅增长令忧虑情绪再升，但股市反弹暂时稳定了市场的风险情绪，加之飓风气候引发的美国产量锐减依然为油价带来有效提振，周五油价小幅反弹。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474"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2018-10-11</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70.97</w:t>
            </w:r>
          </w:p>
        </w:tc>
        <w:tc>
          <w:tcPr>
            <w:tcW w:w="919"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80.26</w:t>
            </w:r>
          </w:p>
        </w:tc>
        <w:tc>
          <w:tcPr>
            <w:tcW w:w="64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美国原油库存及产量齐升加之股市继续重挫令市场避险情绪急升，引发了市场有关经济和能源需求前景的担忧，导致油价承压。</w:t>
            </w:r>
          </w:p>
        </w:tc>
      </w:tr>
    </w:tbl>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sz w:val="20"/>
          <w:szCs w:val="20"/>
        </w:rPr>
      </w:pPr>
      <w:r>
        <w:drawing>
          <wp:inline distT="0" distB="0" distL="114300" distR="114300">
            <wp:extent cx="5679440" cy="3552190"/>
            <wp:effectExtent l="0" t="0" r="1651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679440" cy="3552190"/>
                    </a:xfrm>
                    <a:prstGeom prst="rect">
                      <a:avLst/>
                    </a:prstGeom>
                    <a:noFill/>
                    <a:ln w="9525">
                      <a:noFill/>
                    </a:ln>
                  </pic:spPr>
                </pic:pic>
              </a:graphicData>
            </a:graphic>
          </wp:inline>
        </w:drawing>
      </w:r>
    </w:p>
    <w:p>
      <w:pPr>
        <w:outlineLvl w:val="1"/>
        <w:rPr>
          <w:rFonts w:ascii="黑体" w:hAnsi="宋体" w:eastAsia="黑体"/>
          <w:b/>
          <w:sz w:val="30"/>
          <w:szCs w:val="30"/>
        </w:rPr>
      </w:pPr>
      <w:bookmarkStart w:id="9" w:name="_Toc460250402"/>
      <w:bookmarkStart w:id="10" w:name="_Toc505350001"/>
      <w:bookmarkStart w:id="11" w:name="_Toc296600809"/>
      <w:bookmarkStart w:id="12" w:name="_Toc281568199"/>
      <w:bookmarkStart w:id="13" w:name="_Toc239847712"/>
      <w:bookmarkStart w:id="14" w:name="_Toc158203127"/>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截至10月5日当周，美国原油库存增加599万桶，至4.0995亿桶，市场此前预期为增加260万桶。原油交割地-俄克拉荷马州库欣地区的原油库存增加236万桶，至2685万桶。截至10月5日当周，美国汽油库存增加95.1万桶至2.3617亿桶，分析师此前预估为减少20万桶;包括取暖油和柴油在内的馏分油库存减少267万桶至1.3347亿桶，分析师预估为减少190万桶。当周炼厂产能利用率下滑1.6个百分点，至88.8%。过去四周美国汽油需求为918万桶/日，较上年同期减少2.6%;过去四周美国馏分油需求为424万桶/日，较上年同期增加8.2%;过去四周总的成品油需求为2028万桶/日，较上年同期增加0.2%。美国石油协会(API)数据显示，上周美国原油库存增幅超过预期，汽油库存增加，馏分油库存减少。截至10月5日当周，美国原油库存增加970万桶，此前参与调查的分析师预计为增加260万桶。库欣原油库存上升220万桶。截至10月5日当周，美国汽油库存增加340万桶，参与调查的分析师预计减少4.2万桶;馏分油库存减少350万桶，此前参与调查的分析师预估减少200万桶。上周美国原油进口增加15.5万桶/日，至820万桶/日。炼厂每日炼油量减少36.6万桶。</w:t>
      </w:r>
    </w:p>
    <w:p>
      <w:pPr>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北京时间18日凌晨，美股周三震荡收跌。美联储货币政策会议纪要暗示美联储将继续加息，直至货币政策变得有限制性。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美东时间10月17日16：00(北京时间10月18日04：00)，道指跌91.74点，或0.36%，报25,706.68点;标普500指数跌0.71点，或0.03%，报2,809.21点;纳指跌2.79点，或0.04%，报7,642.70点。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周三盘中道指一度下跌近320点，最低下跌至25，479.16点。IBM股价大幅下跌7.63%，为道指增加了约77点跌幅。</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TheSevensReport创始人TomEssaye表示：“美股市场动荡不定，正在尝试寻底。在财报夯实了明年的业绩前景之前，美股还将持续震荡。”他表示：“股市底部的构建是个过程，而不是某一单个事件。它通常要花几天甚至几周的时间。”</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周三下午2点，美联储公布了9月25-26日货币会议纪要。纪要显示大多数美联储成员都认为必须继续加息，直至货币政策变得具有限制性。纪要称：“一些与会者预计政策需要在一段时间内变得适度限制，并且一些人认为有必要暂时将联邦基金利率提高到超过其长期预估水平的地步”。纪要显示，所有委员都认为9月的会议上加息25基点是合适的;委员们一致预计未来将渐进式加息;多数委员们认为经济将持续扩张，就业市场强劲，通胀接近达到目标水平。</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据美联储的货币政策决策者估计，长期中性利率水平约为3%。</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摩根士丹利常务理事JimCaron表示：“目前通胀过热的风险很小，但美联储传递的意思是：如果通胀大幅上涨并超出他们的预期，他们就会加息到3%的中性利率之上。”</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美联储货币政策会议纪要公布后，美国10年期国债收益率交易于3.17%左右。银行股普遍攀升，其中高盛(GS)收高2.97%，摩根士丹利(MS)上涨2.72%。美国银行(BAC)，JP摩根大通(JPM)和花旗集团(C)均上涨超过1%。</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与此同时，市场还在继续紧密观察欧盟与英国的谈判，英国希望在退出欧盟时能达成贸易协议。意大利与欧盟之间就意大利预算案发生冲突的可能性也是市场焦点。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经济数据</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美国劳工部宣布，美国9月新屋开工年化数字为120.1万幢，预期121万幢，前值修正为128.2万幢。9月营建许可为124.1万幢，预期127.5万幢，前值122.9万幢。美国9月营建许可环比下降0.6%，预期增长2%。</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报告称，截至10月12日当周美国原油库存增加649万桶，总数增至4.164亿桶，预期增加90.9万桶，前值增加598.70万桶。汽油库存减少201.60万桶，前值减少95.10万桶，预期减少57.50万桶;馏分油库存减少82.70万桶，前值减少266.60万桶，预期减少106.30万桶。</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EIA原油库存报告公布后，美国WTI原油跌破70美元关口。</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其他市场表现</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伦敦洲际交易所12月交割的布伦特原油期货价格下跌1.36美元，跌幅1.7%，收于80.05美元/桶，为9月21日以来的最低收盘价。盘中最低见79.17美元/桶。</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美国能源信息署(EIA)周三报道称，截至10月12日当周美国原油库存增加650万桶，为连续第四周增加。此前接受标普全球普氏能源资讯调查的分析师平均预期该数字将增加188万桶。</w:t>
      </w:r>
    </w:p>
    <w:p>
      <w:pPr>
        <w:pStyle w:val="19"/>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针对此前报道的暗示沙特政府卷入美国记者卡舒吉（Jamal Khashoggi）失踪事件，美国财经广播CNBC今日援引地缘政治智囊专家、中东和北非分析师EmilyHawthorne的话，表示华盛顿可能优先维持与利雅得的关系。</w:t>
      </w:r>
      <w:r>
        <w:rPr>
          <w:rFonts w:hint="eastAsia" w:ascii="华文仿宋" w:hAnsi="华文仿宋" w:eastAsia="华文仿宋"/>
          <w:sz w:val="28"/>
          <w:szCs w:val="28"/>
        </w:rPr>
        <w:br w:type="textWrapping"/>
      </w:r>
      <w:r>
        <w:rPr>
          <w:rFonts w:hint="eastAsia" w:ascii="华文仿宋" w:hAnsi="华文仿宋" w:eastAsia="华文仿宋"/>
          <w:sz w:val="28"/>
          <w:szCs w:val="28"/>
        </w:rPr>
        <w:t>　　据悉，失踪的卡舒吉是华盛顿邮报的专栏记者，对沙特王储MohammedbinSalman曾多有批评，其在进入伊斯坦布尔沙特领事馆索取文件后已失踪两周，沙特至今仍否仍卷入其中。</w:t>
      </w:r>
      <w:r>
        <w:rPr>
          <w:rFonts w:hint="eastAsia" w:ascii="华文仿宋" w:hAnsi="华文仿宋" w:eastAsia="华文仿宋"/>
          <w:sz w:val="28"/>
          <w:szCs w:val="28"/>
        </w:rPr>
        <w:br w:type="textWrapping"/>
      </w:r>
      <w:r>
        <w:rPr>
          <w:rFonts w:hint="eastAsia" w:ascii="华文仿宋" w:hAnsi="华文仿宋" w:eastAsia="华文仿宋"/>
          <w:sz w:val="28"/>
          <w:szCs w:val="28"/>
        </w:rPr>
        <w:t>　　据NBC新闻周一报道，利雅得正在考虑对外表示卡舒吉是在领事馆内被杀的计划，暗示矛盾指向审讯不当。</w:t>
      </w:r>
      <w:r>
        <w:rPr>
          <w:rFonts w:hint="eastAsia" w:ascii="华文仿宋" w:hAnsi="华文仿宋" w:eastAsia="华文仿宋"/>
          <w:sz w:val="28"/>
          <w:szCs w:val="28"/>
        </w:rPr>
        <w:br w:type="textWrapping"/>
      </w:r>
      <w:r>
        <w:rPr>
          <w:rFonts w:hint="eastAsia" w:ascii="华文仿宋" w:hAnsi="华文仿宋" w:eastAsia="华文仿宋"/>
          <w:sz w:val="28"/>
          <w:szCs w:val="28"/>
        </w:rPr>
        <w:t>　　EmilyHawthorne认为，特朗普政府仍可能继续加强与沙特国家的关系，他指出，美国目前在中东地区仍有很多策略性的担忧，“对比与沙特之间的联盟利益，不认为美国政府会在人权话题上升级这一事件。”</w:t>
      </w:r>
      <w:r>
        <w:rPr>
          <w:rFonts w:hint="eastAsia" w:ascii="华文仿宋" w:hAnsi="华文仿宋" w:eastAsia="华文仿宋"/>
          <w:sz w:val="28"/>
          <w:szCs w:val="28"/>
        </w:rPr>
        <w:br w:type="textWrapping"/>
      </w:r>
      <w:r>
        <w:rPr>
          <w:rFonts w:hint="eastAsia" w:ascii="华文仿宋" w:hAnsi="华文仿宋" w:eastAsia="华文仿宋"/>
          <w:sz w:val="28"/>
          <w:szCs w:val="28"/>
        </w:rPr>
        <w:t>　　其罗列了一些美国的担忧，包括了与伊朗的关系、石油市场和武器销售。</w:t>
      </w:r>
      <w:r>
        <w:rPr>
          <w:rFonts w:hint="eastAsia" w:ascii="华文仿宋" w:hAnsi="华文仿宋" w:eastAsia="华文仿宋"/>
          <w:sz w:val="28"/>
          <w:szCs w:val="28"/>
        </w:rPr>
        <w:br w:type="textWrapping"/>
      </w:r>
      <w:r>
        <w:rPr>
          <w:rFonts w:hint="eastAsia" w:ascii="华文仿宋" w:hAnsi="华文仿宋" w:eastAsia="华文仿宋"/>
          <w:sz w:val="28"/>
          <w:szCs w:val="28"/>
        </w:rPr>
        <w:t>　　分析师表示，特朗普对伊朗的制裁已经强制推升了油价，而目前在油市供应有隐忧的情形下，美国仍需依赖沙特这一全球石油产量第一的大国，遏制油价进一步攀升的局面。</w:t>
      </w:r>
      <w:r>
        <w:rPr>
          <w:rFonts w:hint="eastAsia" w:ascii="华文仿宋" w:hAnsi="华文仿宋" w:eastAsia="华文仿宋"/>
          <w:sz w:val="28"/>
          <w:szCs w:val="28"/>
        </w:rPr>
        <w:br w:type="textWrapping"/>
      </w:r>
      <w:r>
        <w:rPr>
          <w:rFonts w:hint="eastAsia" w:ascii="华文仿宋" w:hAnsi="华文仿宋" w:eastAsia="华文仿宋"/>
          <w:sz w:val="28"/>
          <w:szCs w:val="28"/>
        </w:rPr>
        <w:t>　　美国国务卿蓬佩奥目前正在与沙特国王会面中讨论记者失踪事件。</w:t>
      </w:r>
      <w:r>
        <w:rPr>
          <w:rFonts w:hint="eastAsia" w:ascii="华文仿宋" w:hAnsi="华文仿宋" w:eastAsia="华文仿宋"/>
          <w:sz w:val="28"/>
          <w:szCs w:val="28"/>
        </w:rPr>
        <w:br w:type="textWrapping"/>
      </w:r>
      <w:r>
        <w:rPr>
          <w:rFonts w:hint="eastAsia" w:ascii="华文仿宋" w:hAnsi="华文仿宋" w:eastAsia="华文仿宋"/>
          <w:sz w:val="28"/>
          <w:szCs w:val="28"/>
        </w:rPr>
        <w:t>　　Hawthorne指出，蓬佩奥不会鹦鹉学舌沙特说的那样，但美国官员可能会紧紧握住与沙特的要紧关系来巩固战略利益。</w:t>
      </w:r>
      <w:r>
        <w:rPr>
          <w:rFonts w:hint="eastAsia" w:ascii="华文仿宋" w:hAnsi="华文仿宋" w:eastAsia="华文仿宋"/>
          <w:sz w:val="28"/>
          <w:szCs w:val="28"/>
        </w:rPr>
        <w:br w:type="textWrapping"/>
      </w:r>
      <w:r>
        <w:rPr>
          <w:rFonts w:hint="eastAsia" w:ascii="华文仿宋" w:hAnsi="华文仿宋" w:eastAsia="华文仿宋"/>
          <w:sz w:val="28"/>
          <w:szCs w:val="28"/>
        </w:rPr>
        <w:t>　　而就失踪的记者背景，前美驻阿曼外交官、中东政策委员会主席RichardSchmierer表示，“卡舒吉此前愿意批评沙特王室，但也是一位爱国主义者，致力于改善他的国家和人民。</w:t>
      </w:r>
      <w:r>
        <w:rPr>
          <w:rFonts w:hint="eastAsia" w:ascii="华文仿宋" w:hAnsi="华文仿宋" w:eastAsia="华文仿宋"/>
          <w:sz w:val="28"/>
          <w:szCs w:val="28"/>
        </w:rPr>
        <w:br w:type="textWrapping"/>
      </w:r>
      <w:r>
        <w:rPr>
          <w:rFonts w:hint="eastAsia" w:ascii="华文仿宋" w:hAnsi="华文仿宋" w:eastAsia="华文仿宋"/>
          <w:sz w:val="28"/>
          <w:szCs w:val="28"/>
        </w:rPr>
        <w:t>　　其并不总是赞成国王具体的改革努力或具体的改革政策，但我认为他是一个坚定的改革倡导者，他正在努力建设性地参与改革对话。所以在这一层面上认为他是一个非常爱国努力帮助改善国家政府和人民的记者。”</w:t>
      </w:r>
    </w:p>
    <w:p>
      <w:pPr>
        <w:outlineLvl w:val="1"/>
        <w:rPr>
          <w:rFonts w:ascii="宋体" w:hAnsi="宋体" w:cs="Arial"/>
          <w:b/>
          <w:bCs/>
          <w:kern w:val="0"/>
          <w:sz w:val="32"/>
          <w:szCs w:val="32"/>
        </w:rPr>
      </w:pPr>
      <w:r>
        <w:rPr>
          <w:rFonts w:hint="eastAsia" w:ascii="宋体" w:hAnsi="宋体" w:cs="宋体"/>
          <w:b/>
          <w:sz w:val="32"/>
          <w:szCs w:val="32"/>
        </w:rPr>
        <w:t>三</w:t>
      </w:r>
      <w:r>
        <w:rPr>
          <w:rFonts w:hint="eastAsia" w:ascii="宋体" w:hAnsi="宋体" w:cs="Arial"/>
          <w:b/>
          <w:bCs/>
          <w:kern w:val="0"/>
          <w:sz w:val="32"/>
          <w:szCs w:val="32"/>
        </w:rPr>
        <w:t>、2018年3月份全国原油进出口统计数据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Layout w:type="fixed"/>
        <w:tblCellMar>
          <w:top w:w="15" w:type="dxa"/>
          <w:left w:w="15" w:type="dxa"/>
          <w:bottom w:w="15" w:type="dxa"/>
          <w:right w:w="15" w:type="dxa"/>
        </w:tblCellMar>
      </w:tblPr>
      <w:tblGrid>
        <w:gridCol w:w="2817"/>
        <w:gridCol w:w="1917"/>
        <w:gridCol w:w="1751"/>
        <w:gridCol w:w="1705"/>
        <w:gridCol w:w="1586"/>
      </w:tblGrid>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17"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75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58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也门共和国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139671930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69119063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伊拉克</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54934951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25276930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伊朗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440303947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199663370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1125496577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529265485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刚果</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399235103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171863588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利比亚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141476160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67854272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加拿大</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76290531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31718391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加纳</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132613900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67604302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加蓬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88806062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40929256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南苏丹共和国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86617693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38288189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卡塔尔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140308081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68680806</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印度尼西亚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24929000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9956375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厄瓜多尔</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98808670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44149393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哈萨克斯坦</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118464387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50847984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哥伦比亚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73119341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34614401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喀麦隆</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127234200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61054525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82456238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41579207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墨西哥</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72940642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28952365</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委内瑞拉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137333838</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52674864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安哥拉</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317024045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142854940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巴西</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232662507</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114018194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111802311</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47612621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沙特阿拉伯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393253610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182238617</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41459901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18538310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澳大利亚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78507300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28973271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科威特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131271500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65493282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124388784</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64927951</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苏丹</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86057871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42347044</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英国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135125522</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69997762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蒙古</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3494580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1533530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赤道几内亚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270410190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132949102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越南</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37323920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19945663</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132441043</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71192358</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阿曼</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130202825</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61214569</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244574704</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99332431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145169178</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65097431</w:t>
            </w:r>
          </w:p>
        </w:tc>
      </w:tr>
      <w:tr>
        <w:tblPrEx>
          <w:tblLayout w:type="fixed"/>
          <w:tblCellMar>
            <w:top w:w="15" w:type="dxa"/>
            <w:left w:w="15" w:type="dxa"/>
            <w:bottom w:w="15" w:type="dxa"/>
            <w:right w:w="15" w:type="dxa"/>
          </w:tblCellMar>
        </w:tblPrEx>
        <w:trPr>
          <w:trHeight w:val="285" w:hRule="atLeast"/>
        </w:trPr>
        <w:tc>
          <w:tcPr>
            <w:tcW w:w="2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9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146548051</w:t>
            </w:r>
          </w:p>
        </w:tc>
        <w:tc>
          <w:tcPr>
            <w:tcW w:w="17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63398782</w:t>
            </w:r>
          </w:p>
        </w:tc>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本周WTI原油价格在</w:t>
      </w:r>
      <w:r>
        <w:rPr>
          <w:rFonts w:hint="eastAsia" w:ascii="华文仿宋" w:hAnsi="华文仿宋" w:eastAsia="华文仿宋"/>
          <w:sz w:val="28"/>
          <w:szCs w:val="28"/>
          <w:lang w:val="en-US" w:eastAsia="zh-CN"/>
        </w:rPr>
        <w:t>69.75</w:t>
      </w:r>
      <w:r>
        <w:rPr>
          <w:rFonts w:ascii="华文仿宋" w:hAnsi="华文仿宋" w:eastAsia="华文仿宋"/>
          <w:sz w:val="28"/>
          <w:szCs w:val="28"/>
        </w:rPr>
        <w:t>-</w:t>
      </w:r>
      <w:r>
        <w:rPr>
          <w:rFonts w:hint="eastAsia" w:ascii="华文仿宋" w:hAnsi="华文仿宋" w:eastAsia="华文仿宋"/>
          <w:sz w:val="28"/>
          <w:szCs w:val="28"/>
          <w:lang w:val="en-US" w:eastAsia="zh-CN"/>
        </w:rPr>
        <w:t>71.92</w:t>
      </w:r>
      <w:r>
        <w:rPr>
          <w:rFonts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80.05</w:t>
      </w:r>
      <w:r>
        <w:rPr>
          <w:rFonts w:ascii="华文仿宋" w:hAnsi="华文仿宋" w:eastAsia="华文仿宋"/>
          <w:sz w:val="28"/>
          <w:szCs w:val="28"/>
        </w:rPr>
        <w:t>-</w:t>
      </w:r>
      <w:r>
        <w:rPr>
          <w:rFonts w:hint="eastAsia" w:ascii="华文仿宋" w:hAnsi="华文仿宋" w:eastAsia="华文仿宋"/>
          <w:sz w:val="28"/>
          <w:szCs w:val="28"/>
          <w:lang w:val="en-US" w:eastAsia="zh-CN"/>
        </w:rPr>
        <w:t>81.41</w:t>
      </w:r>
      <w:r>
        <w:rPr>
          <w:rFonts w:ascii="华文仿宋" w:hAnsi="华文仿宋" w:eastAsia="华文仿宋"/>
          <w:sz w:val="28"/>
          <w:szCs w:val="28"/>
        </w:rPr>
        <w:t>美元/桶震荡。周内EIA原油库存与产量大增，加之股市继续重挫令市场避险情绪急升，国际油价震荡下跌。周内前期，美国原油库存及产量齐飞加大了油价的下行风险，同时美国石油活跃钻井数大幅增长令忧虑情绪再升，但飓风气候引发的美国产量锐减依然为油价带来有效提振，同时沙特和美国关系紧张化令中东地区原油供应面临挑战，加之美元承压更是为油价带来有效支撑，国际油价先跌后涨;周内后期，在伊朗制裁逐步展现效果的同时，市场担心主要产油国备用产能已经明显不足，这令原油供应面临严峻挑战，同时美元承压也加剧了油价的上行风险，随后，美国原油库存连续第四个星期大幅上升的消息令原油多头信心遭受重挫，同时美联储会议纪要提振美元强势反弹，加大了油价的下行空间，国际原油创近两个月最大跌幅。此外，美国油服公司贝克休斯(Baker Hughes)周五(10月12日)公布数据显示，截至10月12日当周，美国石油活跃钻井数增加8座至869座，四周来首次录得增长，创8月中旬以来最大单周增幅。去年同期为743座。更多数据显示，截至10月12日当周美国石油和天然气活跃钻井总数增加11座至1063座。整体看来，周内国际原油市场中空好消息相互交织，但最终利空面占据市场主导地位，国际油价整体呈现宽幅下跌走势。其中WTI期货本周均价71.15美元/桶，较上周下跌4.13%，较上月上涨1.54%;本周布伦特期货均价80.59美元/桶，较上周下跌4.23%，较上月上涨1.87%。后市预测：近期国际原油市场空好消息反复交织，原油价格从月初的暴涨到现在的暴跌，除市场供应短缺问题外还存在很多不确定性因素。EIA库存如期再度大增令原油多头信心遭受重挫，同时美联储会议纪要提振美元强势反弹，且市场对伊朗制裁等供应端问题基本消化，市场情绪开始偏向看空，从而加大了油价的下行空间，油价大跌或令市场谨慎情绪继续升温，对应原油等风险资产难有向好表现，但美国原油产量却录得下滑，将在一定程度上给予油价支撑。综合来看，近期国际原油市场或将开启偏空走势，预计油价将小幅下滑，但若重大利好消息出现，不排除上行可能。预计近期WTI原油期货价格在67-72美元/桶之间浮动，布伦特原油期货均价在77-82美元/桶之间浮动。</w:t>
      </w:r>
    </w:p>
    <w:p>
      <w:pPr>
        <w:ind w:left="208" w:leftChars="99"/>
        <w:outlineLvl w:val="1"/>
        <w:rPr>
          <w:rFonts w:hint="eastAsia" w:ascii="仿宋_GB2312" w:hAnsi="宋体" w:eastAsia="仿宋_GB2312" w:cs="Arial"/>
          <w:b/>
          <w:bCs/>
          <w:kern w:val="0"/>
          <w:sz w:val="30"/>
          <w:szCs w:val="30"/>
          <w:lang w:val="en-US" w:eastAsia="zh-CN"/>
        </w:rPr>
      </w:pPr>
      <w:r>
        <w:rPr>
          <w:rFonts w:hint="eastAsia" w:ascii="仿宋_GB2312" w:hAnsi="宋体" w:eastAsia="仿宋_GB2312" w:cs="Arial"/>
          <w:b/>
          <w:bCs/>
          <w:kern w:val="0"/>
          <w:sz w:val="30"/>
          <w:szCs w:val="30"/>
          <w:lang w:val="en-US" w:eastAsia="zh-CN"/>
        </w:rPr>
        <w:t xml:space="preserve">                        </w:t>
      </w: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ascii="黑体" w:hAnsi="宋体" w:eastAsia="黑体"/>
          <w:b/>
          <w:sz w:val="28"/>
          <w:szCs w:val="28"/>
        </w:rPr>
      </w:pPr>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805"/>
        <w:gridCol w:w="2126"/>
        <w:gridCol w:w="1599"/>
        <w:gridCol w:w="2157"/>
        <w:gridCol w:w="2269"/>
      </w:tblGrid>
      <w:tr>
        <w:tblPrEx>
          <w:shd w:val="clear" w:color="auto" w:fill="FFFFFF"/>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96600812"/>
            <w:bookmarkStart w:id="24" w:name="_Toc460250405"/>
            <w:bookmarkStart w:id="25" w:name="_Toc505350009"/>
            <w:bookmarkStart w:id="26" w:name="_Toc281568202"/>
            <w:bookmarkStart w:id="27" w:name="_Toc239847715"/>
            <w:r>
              <w:rPr>
                <w:rFonts w:hint="eastAsia" w:ascii="华文仿宋" w:hAnsi="华文仿宋" w:eastAsia="华文仿宋" w:cs="华文仿宋"/>
                <w:color w:val="000000"/>
                <w:sz w:val="28"/>
                <w:szCs w:val="28"/>
                <w:lang w:val="en-US" w:eastAsia="zh-CN"/>
              </w:rPr>
              <w:t>10月18日</w:t>
            </w:r>
          </w:p>
        </w:tc>
        <w:tc>
          <w:tcPr>
            <w:tcW w:w="212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shd w:val="clear" w:color="auto" w:fill="FFFFFF"/>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73.18</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73.22</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-2.50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174.238-174.333</w:t>
            </w:r>
          </w:p>
        </w:tc>
      </w:tr>
      <w:tr>
        <w:tblPrEx>
          <w:shd w:val="clear" w:color="auto" w:fill="FFFFFF"/>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674.75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675.75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-22.375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178.505-178.770</w:t>
            </w:r>
          </w:p>
        </w:tc>
      </w:tr>
      <w:tr>
        <w:tblPrEx>
          <w:shd w:val="clear" w:color="auto" w:fill="FFFFFF"/>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647.27</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648.27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-23.215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171.235-171.500</w:t>
            </w:r>
          </w:p>
        </w:tc>
      </w:tr>
      <w:tr>
        <w:tblPrEx>
          <w:shd w:val="clear" w:color="auto" w:fill="FFFFFF"/>
          <w:tblLayout w:type="fixed"/>
          <w:tblCellMar>
            <w:top w:w="0" w:type="dxa"/>
            <w:left w:w="0" w:type="dxa"/>
            <w:bottom w:w="0" w:type="dxa"/>
            <w:right w:w="0" w:type="dxa"/>
          </w:tblCellMar>
        </w:tblPrEx>
        <w:trPr>
          <w:trHeight w:val="67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645.00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645.50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172.460-172.594</w:t>
            </w:r>
          </w:p>
        </w:tc>
      </w:tr>
      <w:tr>
        <w:tblPrEx>
          <w:shd w:val="clear" w:color="auto" w:fill="FFFFFF"/>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641.00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641.50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171.390-171.524</w:t>
            </w:r>
          </w:p>
        </w:tc>
      </w:tr>
      <w:tr>
        <w:tblPrEx>
          <w:shd w:val="clear" w:color="auto" w:fill="FFFFFF"/>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625.75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626.25</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167.313-167.447</w:t>
            </w:r>
          </w:p>
        </w:tc>
      </w:tr>
      <w:tr>
        <w:tblPrEx>
          <w:shd w:val="clear" w:color="auto" w:fill="FFFFFF"/>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637.00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637.50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-6.75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170.321-170.455</w:t>
            </w:r>
          </w:p>
        </w:tc>
      </w:tr>
      <w:tr>
        <w:tblPrEx>
          <w:shd w:val="clear" w:color="auto" w:fill="FFFFFF"/>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633.87</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633.97</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-3.61美分/加仑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181.060-181.160</w:t>
            </w:r>
          </w:p>
        </w:tc>
      </w:tr>
      <w:tr>
        <w:tblPrEx>
          <w:shd w:val="clear" w:color="auto" w:fill="FFFFFF"/>
          <w:tblLayout w:type="fixed"/>
          <w:tblCellMar>
            <w:top w:w="0" w:type="dxa"/>
            <w:left w:w="0" w:type="dxa"/>
            <w:bottom w:w="0" w:type="dxa"/>
            <w:right w:w="0" w:type="dxa"/>
          </w:tblCellMar>
        </w:tblPrEx>
        <w:trPr>
          <w:trHeight w:val="285" w:hRule="atLeast"/>
        </w:trPr>
        <w:tc>
          <w:tcPr>
            <w:tcW w:w="180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12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本周国内地炼石脑油</w:t>
      </w:r>
      <w:r>
        <w:rPr>
          <w:rFonts w:hint="eastAsia" w:ascii="华文仿宋" w:hAnsi="华文仿宋" w:eastAsia="华文仿宋"/>
          <w:sz w:val="28"/>
          <w:szCs w:val="28"/>
          <w:lang w:val="en-US" w:eastAsia="zh-CN"/>
        </w:rPr>
        <w:t>表现淡稳，局部小调</w:t>
      </w:r>
      <w:r>
        <w:rPr>
          <w:rFonts w:hint="default" w:ascii="华文仿宋" w:hAnsi="华文仿宋" w:eastAsia="华文仿宋"/>
          <w:sz w:val="28"/>
          <w:szCs w:val="28"/>
        </w:rPr>
        <w:t>。</w:t>
      </w:r>
      <w:r>
        <w:rPr>
          <w:rFonts w:ascii="华文仿宋" w:hAnsi="华文仿宋" w:eastAsia="华文仿宋"/>
          <w:sz w:val="28"/>
          <w:szCs w:val="28"/>
        </w:rPr>
        <w:t>伊朗能源制裁期限将至以及沙特美国之间的紧张气氛都对石油市场形成了正向支撑，本轮国内成品油零售限价笃定上调，连涨将对国内成品油市场十月操作形成信心提振，不过当前国内成品油采购高峰期已告一段落，市场等待调价兑现后重启新一轮投机操作期。石脑油市场表现淡稳，受汽油市场疲软影响加氢石脑油局部下调，少数企业直汽报盘已经高于加氢石脑油价格。钦州天恒石化有重启芳构化装置意愿，不过当前市场难以锁定长期原料来源。东北方向仍为主要资源消化区域，山东溶剂油切割企业对煤基资源的消化力度也较强，这主要缘于市场低凝柴油组分的需求。</w:t>
      </w:r>
    </w:p>
    <w:p>
      <w:pPr>
        <w:pStyle w:val="19"/>
        <w:keepNext w:val="0"/>
        <w:keepLines w:val="0"/>
        <w:widowControl/>
        <w:suppressLineNumbers w:val="0"/>
        <w:ind w:firstLine="560" w:firstLineChars="200"/>
        <w:rPr>
          <w:rFonts w:ascii="华文仿宋" w:hAnsi="华文仿宋" w:eastAsia="华文仿宋"/>
          <w:sz w:val="28"/>
          <w:szCs w:val="28"/>
        </w:rPr>
      </w:pPr>
    </w:p>
    <w:p>
      <w:pPr>
        <w:pStyle w:val="19"/>
        <w:keepNext w:val="0"/>
        <w:keepLines w:val="0"/>
        <w:widowControl/>
        <w:suppressLineNumbers w:val="0"/>
        <w:ind w:firstLine="560" w:firstLineChars="200"/>
        <w:rPr>
          <w:rFonts w:ascii="华文仿宋" w:hAnsi="华文仿宋" w:eastAsia="华文仿宋"/>
          <w:sz w:val="28"/>
          <w:szCs w:val="28"/>
        </w:rPr>
      </w:pPr>
    </w:p>
    <w:p>
      <w:pPr>
        <w:outlineLvl w:val="1"/>
        <w:rPr>
          <w:rFonts w:asciiTheme="minorEastAsia" w:hAnsiTheme="minorEastAsia" w:eastAsiaTheme="minorEastAsia"/>
          <w:b/>
          <w:sz w:val="28"/>
          <w:szCs w:val="28"/>
        </w:rPr>
      </w:pPr>
      <w:bookmarkStart w:id="28" w:name="_Toc460250406"/>
      <w:bookmarkStart w:id="29" w:name="_Toc296600813"/>
      <w:bookmarkStart w:id="30" w:name="_Toc281568203"/>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2018/10/19</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-7520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296600814"/>
      <w:bookmarkStart w:id="33" w:name="_Toc281568204"/>
      <w:bookmarkStart w:id="34" w:name="_Toc460250407"/>
      <w:bookmarkStart w:id="35" w:name="_Toc505350011"/>
      <w:bookmarkStart w:id="36" w:name="_Toc239847719"/>
      <w:bookmarkStart w:id="37" w:name="_Toc158203132"/>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p>
    <w:p>
      <w:pPr>
        <w:rPr>
          <w:sz w:val="20"/>
          <w:szCs w:val="20"/>
        </w:rPr>
      </w:pPr>
      <w:r>
        <w:drawing>
          <wp:inline distT="0" distB="0" distL="114300" distR="114300">
            <wp:extent cx="5800725" cy="5928360"/>
            <wp:effectExtent l="0" t="0" r="9525" b="15240"/>
            <wp:docPr id="629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bookmarkEnd w:id="36"/>
    <w:bookmarkEnd w:id="37"/>
    <w:p>
      <w:pPr>
        <w:outlineLvl w:val="0"/>
        <w:rPr>
          <w:rFonts w:ascii="黑体" w:eastAsia="黑体"/>
          <w:b/>
          <w:sz w:val="28"/>
          <w:szCs w:val="28"/>
        </w:rPr>
      </w:pPr>
      <w:bookmarkStart w:id="38" w:name="_Toc237428455"/>
      <w:bookmarkStart w:id="39" w:name="_Toc296600816"/>
      <w:bookmarkStart w:id="40" w:name="_Toc281568206"/>
      <w:bookmarkStart w:id="41" w:name="_Toc460250408"/>
      <w:bookmarkStart w:id="42" w:name="_Toc505350012"/>
      <w:r>
        <w:rPr>
          <w:rFonts w:hint="eastAsia" w:ascii="黑体" w:eastAsia="黑体"/>
          <w:b/>
          <w:sz w:val="28"/>
          <w:szCs w:val="28"/>
        </w:rPr>
        <w:t>三、本周国内油品市场分析及预测</w:t>
      </w:r>
      <w:bookmarkEnd w:id="38"/>
      <w:bookmarkEnd w:id="39"/>
      <w:bookmarkEnd w:id="40"/>
      <w:bookmarkEnd w:id="41"/>
      <w:bookmarkEnd w:id="42"/>
      <w:bookmarkStart w:id="43" w:name="_Toc460250409"/>
      <w:bookmarkStart w:id="44" w:name="_Toc296600817"/>
      <w:bookmarkStart w:id="45" w:name="_Toc281568207"/>
      <w:bookmarkStart w:id="46" w:name="_Toc237428456"/>
      <w:bookmarkStart w:id="47" w:name="_Toc176571903"/>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ind w:firstLine="560" w:firstLineChars="200"/>
        <w:rPr>
          <w:rFonts w:ascii="华文仿宋" w:hAnsi="华文仿宋" w:eastAsia="华文仿宋"/>
          <w:sz w:val="28"/>
          <w:szCs w:val="28"/>
        </w:rPr>
      </w:pPr>
      <w:bookmarkStart w:id="49" w:name="_Toc505350014"/>
      <w:bookmarkStart w:id="50" w:name="_Toc460250410"/>
      <w:bookmarkStart w:id="51" w:name="_Toc281568208"/>
      <w:bookmarkStart w:id="52" w:name="_Toc369858747"/>
      <w:bookmarkStart w:id="53" w:name="_Toc180485827"/>
      <w:bookmarkStart w:id="54" w:name="_Toc296600818"/>
      <w:bookmarkStart w:id="55" w:name="_Toc281568211"/>
      <w:bookmarkStart w:id="56" w:name="_Toc296600819"/>
      <w:r>
        <w:rPr>
          <w:rFonts w:ascii="华文仿宋" w:hAnsi="华文仿宋" w:eastAsia="华文仿宋"/>
          <w:sz w:val="28"/>
          <w:szCs w:val="28"/>
        </w:rPr>
        <w:t>本周，国际原油期货震荡下行，国内成品油市场购销氛围持淡，各地主营汽柴油销售执行优惠政策。与此同时，山东地区汽油行情弱势下行，柴油行情则保持坚挺，炼厂实际成交保持100元/吨左右优惠。具体来看出货方面：周初，受终端需求影响，中下游商家入市采购多以柴油为主，汽油成交表现不佳，致使区内行情涨跌互现。临近周末，随着外盘油价大幅走跌，区内油市看空气氛浓厚，终端用户及贸易商多消库观望，市场交投气氛冷清。进入下周，国际原油期价或先抑后扬，当前原油价格卖压沉重，因此有一个探底的过程，在阶段性筑底后，有望小幅回暖。WTI运行区间在67-70(均值68.5)美元/桶之间。在缺少实质性利好因素下，山东地区成品油行情弱势难改，买卖双方理性操作，市场观望气氛浓厚。综上所述，预计下周山东地炼汽柴油价格稳中走低。</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华北地区主营成品油行情承压下行，其中汽油跌势相对较大。分析来看，周内国际油价走势颇为震荡，变化率正向区间收窄，本轮零售价预计上调幅度持续收窄，消息面对市场指引有限，区内各地区主营汽柴价格持续承压。由于当前汽柴油需求表现不一，其中汽油消费旺季已过，需求量回归稳定，主营单位为促进出货价格不断放低且幅度较大，成交维持50-200元/吨优惠;柴油方面仍处于传统需求旺季，主营单位根据自身销售情况局部地区涨跌调整，成交亦维持一定优惠。中间商观望心态浓郁，入市采购活动十分谨慎，整体成交气氛延续平淡。进入下周，国际原油高位震荡，本轮零售价上调已无悬念，受此影响市场或迎来一波小涨。但是业者对后市较为悲观，且主营单位多追赶销售任务，因此预计下周华北地区汽柴行情仍有继续下行的空间。</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华南地区成品油行情跌势加剧，市场交投气氛清淡。具体来看，国际原油期货震荡下跌，零售价预计上调幅度不断收窄，消息方面支撑力度下降。与此同时，步入中下旬，主营单位销售压力增大，加之周边行情走低，当地汽柴油价格承压连续下滑。业者观望心态加重，入市购进意向低迷，市场交投气氛清淡不已。后市来看，国际原油或先抑后扬，本轮零售价将兑现上调。尽管如此，当前市场库存消耗缓慢，业者鲜有入市购进意向，主营单位依然出货赶量为主，预计近期华南汽柴油行情或继续走跌。</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华中地区成品油行情承压下行，基本面主导市场，华中地区汽柴油价格步入下行周期。具体分析如下，本周原油期价先扬后抑，变化率始终维持正向区间运行，零售价上调基本坐实，消息面呈利好指引。但由于市场价格处于高位，下游补货节奏明显放缓，加上本月销售周期较短，多数主营出货承压，价格随之逐渐下滑，或明稳暗跌，成交均存较大优惠空间。然业者入市仍显谨慎，整体交投提量不易。后市来看，国际原油仍有下探趋势，本周五零售价将如期兑现上调，但新一轮变化率或转为负向开端，消息面或指引偏空，且主营出货压力暂难缓解，故预计近期内华中地区成品油价格或将继续承压，成交重心恐将继续下探。</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华东地区成品油行情承压下滑，市场交投氛围愈加清淡。具体来看，近期国际油价震荡下行，变化率正向幅度不断收窄，不过零售价上调仍将于本周五(10月19日)兑现。消息面对市场提振不强，且外采成本尤其汽油成本下滑，加之本月工作日减少，下游亦处库存消耗期，华东主营销售压力普遍较大，故本周部分单位汽柴报价下调50元/吨左右，整体成交重心明显下滑。业者心态较为悲观，入市采购难见大单，市场整体购销行情较为冷清。后市而言，尽管零售价将上调，但国际原油难改震荡走势，后续零售价或转为下调预期，消息面对市场难有支撑。加之华东主营或追赶销售进度，预计下周华东汽柴行情仍将承压，柴油受成本支撑下跌空间或有限，而汽油跌幅或将加大。</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西北地炼汽柴行情维持平稳走势，市场成交不温不火。分析来看：周内国际油价震荡走跌，但变化率仍维持正向区间运行，上调预期指向清晰，消息面对市场仍有一定支撑。不过，近期暂无节假日提振，汽油需求面持续转弱，业者入市补货稀少;柴油方面，由于“银十”旺季过半，后期柴油需求面提升空间有限，业者补货心态亦维持谨慎。销售公司出货不畅，汽柴行情维持淡稳。本周五，成品油零售价上调窗口将如期开启，但近期国际油价弱势震荡，进入新一轮计价周期，消息面或对市场难有明显支撑。业者消库为主，市场成交难有提升。预计下周西北地炼汽柴行情窄幅调整之后趋稳运行。</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西南地区汽柴行情震荡走低，市场交投氛围平淡。分析来看：周内国际油价震荡下行，变化率正向区间略有收窄，但零售价上调预期明显，消息面利好仍存。不过，主营单位本月销售压力较大，且汽油需求面逐步转淡，因此部分单位价格回调。柴油需求面尚可，主营价格跌幅有限。鉴于目前汽柴价格仍维持高位，业者操作心态维持谨慎，入市补货有限，市场成交难有明显改善。本周五，成品油零售价上调将如期兑现，但区内汽柴行情涨幅或有限。下周，国际油价区间震荡为主，消息面缺乏明确指引，业者消耗前期库存为主，市场成交维持清淡。中下旬主营积极赶量，因此预计西南地区汽柴行情下行压力增加。</w:t>
      </w:r>
    </w:p>
    <w:p>
      <w:pPr>
        <w:pStyle w:val="19"/>
        <w:keepNext w:val="0"/>
        <w:keepLines w:val="0"/>
        <w:widowControl/>
        <w:suppressLineNumbers w:val="0"/>
        <w:ind w:firstLine="560" w:firstLineChars="200"/>
        <w:rPr>
          <w:rFonts w:ascii="华文仿宋" w:hAnsi="华文仿宋" w:eastAsia="华文仿宋"/>
          <w:sz w:val="28"/>
          <w:szCs w:val="28"/>
        </w:rPr>
      </w:pPr>
      <w:r>
        <w:rPr>
          <w:rFonts w:ascii="华文仿宋" w:hAnsi="华文仿宋" w:eastAsia="华文仿宋"/>
          <w:sz w:val="28"/>
          <w:szCs w:val="28"/>
        </w:rPr>
        <w:t>步入下周，国际原油期价或仍维持弱势震荡运行。本周五零售价上调之后，新一轮变化率则或转为负向运行，消息面对市场支撑减弱。虽然北方炼厂逐步转产负号，但由于目前炼厂整体开工水平较高，柴油供应依然充足。汽油整体需求进入平稳期，汽油供应过剩压力及下游库存压力将进 一步加大。地方炼厂汽油价格与主营价差拉大。下游用户心态偏悲观，补仓热情并不高涨。短期内利空消息占据上风，预计下周国内成品油行情依然承压，“柴强汽弱”的市场 格局进一步凸显。</w:t>
      </w:r>
    </w:p>
    <w:p>
      <w:pPr>
        <w:pStyle w:val="19"/>
        <w:keepNext w:val="0"/>
        <w:keepLines w:val="0"/>
        <w:widowControl/>
        <w:suppressLineNumbers w:val="0"/>
        <w:rPr>
          <w:rFonts w:ascii="华文仿宋" w:hAnsi="华文仿宋" w:eastAsia="华文仿宋"/>
          <w:sz w:val="28"/>
          <w:szCs w:val="28"/>
        </w:rPr>
      </w:pPr>
    </w:p>
    <w:p>
      <w:pPr>
        <w:pStyle w:val="2"/>
        <w:spacing w:line="360" w:lineRule="auto"/>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四、国内溶剂油市场综述</w:t>
      </w:r>
      <w:bookmarkEnd w:id="49"/>
    </w:p>
    <w:bookmarkEnd w:id="50"/>
    <w:bookmarkEnd w:id="51"/>
    <w:bookmarkEnd w:id="52"/>
    <w:bookmarkEnd w:id="53"/>
    <w:bookmarkEnd w:id="54"/>
    <w:p>
      <w:pPr>
        <w:pStyle w:val="19"/>
        <w:keepNext w:val="0"/>
        <w:keepLines w:val="0"/>
        <w:widowControl/>
        <w:suppressLineNumbers w:val="0"/>
        <w:ind w:firstLine="560" w:firstLineChars="200"/>
        <w:rPr>
          <w:rFonts w:ascii="华文仿宋" w:hAnsi="华文仿宋" w:eastAsia="华文仿宋"/>
          <w:sz w:val="28"/>
          <w:szCs w:val="28"/>
        </w:rPr>
      </w:pPr>
      <w:bookmarkStart w:id="57" w:name="_Toc505350015"/>
      <w:bookmarkStart w:id="58" w:name="_Toc460250411"/>
      <w:r>
        <w:rPr>
          <w:rFonts w:ascii="华文仿宋" w:hAnsi="华文仿宋" w:eastAsia="华文仿宋"/>
          <w:sz w:val="28"/>
          <w:szCs w:val="28"/>
        </w:rPr>
        <w:t>本周国内溶剂油市场淡稳整理，市场交投气氛较为冷清。本周原油价格大跌，利空市场，消息面支撑力度下滑。溶剂油市场成交刚需为主，业者消库之余逢低适量补货，成交量小居多。加之受汽柴油市场疲软影响，溶剂油价格大稳小动，业者谨慎操盘，市场成交提升有限，多是持币观望姿态。 后市预测：国内溶剂油市场区间整理为主，持币观望氛围厚重。价格小部分地区进行调整，有上涨亦有下跌，整体平稳为主。本周国际原油跌幅不断，利空市场，市场支撑力略有下降。预计下周国内溶剂油价格平稳整理为主，随着天气转凉，部分厂家或将降价消库。</w:t>
      </w:r>
    </w:p>
    <w:p>
      <w:pPr>
        <w:pStyle w:val="19"/>
        <w:keepNext w:val="0"/>
        <w:keepLines w:val="0"/>
        <w:widowControl/>
        <w:suppressLineNumbers w:val="0"/>
        <w:ind w:firstLine="560" w:firstLineChars="200"/>
        <w:rPr>
          <w:rFonts w:hint="eastAsia" w:ascii="华文仿宋" w:hAnsi="华文仿宋" w:eastAsia="华文仿宋"/>
          <w:sz w:val="28"/>
          <w:szCs w:val="28"/>
          <w:lang w:val="en-US" w:eastAsia="zh-CN"/>
        </w:rPr>
      </w:pP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tbl>
      <w:tblPr>
        <w:tblpPr w:leftFromText="180" w:rightFromText="180" w:vertAnchor="text" w:horzAnchor="page" w:tblpX="1069" w:tblpY="318"/>
        <w:tblOverlap w:val="neve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36"/>
        <w:gridCol w:w="1853"/>
        <w:gridCol w:w="1038"/>
        <w:gridCol w:w="1048"/>
        <w:gridCol w:w="1038"/>
        <w:gridCol w:w="1039"/>
        <w:gridCol w:w="1362"/>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6"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853"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3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4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3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39"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36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2018/10/19</w:t>
            </w:r>
          </w:p>
        </w:tc>
        <w:tc>
          <w:tcPr>
            <w:tcW w:w="136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6460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6480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3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85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3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sz w:val="20"/>
          <w:szCs w:val="20"/>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505350016"/>
      <w:bookmarkStart w:id="60" w:name="_Toc281568213"/>
      <w:bookmarkStart w:id="61" w:name="_Toc296600821"/>
      <w:bookmarkStart w:id="62" w:name="_Toc460250412"/>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63"/>
        <w:gridCol w:w="1210"/>
        <w:gridCol w:w="1217"/>
        <w:gridCol w:w="1209"/>
        <w:gridCol w:w="1210"/>
        <w:gridCol w:w="1402"/>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1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1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1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2018/10/19</w:t>
            </w:r>
          </w:p>
        </w:tc>
        <w:tc>
          <w:tcPr>
            <w:tcW w:w="136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16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1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7850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296600822"/>
      <w:bookmarkStart w:id="64" w:name="_Toc281568214"/>
      <w:bookmarkStart w:id="65" w:name="_Toc460250413"/>
      <w:bookmarkStart w:id="66" w:name="_Toc505350017"/>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59"/>
        <w:gridCol w:w="1569"/>
        <w:gridCol w:w="1248"/>
        <w:gridCol w:w="1081"/>
        <w:gridCol w:w="1060"/>
        <w:gridCol w:w="1035"/>
        <w:gridCol w:w="1362"/>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5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4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8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3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36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2018/10/19</w:t>
            </w:r>
          </w:p>
        </w:tc>
        <w:tc>
          <w:tcPr>
            <w:tcW w:w="136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7950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5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5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24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6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3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180485835"/>
      <w:bookmarkStart w:id="68" w:name="_Toc296600823"/>
      <w:bookmarkStart w:id="69" w:name="_Toc505350018"/>
      <w:bookmarkStart w:id="70" w:name="_Toc460250414"/>
      <w:bookmarkStart w:id="71" w:name="_Toc28156821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bookmarkStart w:id="80" w:name="_GoBack"/>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2018/10/19</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bookmarkEnd w:id="80"/>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460250415"/>
      <w:bookmarkStart w:id="73" w:name="_Toc505350019"/>
      <w:bookmarkStart w:id="74" w:name="_Toc296600824"/>
      <w:bookmarkStart w:id="75" w:name="_Toc281568216"/>
      <w:r>
        <w:rPr>
          <w:rFonts w:hint="eastAsia" w:ascii="华文仿宋" w:hAnsi="华文仿宋" w:eastAsia="华文仿宋"/>
          <w:b w:val="0"/>
          <w:bCs w:val="0"/>
          <w:kern w:val="2"/>
          <w:sz w:val="28"/>
          <w:szCs w:val="28"/>
        </w:rPr>
        <w:t>九、2018年3月中国溶剂油石脑油进出口数据统计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2018年3月中国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2880"/>
        <w:gridCol w:w="1790"/>
        <w:gridCol w:w="1621"/>
        <w:gridCol w:w="1743"/>
        <w:gridCol w:w="1742"/>
      </w:tblGrid>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790"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621"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743"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742"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4964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台湾省</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10560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23654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德国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986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新加坡</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785199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1096866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43468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92487</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朝鲜</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30020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42028</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比利时</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2559</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8202</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法国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泰国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12400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12524</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美国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628</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4506</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1216</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4139</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35760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53998</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香港</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24960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41434</w:t>
            </w:r>
          </w:p>
        </w:tc>
      </w:tr>
      <w:tr>
        <w:tblPrEx>
          <w:tblLayout w:type="fixed"/>
          <w:tblCellMar>
            <w:top w:w="15" w:type="dxa"/>
            <w:left w:w="15" w:type="dxa"/>
            <w:bottom w:w="15" w:type="dxa"/>
            <w:right w:w="15" w:type="dxa"/>
          </w:tblCellMar>
        </w:tblPrEx>
        <w:trPr>
          <w:trHeight w:val="285" w:hRule="atLeast"/>
        </w:trPr>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马来西亚</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35244</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2018年3月石脑油进出口数据(数量单位：千克/升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Layout w:type="fixed"/>
        <w:tblCellMar>
          <w:top w:w="15" w:type="dxa"/>
          <w:left w:w="15" w:type="dxa"/>
          <w:bottom w:w="15" w:type="dxa"/>
          <w:right w:w="15" w:type="dxa"/>
        </w:tblCellMar>
      </w:tblPr>
      <w:tblGrid>
        <w:gridCol w:w="1955"/>
        <w:gridCol w:w="1955"/>
        <w:gridCol w:w="1956"/>
        <w:gridCol w:w="1955"/>
        <w:gridCol w:w="1955"/>
      </w:tblGrid>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产销国</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进口数量</w:t>
            </w:r>
          </w:p>
        </w:tc>
        <w:tc>
          <w:tcPr>
            <w:tcW w:w="1956"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进口美元</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出口数量</w:t>
            </w:r>
          </w:p>
        </w:tc>
        <w:tc>
          <w:tcPr>
            <w:tcW w:w="19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rPr>
              <w:t>出口美元</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俄罗斯联邦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60850458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32928505</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印度</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29972525</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17664699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埃及</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36355897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21572481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日本</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86</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荷兰</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55866332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32618531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480"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阿拉伯联合酋长国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55461759</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32868053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r>
        <w:tblPrEx>
          <w:tblLayout w:type="fixed"/>
          <w:tblCellMar>
            <w:top w:w="15" w:type="dxa"/>
            <w:left w:w="15" w:type="dxa"/>
            <w:bottom w:w="15" w:type="dxa"/>
            <w:right w:w="15" w:type="dxa"/>
          </w:tblCellMar>
        </w:tblPrEx>
        <w:trPr>
          <w:trHeight w:val="285" w:hRule="atLeast"/>
        </w:trPr>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韩国</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64861818</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37385693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roman"/>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9F699F"/>
    <w:rsid w:val="0BB90B94"/>
    <w:rsid w:val="0BF558B0"/>
    <w:rsid w:val="0C6F4F00"/>
    <w:rsid w:val="0CBA42B6"/>
    <w:rsid w:val="0CD07931"/>
    <w:rsid w:val="0E220EFD"/>
    <w:rsid w:val="106000A3"/>
    <w:rsid w:val="106D2E5F"/>
    <w:rsid w:val="10C92BDE"/>
    <w:rsid w:val="11E06D1D"/>
    <w:rsid w:val="14BD6DE9"/>
    <w:rsid w:val="151B0610"/>
    <w:rsid w:val="153967D9"/>
    <w:rsid w:val="15A51265"/>
    <w:rsid w:val="1602563E"/>
    <w:rsid w:val="17DF730A"/>
    <w:rsid w:val="1871150E"/>
    <w:rsid w:val="193B0DD2"/>
    <w:rsid w:val="1950525E"/>
    <w:rsid w:val="19995649"/>
    <w:rsid w:val="1A4B0BD2"/>
    <w:rsid w:val="1B142ABF"/>
    <w:rsid w:val="1BB02F43"/>
    <w:rsid w:val="1CD92D71"/>
    <w:rsid w:val="1DA91524"/>
    <w:rsid w:val="1DBC2256"/>
    <w:rsid w:val="1F57560A"/>
    <w:rsid w:val="20DD1860"/>
    <w:rsid w:val="21416467"/>
    <w:rsid w:val="21467DDF"/>
    <w:rsid w:val="2258468B"/>
    <w:rsid w:val="24977CE4"/>
    <w:rsid w:val="250C493B"/>
    <w:rsid w:val="26E64670"/>
    <w:rsid w:val="272712C8"/>
    <w:rsid w:val="29CF7033"/>
    <w:rsid w:val="2C672FEB"/>
    <w:rsid w:val="2D12102F"/>
    <w:rsid w:val="2F3F3674"/>
    <w:rsid w:val="2F6F6534"/>
    <w:rsid w:val="2FB62CD5"/>
    <w:rsid w:val="3166404B"/>
    <w:rsid w:val="316E4BCF"/>
    <w:rsid w:val="32FB3069"/>
    <w:rsid w:val="359C2633"/>
    <w:rsid w:val="360A4426"/>
    <w:rsid w:val="37623BD0"/>
    <w:rsid w:val="378A2746"/>
    <w:rsid w:val="382035D9"/>
    <w:rsid w:val="390E2AE7"/>
    <w:rsid w:val="3A2A6D06"/>
    <w:rsid w:val="3AAD4D2B"/>
    <w:rsid w:val="3BA17D0E"/>
    <w:rsid w:val="3C7F4653"/>
    <w:rsid w:val="3D5C793D"/>
    <w:rsid w:val="3DFD6225"/>
    <w:rsid w:val="3E0B15BA"/>
    <w:rsid w:val="3EC639AA"/>
    <w:rsid w:val="3FE24704"/>
    <w:rsid w:val="427631AB"/>
    <w:rsid w:val="43A8211E"/>
    <w:rsid w:val="4464587F"/>
    <w:rsid w:val="47C07043"/>
    <w:rsid w:val="4B3A5EC6"/>
    <w:rsid w:val="4D722D5E"/>
    <w:rsid w:val="4DEE463E"/>
    <w:rsid w:val="50A4483B"/>
    <w:rsid w:val="50D54E3C"/>
    <w:rsid w:val="51AF26D5"/>
    <w:rsid w:val="532F052B"/>
    <w:rsid w:val="53CB1533"/>
    <w:rsid w:val="54A90501"/>
    <w:rsid w:val="552402CA"/>
    <w:rsid w:val="55434855"/>
    <w:rsid w:val="56490C7C"/>
    <w:rsid w:val="58343EAC"/>
    <w:rsid w:val="597E6C17"/>
    <w:rsid w:val="5B920EBC"/>
    <w:rsid w:val="5BFA6CAE"/>
    <w:rsid w:val="5D0D24D3"/>
    <w:rsid w:val="5D654113"/>
    <w:rsid w:val="5DB45A4D"/>
    <w:rsid w:val="5E2A7A6D"/>
    <w:rsid w:val="5E3D22F6"/>
    <w:rsid w:val="5E9E5CF6"/>
    <w:rsid w:val="5F5A3274"/>
    <w:rsid w:val="5F5C54EB"/>
    <w:rsid w:val="5FB62CE4"/>
    <w:rsid w:val="5FDC66AB"/>
    <w:rsid w:val="60886E86"/>
    <w:rsid w:val="61426FC7"/>
    <w:rsid w:val="64440A64"/>
    <w:rsid w:val="659D1EC8"/>
    <w:rsid w:val="65C42961"/>
    <w:rsid w:val="66AD6F06"/>
    <w:rsid w:val="67F355EF"/>
    <w:rsid w:val="68727AEB"/>
    <w:rsid w:val="68CB2404"/>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C4A2B81"/>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qFormat/>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qFormat/>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qFormat/>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qFormat/>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qFormat/>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文档结构图 Char"/>
    <w:basedOn w:val="20"/>
    <w:link w:val="6"/>
    <w:semiHidden/>
    <w:uiPriority w:val="99"/>
    <w:rPr>
      <w:rFonts w:ascii="宋体"/>
      <w:kern w:val="2"/>
      <w:sz w:val="18"/>
      <w:szCs w:val="18"/>
    </w:rPr>
  </w:style>
  <w:style w:type="paragraph" w:styleId="18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6368;&#26032;&#28342;&#21058;&#27833;&#21608;&#25253;&#65306;&#23665;&#19996;&#22320;&#28860;&#30707;&#33041;&#27833;&#20215;&#26684;&#36208;&#21183;&#22270;10.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'[最新溶剂油周报：山东地炼石脑油价格走势图10.12.xls]溶剂油周报-石脑油价格走势图表'!$D$178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'[最新溶剂油周报：山东地炼石脑油价格走势图10.12.xls]溶剂油周报-石脑油价格走势图表'!$A$179:$C$349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numCache>
            </c:numRef>
          </c:cat>
          <c:val>
            <c:numRef>
              <c:f>'[最新溶剂油周报：山东地炼石脑油价格走势图10.12.xls]溶剂油周报-石脑油价格走势图表'!$D$179:$D$349</c:f>
              <c:numCache>
                <c:formatCode>@</c:formatCode>
                <c:ptCount val="17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pt idx="155" c:formatCode="General">
                  <c:v>7750</c:v>
                </c:pt>
                <c:pt idx="156" c:formatCode="General">
                  <c:v>7900</c:v>
                </c:pt>
                <c:pt idx="157" c:formatCode="General">
                  <c:v>0</c:v>
                </c:pt>
              </c:numCache>
            </c:numRef>
          </c:val>
          <c:smooth val="0"/>
        </c:ser>
        <c:ser>
          <c:idx val="10"/>
          <c:order val="1"/>
          <c:tx>
            <c:strRef>
              <c:f>'[最新溶剂油周报：山东地炼石脑油价格走势图10.12.xls]溶剂油周报-石脑油价格走势图表'!$E$178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'[最新溶剂油周报：山东地炼石脑油价格走势图10.12.xls]溶剂油周报-石脑油价格走势图表'!$A$179:$C$349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numCache>
            </c:numRef>
          </c:cat>
          <c:val>
            <c:numRef>
              <c:f>'[最新溶剂油周报：山东地炼石脑油价格走势图10.12.xls]溶剂油周报-石脑油价格走势图表'!$E$179:$E$349</c:f>
              <c:numCache>
                <c:formatCode>@</c:formatCode>
                <c:ptCount val="17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pt idx="155" c:formatCode="General">
                  <c:v>0</c:v>
                </c:pt>
                <c:pt idx="156" c:formatCode="General">
                  <c:v>0</c:v>
                </c:pt>
                <c:pt idx="157" c:formatCode="General">
                  <c:v>0</c:v>
                </c:pt>
              </c:numCache>
            </c:numRef>
          </c:val>
          <c:smooth val="0"/>
        </c:ser>
        <c:ser>
          <c:idx val="1"/>
          <c:order val="2"/>
          <c:tx>
            <c:strRef>
              <c:f>'[最新溶剂油周报：山东地炼石脑油价格走势图10.12.xls]溶剂油周报-石脑油价格走势图表'!$F$178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'[最新溶剂油周报：山东地炼石脑油价格走势图10.12.xls]溶剂油周报-石脑油价格走势图表'!$A$179:$C$349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numCache>
            </c:numRef>
          </c:cat>
          <c:val>
            <c:numRef>
              <c:f>'[最新溶剂油周报：山东地炼石脑油价格走势图10.12.xls]溶剂油周报-石脑油价格走势图表'!$F$179:$F$349</c:f>
              <c:numCache>
                <c:formatCode>@</c:formatCode>
                <c:ptCount val="17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pt idx="155" c:formatCode="General">
                  <c:v>7580</c:v>
                </c:pt>
                <c:pt idx="156" c:formatCode="General">
                  <c:v>7500</c:v>
                </c:pt>
                <c:pt idx="157" c:formatCode="General">
                  <c:v>7500</c:v>
                </c:pt>
              </c:numCache>
            </c:numRef>
          </c:val>
          <c:smooth val="0"/>
        </c:ser>
        <c:ser>
          <c:idx val="5"/>
          <c:order val="3"/>
          <c:tx>
            <c:strRef>
              <c:f>'[最新溶剂油周报：山东地炼石脑油价格走势图10.12.xls]溶剂油周报-石脑油价格走势图表'!$G$178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'[最新溶剂油周报：山东地炼石脑油价格走势图10.12.xls]溶剂油周报-石脑油价格走势图表'!$A$179:$C$349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numCache>
            </c:numRef>
          </c:cat>
          <c:val>
            <c:numRef>
              <c:f>'[最新溶剂油周报：山东地炼石脑油价格走势图10.12.xls]溶剂油周报-石脑油价格走势图表'!$G$179:$G$349</c:f>
              <c:numCache>
                <c:formatCode>@</c:formatCode>
                <c:ptCount val="17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pt idx="155" c:formatCode="General">
                  <c:v>5620</c:v>
                </c:pt>
                <c:pt idx="156" c:formatCode="General">
                  <c:v>5750</c:v>
                </c:pt>
                <c:pt idx="157" c:formatCode="General">
                  <c:v>5600</c:v>
                </c:pt>
              </c:numCache>
            </c:numRef>
          </c:val>
          <c:smooth val="0"/>
        </c:ser>
        <c:ser>
          <c:idx val="6"/>
          <c:order val="4"/>
          <c:tx>
            <c:strRef>
              <c:f>'[最新溶剂油周报：山东地炼石脑油价格走势图10.12.xls]溶剂油周报-石脑油价格走势图表'!$H$178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'[最新溶剂油周报：山东地炼石脑油价格走势图10.12.xls]溶剂油周报-石脑油价格走势图表'!$A$179:$C$349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numCache>
            </c:numRef>
          </c:cat>
          <c:val>
            <c:numRef>
              <c:f>'[最新溶剂油周报：山东地炼石脑油价格走势图10.12.xls]溶剂油周报-石脑油价格走势图表'!$H$179:$H$349</c:f>
              <c:numCache>
                <c:formatCode>General</c:formatCode>
                <c:ptCount val="17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numCache>
            </c:numRef>
          </c:val>
          <c:smooth val="0"/>
        </c:ser>
        <c:dLbls>
          <c:showLegendKey val="0"/>
          <c:showVal val="0"/>
          <c:showCatName val="0"/>
          <c:showSerName val="0"/>
          <c:showPercent val="0"/>
          <c:showBubbleSize val="0"/>
        </c:dLbls>
        <c:marker val="0"/>
        <c:smooth val="0"/>
        <c:axId val="702365131"/>
        <c:axId val="843953406"/>
      </c:lineChart>
      <c:dateAx>
        <c:axId val="702365131"/>
        <c:scaling>
          <c:orientation val="minMax"/>
          <c:max val="43392"/>
          <c:min val="43027"/>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843953406"/>
        <c:crossesAt val="2000"/>
        <c:auto val="1"/>
        <c:lblOffset val="100"/>
        <c:baseTimeUnit val="days"/>
        <c:majorUnit val="1"/>
        <c:majorTimeUnit val="months"/>
        <c:minorUnit val="1"/>
        <c:minorTimeUnit val="months"/>
      </c:dateAx>
      <c:valAx>
        <c:axId val="843953406"/>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02365131"/>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52</TotalTime>
  <ScaleCrop>false</ScaleCrop>
  <LinksUpToDate>false</LinksUpToDate>
  <CharactersWithSpaces>18114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lenovo</cp:lastModifiedBy>
  <dcterms:modified xsi:type="dcterms:W3CDTF">2018-10-19T07:54:02Z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