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12</w:t>
                            </w:r>
                            <w:r>
                              <w:rPr>
                                <w:rFonts w:hint="eastAsia"/>
                                <w:kern w:val="2"/>
                              </w:rPr>
                              <w:t>.</w:t>
                            </w:r>
                            <w:r>
                              <w:rPr>
                                <w:rFonts w:hint="eastAsia"/>
                                <w:kern w:val="2"/>
                                <w:lang w:val="en-US" w:eastAsia="zh-CN"/>
                              </w:rPr>
                              <w:t>7</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12</w:t>
                      </w:r>
                      <w:r>
                        <w:rPr>
                          <w:rFonts w:hint="eastAsia"/>
                          <w:kern w:val="2"/>
                        </w:rPr>
                        <w:t>.</w:t>
                      </w:r>
                      <w:r>
                        <w:rPr>
                          <w:rFonts w:hint="eastAsia"/>
                          <w:kern w:val="2"/>
                          <w:lang w:val="en-US" w:eastAsia="zh-CN"/>
                        </w:rPr>
                        <w:t>7</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ascii="黑体" w:hAnsi="宋体" w:eastAsia="黑体" w:cs="Arial"/>
          <w:b w:val="0"/>
          <w:kern w:val="0"/>
          <w:sz w:val="30"/>
          <w:szCs w:val="30"/>
        </w:rPr>
      </w:pPr>
      <w:bookmarkStart w:id="4" w:name="_Toc460250400"/>
      <w:bookmarkStart w:id="5" w:name="_Toc281568195"/>
      <w:bookmarkStart w:id="6" w:name="_Toc29660080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3"/>
        <w:gridCol w:w="918"/>
        <w:gridCol w:w="918"/>
        <w:gridCol w:w="6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7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1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1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467"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2018-12-5</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52.89</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61.56</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投资者在OPEC大会召开前相对谨慎，油价小幅下跌。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2018-12-4</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53.25</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62.08</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加拿大主要产油省艾伯塔省日前表示，为缓解供过于求的局面，该省将削减原油日产量32.5万桶，直至库存出现减少。该消息为4日国际油价走高提供了支撑。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2018-12-3</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52.95</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61.69</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俄罗斯总统普京与沙特阿拉伯王储穆罕默德</w:t>
            </w:r>
            <w:r>
              <w:rPr>
                <w:rStyle w:val="181"/>
                <w:rFonts w:hint="eastAsia" w:ascii="华文仿宋" w:hAnsi="华文仿宋" w:eastAsia="华文仿宋" w:cs="华文仿宋"/>
                <w:sz w:val="28"/>
                <w:szCs w:val="28"/>
                <w:lang w:val="en-US" w:eastAsia="zh-CN" w:bidi="ar"/>
              </w:rPr>
              <w:t>・</w:t>
            </w:r>
            <w:r>
              <w:rPr>
                <w:rStyle w:val="182"/>
                <w:rFonts w:hint="eastAsia" w:ascii="华文仿宋" w:hAnsi="华文仿宋" w:eastAsia="华文仿宋" w:cs="华文仿宋"/>
                <w:sz w:val="28"/>
                <w:szCs w:val="28"/>
                <w:lang w:val="en-US" w:eastAsia="zh-CN" w:bidi="ar"/>
              </w:rPr>
              <w:t>本</w:t>
            </w:r>
            <w:r>
              <w:rPr>
                <w:rStyle w:val="181"/>
                <w:rFonts w:hint="eastAsia" w:ascii="华文仿宋" w:hAnsi="华文仿宋" w:eastAsia="华文仿宋" w:cs="华文仿宋"/>
                <w:sz w:val="28"/>
                <w:szCs w:val="28"/>
                <w:lang w:val="en-US" w:eastAsia="zh-CN" w:bidi="ar"/>
              </w:rPr>
              <w:t>・</w:t>
            </w:r>
            <w:r>
              <w:rPr>
                <w:rStyle w:val="182"/>
                <w:rFonts w:hint="eastAsia" w:ascii="华文仿宋" w:hAnsi="华文仿宋" w:eastAsia="华文仿宋" w:cs="华文仿宋"/>
                <w:sz w:val="28"/>
                <w:szCs w:val="28"/>
                <w:lang w:val="en-US" w:eastAsia="zh-CN" w:bidi="ar"/>
              </w:rPr>
              <w:t>萨勒曼日前在二十国集团领导人峰会期间会面,同意这两大原油出口国将石油输出国组织(欧佩克)减产协议延长至2019年,具体减产目标留待本月6日在维也纳召开的欧佩克部长级会议决定。该消息提振了3日国际油价走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2018-11-30</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50.93</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58.71</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市场对石油供应过剩的担忧令国际油价承压下跌。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2018-11-29</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51.45</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59.51</w:t>
            </w:r>
          </w:p>
        </w:tc>
        <w:tc>
          <w:tcPr>
            <w:tcW w:w="6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石油输出国组织（欧佩克）和以俄罗斯为首的主要产油国下周将在维也纳举行会议。目前，全球经济放缓和美国石油供应增加导致油价持续承压，市场十分关注这次会议是否会再次达成减产协议。</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rFonts w:hint="eastAsia" w:eastAsia="宋体"/>
          <w:sz w:val="20"/>
          <w:szCs w:val="20"/>
          <w:lang w:val="en-US" w:eastAsia="zh-CN"/>
        </w:rPr>
      </w:pPr>
      <w:r>
        <w:drawing>
          <wp:inline distT="0" distB="0" distL="114300" distR="114300">
            <wp:extent cx="5219065" cy="2820035"/>
            <wp:effectExtent l="0" t="0" r="63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19065" cy="2820035"/>
                    </a:xfrm>
                    <a:prstGeom prst="rect">
                      <a:avLst/>
                    </a:prstGeom>
                    <a:noFill/>
                    <a:ln w="9525">
                      <a:noFill/>
                    </a:ln>
                  </pic:spPr>
                </pic:pic>
              </a:graphicData>
            </a:graphic>
          </wp:inline>
        </w:drawing>
      </w:r>
      <w:r>
        <w:rPr>
          <w:rFonts w:hint="eastAsia"/>
          <w:sz w:val="20"/>
          <w:szCs w:val="20"/>
          <w:lang w:val="en-US" w:eastAsia="zh-CN"/>
        </w:rPr>
        <w:t xml:space="preserve"> </w:t>
      </w:r>
    </w:p>
    <w:p>
      <w:pPr>
        <w:outlineLvl w:val="1"/>
        <w:rPr>
          <w:rFonts w:ascii="黑体" w:hAnsi="宋体" w:eastAsia="黑体"/>
          <w:b/>
          <w:sz w:val="30"/>
          <w:szCs w:val="30"/>
        </w:rPr>
      </w:pPr>
      <w:bookmarkStart w:id="9" w:name="_Toc505350001"/>
      <w:bookmarkStart w:id="10" w:name="_Toc460250402"/>
      <w:bookmarkStart w:id="11" w:name="_Toc281568199"/>
      <w:bookmarkStart w:id="12" w:name="_Toc296600809"/>
      <w:bookmarkStart w:id="13" w:name="_Toc158203127"/>
      <w:bookmarkStart w:id="14" w:name="_Toc239847712"/>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bookmarkEnd w:id="15"/>
    <w:p>
      <w:pPr>
        <w:numPr>
          <w:ilvl w:val="0"/>
          <w:numId w:val="1"/>
        </w:numPr>
        <w:outlineLvl w:val="1"/>
        <w:rPr>
          <w:rFonts w:hint="eastAsia" w:ascii="黑体" w:hAnsi="宋体" w:eastAsia="黑体"/>
          <w:b/>
          <w:sz w:val="28"/>
          <w:szCs w:val="28"/>
        </w:rPr>
      </w:pPr>
      <w:r>
        <w:rPr>
          <w:rFonts w:hint="eastAsia" w:ascii="黑体" w:hAnsi="宋体" w:eastAsia="黑体"/>
          <w:b/>
          <w:sz w:val="28"/>
          <w:szCs w:val="28"/>
        </w:rPr>
        <w:t>美国原油库存情况</w:t>
      </w:r>
    </w:p>
    <w:p>
      <w:pPr>
        <w:pStyle w:val="19"/>
        <w:keepNext w:val="0"/>
        <w:keepLines w:val="0"/>
        <w:widowControl/>
        <w:suppressLineNumbers w:val="0"/>
        <w:rPr>
          <w:rFonts w:hint="eastAsia" w:ascii="华文仿宋" w:hAnsi="华文仿宋" w:eastAsia="华文仿宋" w:cs="宋体"/>
          <w:kern w:val="0"/>
          <w:sz w:val="28"/>
          <w:szCs w:val="28"/>
          <w:lang w:val="en-US" w:eastAsia="zh-CN" w:bidi="ar-SA"/>
        </w:rPr>
      </w:pPr>
      <w:r>
        <w:rPr>
          <w:sz w:val="21"/>
          <w:szCs w:val="21"/>
        </w:rPr>
        <w:t>　</w:t>
      </w:r>
      <w:r>
        <w:rPr>
          <w:rFonts w:hint="eastAsia"/>
          <w:sz w:val="21"/>
          <w:szCs w:val="21"/>
          <w:lang w:val="en-US" w:eastAsia="zh-CN"/>
        </w:rPr>
        <w:t xml:space="preserve">  </w:t>
      </w:r>
      <w:r>
        <w:rPr>
          <w:rFonts w:hint="eastAsia" w:ascii="华文仿宋" w:hAnsi="华文仿宋" w:eastAsia="华文仿宋" w:cs="宋体"/>
          <w:kern w:val="0"/>
          <w:sz w:val="28"/>
          <w:szCs w:val="28"/>
          <w:lang w:val="en-US" w:eastAsia="zh-CN" w:bidi="ar-SA"/>
        </w:rPr>
        <w:t xml:space="preserve"> 美国能源信息署(EIA)周三(11月28日)公布报告显示，截至11月23日当周，美国原油库存增加357.7万桶至4.505亿桶，连续10周录得增长，为2015年9月以来最长连涨纪录，市场预估为增加76.9万桶。更多数据显示，上周俄克拉荷马州库欣原油库存增加117.7万桶。美国精炼油库存增加261万桶，连续9周录得下滑后再度录得增长，且创9月14日当周(11周)以来最大单周增幅，市场预估为减少85.7万桶。美国汽油库存减少76.4万桶，连续3周录得下滑，市场预估为增加64万桶。美国11月23日当周API原油库存 +345.3万桶，前值 -154.5万桶。美国11月23日当周API库欣地区原油库存 +130.2万桶，前值 +39.8万桶。美国11月23日当周API汽油库存 -262.0万桶，前值 +70.6万桶。美国11月23日当周API精炼油库存 +118.5万桶，前值 -183.2万桶。</w:t>
      </w:r>
    </w:p>
    <w:p>
      <w:pPr>
        <w:pStyle w:val="19"/>
        <w:keepNext w:val="0"/>
        <w:keepLines w:val="0"/>
        <w:widowControl/>
        <w:suppressLineNumbers w:val="0"/>
        <w:rPr>
          <w:rFonts w:hint="eastAsia" w:ascii="华文仿宋" w:hAnsi="华文仿宋" w:eastAsia="华文仿宋" w:cs="宋体"/>
          <w:kern w:val="0"/>
          <w:sz w:val="28"/>
          <w:szCs w:val="28"/>
          <w:lang w:val="en-US" w:eastAsia="zh-CN" w:bidi="ar-SA"/>
        </w:rPr>
      </w:pPr>
    </w:p>
    <w:p>
      <w:pPr>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美国2年期、3年期国债与5年期国债收益率出现倒挂，引发市场对美国经济或面临衰退的普遍担忧。周二美股大幅下挫，创自10月暴跌以来的最大跌幅。纽约股市三大股指跌幅均超过3%，道指暴跌约800点。</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最新数据显示，2年期和10年期美债收益率差收窄至9.92个基点，创2007年以来新低。根据历史经验，美债收益率倒挂往往是美国经济衰退和股市调整的先行指标，短债收益率高于长债，意味着长线投资信心减弱，投资者对未来收益的期望下降。</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三大股指全线重挫</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美国三大股指4日早盘大幅低开，午后进一步走低，收盘时三大股指跌幅均超过3%。</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截至4日收盘，道琼斯(25027.0703, -799.36, -3.10%)工业平均指数比前一交易日大跌799.36点，收于25027.07点，跌幅为3.1%;标准普尔500种股票指数下跌90.31点，收于2700.06点，跌幅为3.24%;纳斯达克(7158.4257, -283.09, -3.80%)综合指数则下跌283.09点，收于7158.43点，跌幅为3.8%。板块方面，标普500指数十一大板块当日十跌一涨，金融板块和工业板块分别以4.4%和4.35%的跌幅领跌，由于避险需求推动，公用事业板块上涨0.15%。</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具体来看，科技股是重挫主力，被视为美股风向标的五大科技公司股票全线下跌，亚马逊(1668.4, -103.96, -5.87%)下跌5.9%，奈飞(275.33,-14.97, -5.16%)下跌5.2%，谷歌(1050.82, -55.61, -5.03%)母公司字母表股价下跌4.8%，苹果(176.69, -8.13, -4.40%)下跌4.4%，脸谱下跌2.24%，这五大科技公司市值总计缩水超过1400亿美元。</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此外，金融、能源板块也遭到重挫，美国银行(26.99, -1.55, -5.43%)跌5.43%，摩根士丹利(43.12, -2.29, -5.04%)跌5.04%，摩根大通(107.23,-5.01, -4.46%)跌4.46%，花旗跌4.45%，高盛(184.31, -7.32, -3.82%)跌3.82%，EOG能源跌3.74%，康菲石油(66.92, -2.19, -3.17%)跌3.17%，埃克森美孚(79.43, -1.79, -2.20%)跌2.2%。</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面对美股暴跌，全球股票市场也受到影响。欧洲三大股指4日全线下跌，英国富时100收跌0.56%，法国CAC40收跌0.82%，德国DAX收跌1.14%。亚太股市5日早盘全线低开，截至收盘，日经225指数下跌0.53%，韩国首尔综合指数下跌0.62%。</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经济衰退信号隐现</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市场分析认为，美债收益率倒挂引发市场对美国经济前景的严重忧虑，促使投资者大量抛售相关股票，成为美股暴跌的主要原因。</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3日，美国国债市场出现11年来未遇的情况。当日，2年期美债收益率上涨超3个基点，报2.8211%;3年期美债收益率涨不到3个基点，报2.8274%;5年期美债收益率涨不到1个基点，报2.8175%;10年期美债收益率下跌不到2个基点，报2.9697%。</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3年期和5年期美债收益率倒挂，为2007年以来首次出现。2年期、10年期美债收益率的差距也缩小至略高于15个基点，同样为2007年以来最低水平。</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有些分析人士认为，利率倒挂是经济衰退的一个早期迹象。在美国减税措施对经济刺激作用开始消退的情况下，国债收益率利差倒挂无疑加剧了本已存在对美国经济可能在2020年左右陷入衰退的担忧。而今年三季度，美国经济增长率仍处于3.5%的高增长轨道上。</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银美林交易所指数基金策略负责人巴特尔斯4日在一个电话会议上表示，全球经济增长已经开始放缓，市场目前关注的焦点是经济形势的走向，边缘政策带来的震荡将继续。巴特尔斯说：“我们认为目前市场还没有为国债收益率倒挂做好准备。”</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双线资本公司首席运营官杰弗瑞·冈拉克表示，美国国债收益率最近出现的倒挂是经济将要走弱的信号，国债收益率的扁平化将取决于美联储未来对利率的上调。</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联储此前发布的联储高级官员意见调查报告显示，美国银行业也对美债收益率倒挂情况表示担忧。部分银行表示，收益率倒挂意味着经济前景存在不确定性，现有的贷款组合质量下降，银行的风险承受能力将下降，同时贷款所取得的利润将降低，银行的贷款业务将无利可图。</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本轮加息或接近终点</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值得一提的是，上一次2年期与10年期美债收益率倒挂发生在2007年，即金融危机正式爆发之前。富国银行(51.78, -2.46, -4.54%)利率策略主管迈克尔·舒马赫表示，历史数据显示，尽管并非所有的倒挂都将导致经济衰退，但在经济发生衰退之前总是会出现美债收益率倒挂。</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根据富国银行的数据显示，自1988年以来，2年期和10年期美国国债收益率出现倒挂后约半年至两年内均出现经济衰退。此前，美国九次经济衰退之前均出现了2年期和10年期国债利率倒挂。</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业内人士分析，近日美债走势出现波动与两大因素直接相关。一方面，受全球贸易摩擦有望趋缓影响，金融市场中风险资产的吸引力开始上升，令短期国债的配置需求下降，价格下挫推高了收益率。另一方面，有迹象显示美联储本轮加息周期或已接近终点，制约了长期美债收益率进一步上升的空间。3日，美国10年期美债收益率跌破3%大关，这也是2017年11月以来首次跌破200日移动均线。</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美联储主席鲍威尔在上周的讲话中表示，目前的利率水平“略低于”中性利率。就在一个月前，他还认为目前利率距离中性利率“仍有一段很长的路要走”。市场将这一措辞变化解读为，2019年再小幅加息后，本轮加息周期可能就此结束。</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3日，美联储负责银行监管事务的副主席夸尔斯发话呼应了鲍威尔此前的表态。他表示，中性利率的概念在帮助指导货币政策方面很有用，即使它“不是一个非常精确的概念”。他称，鲍威尔准确地表示美联储正在接近这一区间，但最终会到达区间的哪个位置将取决于经济数据。</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r>
        <w:rPr>
          <w:rFonts w:hint="eastAsia" w:ascii="华文仿宋" w:hAnsi="华文仿宋" w:eastAsia="华文仿宋" w:cs="宋体"/>
          <w:kern w:val="0"/>
          <w:sz w:val="28"/>
          <w:szCs w:val="28"/>
          <w:lang w:val="en-US" w:eastAsia="zh-CN" w:bidi="ar-SA"/>
        </w:rPr>
        <w:t>不过，也有一些华尔街机构认为，投资者目前无需过度担忧。美联储部分高层今年以来也表示，全球量化宽松的大环境导致目前长短期利率都处于历史低位，这是流动性充裕的结果，而不是市场对未来增长表示悲观。在目前如此低的利率水平下，即使形成美债收益率倒挂，也不必然引致经济衰退。</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p>
    <w:p>
      <w:pPr>
        <w:keepNext w:val="0"/>
        <w:keepLines w:val="0"/>
        <w:widowControl/>
        <w:suppressLineNumbers w:val="0"/>
        <w:jc w:val="left"/>
        <w:rPr>
          <w:rFonts w:hint="eastAsia" w:ascii="华文仿宋" w:hAnsi="华文仿宋" w:eastAsia="华文仿宋"/>
          <w:sz w:val="28"/>
          <w:szCs w:val="28"/>
        </w:rPr>
      </w:pPr>
    </w:p>
    <w:p>
      <w:pPr>
        <w:pStyle w:val="19"/>
        <w:numPr>
          <w:ilvl w:val="0"/>
          <w:numId w:val="1"/>
        </w:numPr>
        <w:outlineLvl w:val="1"/>
        <w:rPr>
          <w:rFonts w:ascii="华文仿宋" w:hAnsi="华文仿宋" w:eastAsia="华文仿宋"/>
          <w:sz w:val="28"/>
          <w:szCs w:val="28"/>
        </w:rPr>
      </w:pPr>
      <w:bookmarkStart w:id="18" w:name="_Toc504051941"/>
      <w:r>
        <w:rPr>
          <w:rFonts w:hint="eastAsia" w:ascii="黑体" w:eastAsia="黑体"/>
          <w:b/>
          <w:sz w:val="28"/>
          <w:szCs w:val="28"/>
        </w:rPr>
        <w:t>世界经济形势</w:t>
      </w:r>
      <w:bookmarkEnd w:id="18"/>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石油输出国组织(OPEC)近日频繁向世界展现其团结姿态，为即将在年度会议上讨论的减产计划造势。然而，在OPEC当中地位并不靠前的卡塔尔突然宣布“退群”，令这一进程横生变故。</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多哈当地时间12月3日，卡塔尔能源大臣萨阿德·谢里达·卡阿比(Saad al-Kaabi)表示，卡塔尔将自明年1月起退出石油输出国组织，进一步专注于天然气生产。</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根据10月份的生产数据显示，卡塔尔当月石油产量约为61万桶/日，在欧佩克的15个成员国中仅排在第11位。而根据《BP世界能源统计年鉴》显示，卡塔尔2017年石油产量占世界总产量的2%左右。</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然而，在产油国之外，卡塔尔还有着其他微妙的身份——它是世界上最大的液化天然气(LNG)出口国，目前正与沙特阿拉伯处在一场旷日持久的外交纠纷当中。在新闻发布会上，卡阿比颇为直白地谈道，卡塔尔并不会就此退出石油生意，“但这一生意已经被一个国家给掌控了。”</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卡塔尔“退群”：意料之外，情理之中</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卡阿比没有直言这个国家的名字。但是显然，能够以一国之力左右OPEC议程的，只有该组织实质上的领导国——沙特阿拉伯。加入OPEC的57年中，卡塔尔的地位和话语权一直不及沙特这个体量庞大的邻国。OPEC最近公布的数据显示，卡塔尔10月份的石油日产量仅为61万桶，而沙特阿拉伯的日产量已于近日达到1100万桶。</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另一方面，卡塔尔是全球液化天然气市场中最有影响力的参与者之一。根据《BP世界能源统计年鉴》显示，卡塔尔在2017年底探明储量约为24.9万亿立方米，排名世界第三，液化天然气出口量则达到8100万吨，位列世界第一。</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两相比较之下，便不难理解卡塔尔能源大臣卡阿比在发布会上的表态。他直言，此次退出OPEC的决定并不是政治性的，只是卡塔尔认为“在一个自身地位低下，且没有话语权的组织中投入精力和资源”是一个不实际的选择。</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虽然卡阿比在表态中撇清关系，但是很难令人相信卡塔尔脱离OPEC的行为与政治无关。一方面，公布退出OPEC的时间正卡在12月6日的年度会议召开前夕，紧跟在沙特、俄罗斯表态管理原油市场，以及加拿大阿尔伯塔省发布减产计划之后。消息一经公布，顿时令已经暴涨5%以上的国际油价小幅回挫一个百分点左右。另一方面，考虑到卡塔尔与OPEC领头羊——沙特之间持续了一年半的龃龉，也就不难理解其选在这一时间点提出“分手”的用意所在。</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2017年6月5日，巴林、沙特、埃及、阿联酋四国与卡塔尔断交，并对卡塔尔实施禁运和封锁，理由是卡塔尔“支持恐怖主义活动”并“破坏地区安全局势”，毛里求斯等小国随后也加入了这场断交潮。沙特等四国之后通过科威特向卡塔尔转交了13点要求文件，内容包括关闭半岛电视台、减少与伊朗的联系、关闭在卡塔尔的土耳其军事基地等，但卡塔尔以这些要求侵犯主权为由断然拒绝执行。卡塔尔外交大臣否认了关于资助极端组织的指控，并表示，针对多哈的攻击与卡塔尔的成就有关，是一场对卡塔尔国内政局的“软政变”。</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2017年9月，卡塔尔与沙特之间的矛盾进一步激化。沙特政府认为卡塔尔新闻社在对两国领导人电话会谈内容的报道上扭曲事实，决定暂停与其一切对话和联络。</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2017年12月5日，在海湾阿拉伯国家合作委员会(海合会)领导人峰会召开前数小时，阿联酋与沙特突然宣布建立新的“联合合作委员会”。这一行为被解读为实质上将卡塔尔排除在海合会国家之外。</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在被实施封锁的一年半时间中，三面环海的卡塔尔通过土耳其、伊朗等国的食品和日用品替代了原本从沙特进口的货物。而在能源领域，断交风波发生不久后，卡塔尔国家石油公司便于2017年7月4日宣布，卡塔尔将在今后几年内把天然气产量提高30%，从年产量7700万吨提升至1亿吨。分析人士认为，这一举措旨在体现卡塔尔面对封锁时的强硬立场，政治意义大于经济意义。</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此前，受美国页岩气产量增加、日本重启核电产能、各国长期销售合同堆积影响，国际天然气市场在2015年进入供应过剩局面。今年5月，卡塔尔石油公司总裁曾表示，到2021年至2022年，天然气供应过剩情况将会结束，对天然气的需求将会持续增长。在卡阿比召开发布会宣布退出OPEC的同时，卡塔尔石油公司也发推重申了增产计划，表示要在2024年将液化天然气产量增加至1.1亿吨。</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对于未来，卡阿比表示，卡塔尔石油公司计划建造中东最大的乙烷裂解装置。这一装置能将天然气转化为乙烯，以用于制造塑料和其他石油副产品。他表示，卡塔尔仍将寻求扩大其在海外的石油投资，并将“在石油和天然气业务中大有作为”。</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目前，卡塔尔的外交困局有所缓和，但与沙特等四国的断交状态仍在持续。12月2日，卡塔尔外交部宣布恢复与毛里求斯的外交关系。目前，毛里求斯、乍得、塞内加尔都已经与卡塔尔恢复外交关系。</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今年9月11日，中石油宣布，该公司与卡塔尔签署了一项协议，每年从卡塔尔天然气公司购买340万吨液化天然气。该协议有效期为22年。</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OPEC流变：昔日卡特尔，沦为“三国杀”?</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能源面公司(Energy Aspects)的首席石油分析师Amrita Sen表示，卡塔尔的退出“不会影响欧佩克的影响能力，因为卡塔尔是一个非常小的参与者”。然而，OPEC轮值主席哈利勒(Chakib Khelil)在评论卡塔尔退出组织一事时说道，“这或许标志着一个转折点的到来，OPEC向着美国、俄罗斯、沙特主导的方向前进。”</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成立于1960年的OPEC，初衷是协调并统一各成员国的石油政策以确定油价。其行为被经济学家为引作“卡特尔”的经典案例——即生产相似产品、集体行动的成员所组成的垄断组织。决策机制方面，虽然OPEC采用“一国一票”的公平机制，但是产量最大的沙特阿拉伯独自具有影响市场的能力，因此是事实意义上的生产调节者(swing supplier)。</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彭博数据显示，凭借伊朗伊斯兰革命的影响以及OPEC成员国统一行动下的阿拉伯石油禁运行动，国际油价在1970年代的10年间增长了10倍之多。然而在此之后，OPEC对于国际油价的掌控权便逐渐减弱。一方面，为了维持住高油价，OPEC主动执行减产，其全球市场份额从1975年的51%降至1985年的28%，令市场主导权流失。另一方面，高油价刺激下，许多国家开始寻找替代方案，如英国便开始大举开发北海油田，在1978年从原油进口国变为出口国，产油国阵营开始变得热闹起来。</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进入21世纪后，在中国等发展中国家的旺盛需求刺激下，国际油价在2009年再次达到三位数的高峰。同70年代末的状况一样，原油开采的高利润再次吸引更多玩家入局产油。</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过去十年间，美国页岩油对国际能源格局带来了深远影响。据《BP世界能源统计年鉴》显示，美国石油产量近年来飞速增长，在2006年至2016年十年间平均增长率达到6.1%，而OPEC增长率仅为1.2%。2018年10月31日，美国能源信息署(EIA)发布的月度报告显示，美国8月份石油日均产量达到1134万桶/日，正式成为世界最大产油国。作为对比，美国在2009年的原油产量仅500万桶/日。</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今年下半年，一场由美国主导的伊朗原油出口“清零”悬疑大戏，令国际油价高高捧起又重重跌下。沙特为填补市场份额的空缺，同时为了呼应美国平抑油价的要求，将产量增至历史新高。眼下，沙特在国际油价一个月内跌去30%以后，又联合俄罗斯重新将减产计划提上议程。这一误判导致的战略反复令响应其号召的OPEC成员国蒙受损失，也令沙特在组织内的领导地位受到质疑。有OPEC成员国官员在接受《华尔街日报》采访时表示，沙特在即将召开的OPEC年度会议上应率先做出减产100万桶/日的表态，以弥补沙特在今年下半年擅自增产所带来的混乱，“这是沙特惹出的麻烦，就该让沙特自己收拾”。</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目前来看，沙特、俄罗斯领导的OPEC+组合与美国站在了油价涨跌天平的两端。为了制衡美国在原油产量、出口额上的强势崛起，沙特与俄罗斯今年以来走得越来越近。今年10月23日，俄罗斯“直接投资基金”(RDIF)首席执行官德米特里耶夫表示，沙特阿拉伯将为俄罗斯第二次北极液化天然气项目(Arctic LNG 2)投资50亿美元。而今年1月份，RDIF也表达了参与沙特阿美公司IPO的兴趣。在上周末，两国联合宣布，将会“继续致力于管理原油市场”。这一表态被视作向着减产计划更迈进一步，国际油价当日大涨5%左右。</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沙特与俄罗斯两国的石油产量之和占到了全球总产量的四分之一左右。因此有分析观点认为，在两国通力协作之下，OPEC本身调节油价的作用正趋于边缘化。而另一方面，OPEC成员国之间的同床异梦也并非新闻——2015年，沙特阿拉伯与伊朗在也门的国土上发动的代理人战争，时至今日仍未平息。</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早在2016年3月，《商业内幕》(BUSINESS INSIDER)就曾援引分析师观点报道称，OPEC已不再是一个哄抬油价的卡特尔，而是将油价稳定在合理区间内的“石油</w:t>
      </w:r>
      <w:r>
        <w:rPr>
          <w:rFonts w:hint="eastAsia" w:ascii="华文仿宋" w:hAnsi="华文仿宋" w:eastAsia="华文仿宋" w:cs="华文仿宋"/>
          <w:kern w:val="0"/>
          <w:sz w:val="28"/>
          <w:szCs w:val="28"/>
          <w:lang w:val="en-US" w:eastAsia="zh-CN" w:bidi="ar-SA"/>
        </w:rPr>
        <w:fldChar w:fldCharType="begin"/>
      </w:r>
      <w:r>
        <w:rPr>
          <w:rFonts w:hint="eastAsia" w:ascii="华文仿宋" w:hAnsi="华文仿宋" w:eastAsia="华文仿宋" w:cs="华文仿宋"/>
          <w:kern w:val="0"/>
          <w:sz w:val="28"/>
          <w:szCs w:val="28"/>
          <w:lang w:val="en-US" w:eastAsia="zh-CN" w:bidi="ar-SA"/>
        </w:rPr>
        <w:instrText xml:space="preserve"> HYPERLINK "http://www.pbc.gov.cn/" \t "https://www.china5e.com/news/_blank" </w:instrText>
      </w:r>
      <w:r>
        <w:rPr>
          <w:rFonts w:hint="eastAsia" w:ascii="华文仿宋" w:hAnsi="华文仿宋" w:eastAsia="华文仿宋" w:cs="华文仿宋"/>
          <w:kern w:val="0"/>
          <w:sz w:val="28"/>
          <w:szCs w:val="28"/>
          <w:lang w:val="en-US" w:eastAsia="zh-CN" w:bidi="ar-SA"/>
        </w:rPr>
        <w:fldChar w:fldCharType="separate"/>
      </w:r>
      <w:r>
        <w:rPr>
          <w:rFonts w:hint="eastAsia" w:ascii="华文仿宋" w:hAnsi="华文仿宋" w:eastAsia="华文仿宋" w:cs="华文仿宋"/>
          <w:kern w:val="0"/>
          <w:sz w:val="28"/>
          <w:szCs w:val="28"/>
          <w:lang w:val="en-US" w:eastAsia="zh-CN" w:bidi="ar-SA"/>
        </w:rPr>
        <w:t>央行</w:t>
      </w:r>
      <w:r>
        <w:rPr>
          <w:rFonts w:hint="eastAsia" w:ascii="华文仿宋" w:hAnsi="华文仿宋" w:eastAsia="华文仿宋" w:cs="华文仿宋"/>
          <w:kern w:val="0"/>
          <w:sz w:val="28"/>
          <w:szCs w:val="28"/>
          <w:lang w:val="en-US" w:eastAsia="zh-CN" w:bidi="ar-SA"/>
        </w:rPr>
        <w:fldChar w:fldCharType="end"/>
      </w:r>
      <w:r>
        <w:rPr>
          <w:rFonts w:hint="eastAsia" w:ascii="华文仿宋" w:hAnsi="华文仿宋" w:eastAsia="华文仿宋" w:cs="华文仿宋"/>
          <w:kern w:val="0"/>
          <w:sz w:val="28"/>
          <w:szCs w:val="28"/>
          <w:lang w:val="en-US" w:eastAsia="zh-CN" w:bidi="ar-SA"/>
        </w:rPr>
        <w:t>”。目前看来，OPEC面对美国页岩油的竞争，如果不向俄罗斯寻求帮助，仍然难以凭借其本身仅占全球三分之一份额的原油产量来提振油价。然而，俄罗斯这个阿拉伯世界的外来者也绝不是省油的灯。近两年来，已有多次俄罗斯无视欧佩克协议，擅自实行增产以抢占市场份额的情形出现。</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OPEC轮值主席哈利勒担忧，卡塔尔退出后，可能会对其他成员国产生“心理影响”，引发他们对于沙特近期一系列独断行为的不满。无论OPEC组织的前途走向何方，它都不再是40年前那个叱咤油市的卡特尔，而日益接近于沙特、俄罗斯、美国“三国杀”之下的一个陪衬。</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p>
    <w:p>
      <w:pPr>
        <w:outlineLvl w:val="1"/>
        <w:rPr>
          <w:rFonts w:ascii="宋体" w:hAnsi="宋体" w:cs="Arial"/>
          <w:b/>
          <w:bCs/>
          <w:kern w:val="0"/>
          <w:sz w:val="32"/>
          <w:szCs w:val="32"/>
        </w:rPr>
      </w:pPr>
      <w:r>
        <w:rPr>
          <w:rFonts w:hint="eastAsia" w:ascii="宋体" w:hAnsi="宋体" w:cs="宋体"/>
          <w:b/>
          <w:sz w:val="32"/>
          <w:szCs w:val="32"/>
          <w:lang w:val="en-US" w:eastAsia="zh-CN"/>
        </w:rPr>
        <w:t>(</w:t>
      </w:r>
      <w:r>
        <w:rPr>
          <w:rFonts w:hint="eastAsia" w:ascii="宋体" w:hAnsi="宋体" w:cs="宋体"/>
          <w:b/>
          <w:sz w:val="32"/>
          <w:szCs w:val="32"/>
        </w:rPr>
        <w:t>三</w:t>
      </w:r>
      <w:r>
        <w:rPr>
          <w:rFonts w:hint="eastAsia" w:ascii="宋体" w:hAnsi="宋体" w:cs="宋体"/>
          <w:b/>
          <w:sz w:val="32"/>
          <w:szCs w:val="32"/>
          <w:lang w:val="en-US" w:eastAsia="zh-CN"/>
        </w:rPr>
        <w:t>)</w:t>
      </w:r>
      <w:r>
        <w:rPr>
          <w:rFonts w:hint="eastAsia" w:ascii="宋体" w:hAnsi="宋体" w:cs="Arial"/>
          <w:b/>
          <w:bCs/>
          <w:kern w:val="0"/>
          <w:sz w:val="32"/>
          <w:szCs w:val="32"/>
        </w:rPr>
        <w:t>、2018年3月份全国原油进出口统计数据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Layout w:type="fixed"/>
        <w:tblCellMar>
          <w:top w:w="15" w:type="dxa"/>
          <w:left w:w="15" w:type="dxa"/>
          <w:bottom w:w="15" w:type="dxa"/>
          <w:right w:w="15" w:type="dxa"/>
        </w:tblCellMar>
      </w:tblPr>
      <w:tblGrid>
        <w:gridCol w:w="2817"/>
        <w:gridCol w:w="1917"/>
        <w:gridCol w:w="1751"/>
        <w:gridCol w:w="1705"/>
        <w:gridCol w:w="1586"/>
      </w:tblGrid>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47612621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99332431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65097431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本周WTI原油价格在</w:t>
      </w:r>
      <w:r>
        <w:rPr>
          <w:rFonts w:hint="eastAsia" w:ascii="华文仿宋" w:hAnsi="华文仿宋" w:eastAsia="华文仿宋"/>
          <w:sz w:val="28"/>
          <w:szCs w:val="28"/>
          <w:lang w:val="en-US" w:eastAsia="zh-CN"/>
        </w:rPr>
        <w:t>50.93</w:t>
      </w:r>
      <w:r>
        <w:rPr>
          <w:rFonts w:ascii="华文仿宋" w:hAnsi="华文仿宋" w:eastAsia="华文仿宋"/>
          <w:sz w:val="28"/>
          <w:szCs w:val="28"/>
        </w:rPr>
        <w:t>-</w:t>
      </w:r>
      <w:r>
        <w:rPr>
          <w:rFonts w:hint="eastAsia" w:ascii="华文仿宋" w:hAnsi="华文仿宋" w:eastAsia="华文仿宋"/>
          <w:sz w:val="28"/>
          <w:szCs w:val="28"/>
          <w:lang w:val="en-US" w:eastAsia="zh-CN"/>
        </w:rPr>
        <w:t>53.25</w:t>
      </w:r>
      <w:r>
        <w:rPr>
          <w:rFonts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58.71</w:t>
      </w:r>
      <w:r>
        <w:rPr>
          <w:rFonts w:ascii="华文仿宋" w:hAnsi="华文仿宋" w:eastAsia="华文仿宋"/>
          <w:sz w:val="28"/>
          <w:szCs w:val="28"/>
        </w:rPr>
        <w:t>-</w:t>
      </w:r>
      <w:r>
        <w:rPr>
          <w:rFonts w:hint="eastAsia" w:ascii="华文仿宋" w:hAnsi="华文仿宋" w:eastAsia="华文仿宋"/>
          <w:sz w:val="28"/>
          <w:szCs w:val="28"/>
          <w:lang w:val="en-US" w:eastAsia="zh-CN"/>
        </w:rPr>
        <w:t>62.08</w:t>
      </w:r>
      <w:r>
        <w:rPr>
          <w:rFonts w:ascii="华文仿宋" w:hAnsi="华文仿宋" w:eastAsia="华文仿宋"/>
          <w:sz w:val="28"/>
          <w:szCs w:val="28"/>
        </w:rPr>
        <w:t>美元/桶震荡</w:t>
      </w:r>
      <w:r>
        <w:rPr>
          <w:rFonts w:hint="eastAsia" w:ascii="华文仿宋" w:hAnsi="华文仿宋" w:eastAsia="华文仿宋"/>
          <w:sz w:val="28"/>
          <w:szCs w:val="28"/>
          <w:lang w:eastAsia="zh-CN"/>
        </w:rPr>
        <w:t>。</w:t>
      </w:r>
      <w:r>
        <w:rPr>
          <w:rFonts w:ascii="华文仿宋" w:hAnsi="华文仿宋" w:eastAsia="华文仿宋"/>
          <w:sz w:val="28"/>
          <w:szCs w:val="28"/>
        </w:rPr>
        <w:t>周内OPEC计划减产未能有效支撑油价，原油再度遭到抛售，国际油价承压受挫全面下跌。周内前期，美国原油库存持续九周上涨触及去年12月来新高，进一步加重了市场对供应过剩问题的忧虑情绪，同时市场对全球经济增长放缓的担忧加剧，随后，沙特似乎准备绕过美国实施减产，而俄罗斯也释放可能配合减产的信号，这令原油多头重拾部分信心，目前市场目光聚焦在12月6日即将举行的石油输出国组织(OPEC)政策会议。国际油价先跌后涨;周内后期，由于市场担心能源需求可能下降，导致原油价格承压，且美元指数走高拖累油价，加之美国原油库存报告再度全面利空，加重了市场对供应过剩的担忧情绪，同时减产计划不确定性较高，即使美元大跌也未能阻止油价尾盘再现空单砸盘，国际原油承压下行。此外，美国油服公司贝克休斯(Baker Hughes)周三(11月21日)公布数据显示，截至11月23日当周，美国石油活跃钻井数减少3座至885座，三周来首次录得下滑。美国石油钻井总数在10月共增加了12个，为今年5月以来最大的月度涨幅。更多数据显示，截至11月2日当周美国石油和天然气活跃钻井总数减少3座至1079座。整体看来，周内国际原油市场中利空消息占据主导地位，国际油价整体呈现宽幅下跌走势。其中WTI期货本周均价51.71美元/桶，较上周下跌6.92%，较上月下跌26.93%;本周布伦特期货均价60.17美元/桶，较上周下跌7.77%，较上月下跌25.37%。后市预测：目前国际原油市场中供需关系依旧处于偏空状态，美国EIA原油库存持续增加，且原油产量维持在纪录高位，下游的回暖乏力，同时减产计划的不确定性较高，加之伊朗制裁后但伊朗的供应不受限等利空因素令油价承压，不过欧佩克会议趋近，为市场增添利好预期，沙特、俄罗斯等产油国表示支持减产，令预期的达成的可能性增加，但在没有具体的减产幅度和协议落地之前，市场看空心理仍将不能释怀。综合来看，近期国际原油市场仍是利空消息占据主导，暂时不具备连续大幅上行的动能，国际油价或区间内震荡下行。后市预测：预计近期WTI原油期货价格在50-54美元/桶之间浮动，布伦特原油期货均价在58-62美元/桶之间浮动。</w:t>
      </w:r>
    </w:p>
    <w:p>
      <w:pPr>
        <w:pStyle w:val="19"/>
        <w:keepNext w:val="0"/>
        <w:keepLines w:val="0"/>
        <w:widowControl/>
        <w:suppressLineNumbers w:val="0"/>
        <w:ind w:firstLine="560" w:firstLineChars="200"/>
        <w:rPr>
          <w:rFonts w:hint="eastAsia" w:ascii="华文仿宋" w:hAnsi="华文仿宋" w:eastAsia="华文仿宋"/>
          <w:sz w:val="28"/>
          <w:szCs w:val="28"/>
        </w:rPr>
      </w:pPr>
    </w:p>
    <w:p>
      <w:pPr>
        <w:pStyle w:val="19"/>
        <w:keepNext w:val="0"/>
        <w:keepLines w:val="0"/>
        <w:widowControl/>
        <w:suppressLineNumbers w:val="0"/>
        <w:ind w:firstLine="602" w:firstLineChars="200"/>
        <w:rPr>
          <w:rFonts w:hint="eastAsia" w:ascii="仿宋_GB2312" w:hAnsi="宋体" w:eastAsia="仿宋_GB2312" w:cs="Arial"/>
          <w:b/>
          <w:bCs/>
          <w:kern w:val="0"/>
          <w:sz w:val="30"/>
          <w:szCs w:val="30"/>
          <w:lang w:val="en-US" w:eastAsia="zh-CN"/>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806"/>
        <w:gridCol w:w="2125"/>
        <w:gridCol w:w="1599"/>
        <w:gridCol w:w="2157"/>
        <w:gridCol w:w="2269"/>
      </w:tblGrid>
      <w:tr>
        <w:tblPrEx>
          <w:shd w:val="clear" w:color="auto" w:fill="FFFFFF"/>
          <w:tblLayout w:type="fixed"/>
          <w:tblCellMar>
            <w:top w:w="0" w:type="dxa"/>
            <w:left w:w="0" w:type="dxa"/>
            <w:bottom w:w="0" w:type="dxa"/>
            <w:right w:w="0" w:type="dxa"/>
          </w:tblCellMar>
        </w:tblPrEx>
        <w:trPr>
          <w:trHeight w:val="67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96600812"/>
            <w:bookmarkStart w:id="24" w:name="_Toc460250405"/>
            <w:bookmarkStart w:id="25" w:name="_Toc505350009"/>
            <w:bookmarkStart w:id="26" w:name="_Toc281568202"/>
            <w:bookmarkStart w:id="27" w:name="_Toc239847715"/>
            <w:r>
              <w:rPr>
                <w:rFonts w:hint="eastAsia" w:ascii="华文仿宋" w:hAnsi="华文仿宋" w:eastAsia="华文仿宋" w:cs="华文仿宋"/>
                <w:color w:val="000000"/>
                <w:sz w:val="28"/>
                <w:szCs w:val="28"/>
                <w:lang w:val="en-US" w:eastAsia="zh-CN"/>
              </w:rPr>
              <w:t>12月6日</w:t>
            </w:r>
          </w:p>
        </w:tc>
        <w:tc>
          <w:tcPr>
            <w:tcW w:w="212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新加坡</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52.48</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52.52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-0.50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124.952-125.048</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日本</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489.25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489.75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-4.125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129.431-129.563</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阿拉伯海湾</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450.14</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450.64</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-5.395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119.085-119.217</w:t>
            </w:r>
          </w:p>
        </w:tc>
      </w:tr>
      <w:tr>
        <w:tblPrEx>
          <w:tblLayout w:type="fixed"/>
          <w:tblCellMar>
            <w:top w:w="0" w:type="dxa"/>
            <w:left w:w="0" w:type="dxa"/>
            <w:bottom w:w="0" w:type="dxa"/>
            <w:right w:w="0" w:type="dxa"/>
          </w:tblCellMar>
        </w:tblPrEx>
        <w:trPr>
          <w:trHeight w:val="67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453.50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454.00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-30.50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121.257-121.390</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鹿特丹船货价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449.50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450.00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-30.50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120.187-120.321</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地中海离岸价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426.25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426.75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-31.50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113.971-114.104</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热那亚到岸价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442.50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443.00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-30.75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118.316-118.449</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美国墨西哥湾</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459.49</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459.59</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-3.77美分/加仑</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131.240-131.340</w:t>
            </w:r>
          </w:p>
        </w:tc>
      </w:tr>
      <w:tr>
        <w:tblPrEx>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加勒比海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rPr>
          <w:rFonts w:hint="eastAsia" w:ascii="华文仿宋" w:hAnsi="华文仿宋" w:eastAsia="华文仿宋" w:cs="华文仿宋"/>
          <w:sz w:val="28"/>
          <w:szCs w:val="28"/>
        </w:rPr>
      </w:pPr>
      <w:r>
        <w:rPr>
          <w:sz w:val="21"/>
          <w:szCs w:val="21"/>
        </w:rPr>
        <w:t>　</w:t>
      </w:r>
      <w:r>
        <w:rPr>
          <w:rFonts w:hint="eastAsia"/>
          <w:sz w:val="21"/>
          <w:szCs w:val="21"/>
          <w:lang w:val="en-US" w:eastAsia="zh-CN"/>
        </w:rPr>
        <w:t xml:space="preserve">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内石脑油市场局部收涨，市场交投继续呈现升温状态，部分炼厂出货速度较快。市场屏息以待OPEC+政策会议，盘中原油走势纠结反复，产油国减产尽管笃定实现，但细节及规模尚无从得知，市场担忧减产力度难以平衡过剩供应，盘中走势偏于弱势，因老布什国葬日推迟至今夜12点发布的美国EIA原油库存及产出数据也是市场重点关注对象，尼日利亚石油部长称OPEC+减产不太可能超过80万桶/日-100万桶/日的区间，盘中跌幅拉宽，这意味着欧佩克国家对于大举减产并不感冒，因此夜间会议很可能不会出现强劲提振结局，但减产确定即是支撑，判断6日欧美原油期货价格运行方向为上涨。国内地炼及煤基石脑油市场零星推涨，成交区间偏移有限，因隔夜原油走跌抑制了市场操作心态，不过近期华东及东北地区的集中采购对山东炼厂石脑油资源形成了有效消化，而且部分炼厂的检修削减了整体供应规模，这对市场形成了支撑作用，短线原油有望继续回升，判断国内地炼石脑油市场仍有推涨空间。</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ascii="华文仿宋" w:hAnsi="华文仿宋" w:eastAsia="华文仿宋"/>
          <w:sz w:val="28"/>
          <w:szCs w:val="28"/>
        </w:rPr>
      </w:pPr>
    </w:p>
    <w:p>
      <w:pPr>
        <w:outlineLvl w:val="1"/>
        <w:rPr>
          <w:rFonts w:asciiTheme="minorEastAsia" w:hAnsiTheme="minorEastAsia" w:eastAsiaTheme="minorEastAsia"/>
          <w:b/>
          <w:sz w:val="28"/>
          <w:szCs w:val="28"/>
        </w:rPr>
      </w:pPr>
      <w:bookmarkStart w:id="28" w:name="_Toc505350010"/>
      <w:bookmarkStart w:id="29" w:name="_Toc281568203"/>
      <w:bookmarkStart w:id="30" w:name="_Toc460250406"/>
      <w:bookmarkStart w:id="31" w:name="_Toc296600813"/>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-4370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505350011"/>
      <w:bookmarkStart w:id="33" w:name="_Toc460250407"/>
      <w:bookmarkStart w:id="34" w:name="_Toc281568204"/>
      <w:bookmarkStart w:id="35" w:name="_Toc296600814"/>
      <w:bookmarkStart w:id="36" w:name="_Toc158203132"/>
      <w:bookmarkStart w:id="37" w:name="_Toc239847719"/>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6188075" cy="5335270"/>
            <wp:effectExtent l="0" t="0" r="3175" b="17780"/>
            <wp:docPr id="632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460250408"/>
      <w:bookmarkStart w:id="39" w:name="_Toc296600816"/>
      <w:bookmarkStart w:id="40" w:name="_Toc505350012"/>
      <w:bookmarkStart w:id="41" w:name="_Toc237428455"/>
      <w:bookmarkStart w:id="42" w:name="_Toc281568206"/>
      <w:r>
        <w:rPr>
          <w:rFonts w:hint="eastAsia" w:ascii="黑体" w:eastAsia="黑体"/>
          <w:b/>
          <w:sz w:val="28"/>
          <w:szCs w:val="28"/>
        </w:rPr>
        <w:t>三、本周国内油品市场分析及预测</w:t>
      </w:r>
      <w:bookmarkEnd w:id="38"/>
      <w:bookmarkEnd w:id="39"/>
      <w:bookmarkEnd w:id="40"/>
      <w:bookmarkEnd w:id="41"/>
      <w:bookmarkEnd w:id="42"/>
      <w:bookmarkStart w:id="43" w:name="_Toc460250409"/>
      <w:bookmarkStart w:id="44" w:name="_Toc296600817"/>
      <w:bookmarkStart w:id="45" w:name="_Toc281568207"/>
      <w:bookmarkStart w:id="46" w:name="_Toc237428456"/>
      <w:bookmarkStart w:id="47" w:name="_Toc176571903"/>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rPr>
          <w:rFonts w:hint="eastAsia" w:ascii="华文仿宋" w:hAnsi="华文仿宋" w:eastAsia="华文仿宋" w:cs="华文仿宋"/>
          <w:sz w:val="28"/>
          <w:szCs w:val="28"/>
        </w:rPr>
      </w:pPr>
      <w:bookmarkStart w:id="49" w:name="_Toc505350014"/>
      <w:bookmarkStart w:id="50" w:name="_Toc296600818"/>
      <w:bookmarkStart w:id="51" w:name="_Toc281568208"/>
      <w:bookmarkStart w:id="52" w:name="_Toc180485827"/>
      <w:bookmarkStart w:id="53" w:name="_Toc460250410"/>
      <w:bookmarkStart w:id="54" w:name="_Toc369858747"/>
      <w:bookmarkStart w:id="55" w:name="_Toc281568211"/>
      <w:bookmarkStart w:id="56" w:name="_Toc296600819"/>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际原油期货震荡上行，国内成品油市场行情整体上行，各地主营汽柴油均有不同幅度推价。与此同时，山东地区成品油行情触底反弹，其中以汽油涨势较猛，其主流炼厂成交保持100元/吨以上优惠。具体来看出货方面：受原油反弹提振，中下游商家采购积极性提升，加上近期主营外采订单增加，从而使得地炼整体出货表现顺畅，甚至部分炼厂库存因下降明显而限量销售。进入下周，国际原油期价将根据OPEC+会议对于减产的最终决定而动。WTI运行区间在52-55(均值53.5)美元/桶之间。在季节性需求制约下，山东地区汽柴油行情走势分离，中下游商家购进操作多以汽油为主，柴油表现相对疲软，因此地炼多根据自身出货及库存情况适当调整销售策略。综上所述，预计下周山东地炼汽柴油价格涨跌不一。</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北地区主营成品油行情震荡走高，局部地区交投气氛温和。11月30日零售价兑现年内最大跌幅，区内主营汽柴价格随之下跌。随后国际油价跌后反弹，变化率负向区间收窄，消息面对市场有所提振，区内主营汽柴价格开始推涨，尤其是表现在汽油方面。与此同时，山东地炼汽油价格开始推涨，且幅度较大，外采成本支撑下主营推涨积极性较高。买涨气氛带动下中下游用户入市补仓，局部地区交投气氛温和。后市而言，国际油价或震荡走高，变化率负向继续收窄，因此本轮零售价搁浅概率较大，消息面对市场指引相对有限。本月为年度最后销售时间，故主营单位将以追赶销售任务为主，预计下周华北地区汽柴行情弱势盘整，主营销售政策保持灵活。</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南地区成品油行情走势分化，市场交投气氛转淡。具体来看，国际原油期货一度大涨，消息方面给予有力提振。加之，正值月初，主营单位暂无出货压力，市场看涨气氛升温，业者入市集中补货，主营单位借机推涨汽油价格，汽油价格上涨300元/吨左右，柴油则因需求疲软，价格延续下探趋势。而后，随着原油期货回落，且业者补货告一段落，市场观望气氛重燃，主营单位汽柴油价格波动有限，市场交投气氛转淡。后市来看，原油期货维持震荡走势，消息方面难以给予持续提振。与此同时，下游用户消化库存为主，主营单位根据自身进度灵活调整销售政策，预计下周华南汽柴油行情横盘整理为主。</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中地区汽柴价格先抑后扬，交投气氛一度好转。具体分析如下，上周五，零售价再次刷新年内最大跌幅，新一轮变化率仍以负值开端，消息面难寻利好支撑，主营价格连跌至相对低位水平。而随着原油大涨提振，且地炼价格顺势走高，均支撑主营汽柴行情逆转上行。与此同时，下游心态明显好转，纷纷入市采购补仓，市场交投气氛一度好转。后市来看，国际原油或维持区间震荡走势，消息面不确定性较强，但近日主营出货情况良好，销售压力暂时缓解，故预计近期内华中地区成品油行情或维持温和小涨运行态势，其中汽油行情或优于柴油，主营根据自身情况，灵活调整销售策略。</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东地区成品油行情触底反弹，市场交投气氛活跃。具体来看，近期国际油价明显上行，尽管变化率仍处负向运行，但消息面对市场仍有提振。华东主营借机推涨汽柴油报价，尤其汽油涨幅明显，汽油价格上涨300元/吨左右，柴油价格上涨约100元/吨，不过为了出量成交仍维持优惠，下游用户受“买涨”心态提振，纷纷入市采购，主营借机冲量，部分单位年度任务完成，市场购销行情一度好转。不过，随着国际油价涨势放缓，且下游业者补货到位后再度退市消库，市场交投逐步转淡。后市而言，国际油价短期或维持震荡走势，消息面或难再有强势利好提振，且主营汽柴价格涨至高位，下游抵触心态升温，预计下周华东汽柴行情或小幅波动，主营根据自身销售进度，销售政策或有差异。</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西北地炼汽柴行情跌后反弹，市场成交气氛回暖。分析来看： 11月30日国内成品油零售价兑现年内最大跌幅，延长集团各销售公司汽柴价格大幅跟跌。进入本周，国际油价有所反弹，虽然变化率仍为负向，但市场心态略有好转。加之，业者前期低库存运作，随着汽柴价格跌至低位，入市补货增多，市场成交较为活跃。销售公司出货向好，且汽油价格偏低，因此价格连续推涨;柴油需求面转弱，成交价格跌后趋稳。进入下周，国际油价或震荡走高，预计西北地炼汽柴行情维持坚挺，汽油价格仍有上涨空间。不过，变化率仍为负向，消息面支撑力度有限。并且，业者补货到位之后将陆续退市消库，市场成交或逐步转淡。</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西南地区汽柴行情跌后反弹，市场成交略有改善。分析来看： 11月30日国内成品油零售价兑现“三连跌”，且跌幅创年内新高，区内主营价格多有跟跌。进入本周，新一轮变化率虽然仍以负向开端，但国际油价有所反弹，消息面释放利好信号，对市场心态略有提振。此外，随着汽柴价格跌至低位，业者抄底心态显现，入市补货增多，市场成交气氛回暖。主营单位趁机推价，尤其汽油价格前期超跌，周内反弹幅度更为明显。进入下周，国际油价或震荡走高，但变化率仍维持负向区间波动，市场不稳定因素仍存。此外，业者陆续补货到位之后，再度退市消库，市场成交气氛将转淡。主营单位根据自身销售情况调整价格，预计西南地区汽柴行情窄幅震荡为主。</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步入下周，国际油价或震荡走高，变化率或呈负向收窄走势，本轮零售价搁浅与下调概率并存。短期内地炼开工率波动有限，主营炼厂则维持较高水平运行，市场资源供应仍十分充裕。随着气温不断下降，户外工程、基建等终端用油单位运行受阻，且供暖期间，部分单位要求错峰生产，均令下游柴油库存消耗周期延长;而汽油市场尚且维持稳好发展。下周山东地炼汽柴价格或涨跌不一，主营外采成本或分化。本月为年度最后一个销售周期，主营销售情况不一，部分欠量单位仍侧重赶量。而下游前期备货较为集中，目前多已退市观望。后市来看，多重因素交织，近期内国内汽柴油价格或逐渐进入盘整阶段，其中汽油行情或逐渐强于柴油，各主营根据自身情况，销售策略或有分化。</w:t>
      </w:r>
    </w:p>
    <w:p>
      <w:pPr>
        <w:pStyle w:val="19"/>
        <w:keepNext w:val="0"/>
        <w:keepLines w:val="0"/>
        <w:widowControl/>
        <w:suppressLineNumbers w:val="0"/>
        <w:rPr>
          <w:rFonts w:hint="eastAsia" w:ascii="华文仿宋" w:hAnsi="华文仿宋" w:eastAsia="华文仿宋" w:cs="华文仿宋"/>
          <w:sz w:val="28"/>
          <w:szCs w:val="28"/>
        </w:rPr>
      </w:pPr>
    </w:p>
    <w:p>
      <w:pPr>
        <w:pStyle w:val="19"/>
        <w:keepNext w:val="0"/>
        <w:keepLines w:val="0"/>
        <w:widowControl/>
        <w:suppressLineNumbers w:val="0"/>
        <w:rPr>
          <w:rFonts w:ascii="华文仿宋" w:hAnsi="华文仿宋" w:eastAsia="华文仿宋"/>
          <w:sz w:val="28"/>
          <w:szCs w:val="28"/>
        </w:rPr>
      </w:pPr>
    </w:p>
    <w:p>
      <w:pPr>
        <w:pStyle w:val="2"/>
        <w:spacing w:line="360" w:lineRule="auto"/>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四、国内溶剂油市场综述</w:t>
      </w:r>
      <w:bookmarkEnd w:id="49"/>
    </w:p>
    <w:bookmarkEnd w:id="50"/>
    <w:bookmarkEnd w:id="51"/>
    <w:bookmarkEnd w:id="52"/>
    <w:bookmarkEnd w:id="53"/>
    <w:bookmarkEnd w:id="54"/>
    <w:p>
      <w:pPr>
        <w:pStyle w:val="19"/>
        <w:keepNext w:val="0"/>
        <w:keepLines w:val="0"/>
        <w:widowControl/>
        <w:suppressLineNumbers w:val="0"/>
        <w:rPr>
          <w:rFonts w:hint="eastAsia" w:ascii="华文仿宋" w:hAnsi="华文仿宋" w:eastAsia="华文仿宋" w:cs="华文仿宋"/>
          <w:sz w:val="28"/>
          <w:szCs w:val="28"/>
        </w:rPr>
      </w:pPr>
      <w:bookmarkStart w:id="57" w:name="_Toc460250411"/>
      <w:bookmarkStart w:id="58" w:name="_Toc505350015"/>
      <w:r>
        <w:rPr>
          <w:sz w:val="21"/>
          <w:szCs w:val="21"/>
        </w:rPr>
        <w:t>　</w:t>
      </w:r>
      <w:r>
        <w:rPr>
          <w:rFonts w:ascii="华文仿宋" w:hAnsi="华文仿宋" w:eastAsia="华文仿宋"/>
          <w:sz w:val="28"/>
          <w:szCs w:val="28"/>
        </w:rPr>
        <w:t>　</w:t>
      </w:r>
      <w:r>
        <w:rPr>
          <w:rFonts w:hint="eastAsia" w:ascii="华文仿宋" w:hAnsi="华文仿宋" w:eastAsia="华文仿宋" w:cs="华文仿宋"/>
          <w:sz w:val="28"/>
          <w:szCs w:val="28"/>
          <w:lang w:eastAsia="zh-CN"/>
        </w:rPr>
        <w:t>本周</w:t>
      </w:r>
      <w:r>
        <w:rPr>
          <w:rFonts w:hint="eastAsia" w:ascii="华文仿宋" w:hAnsi="华文仿宋" w:eastAsia="华文仿宋" w:cs="华文仿宋"/>
          <w:sz w:val="28"/>
          <w:szCs w:val="28"/>
        </w:rPr>
        <w:t>周内国内溶剂油市场整体走势较稳，除个别前期价格坚挺的炼厂在周内的下调价格幅度较大外，一些炼厂小幅补跌为主，调整幅度100-300元/吨居多，其余炼厂价格维持稳定，国际原油价格有小幅反弹，消息面利空减弱，近日一些地炼价格推涨，下游入市采购者稍有增加，商家出货情况有所改观，但实际成交优惠空间犹在，另外，汽柴油价格处于低位，后期下行空间有限，前期低迷行情逐渐改变，市场悲观情绪缓和。后市预测：国际原油价格反弹，消息面逐渐向好发展，近日地炼价格推涨，成交气氛有所回暖，且当前汽柴油价格处于低位，后期价格下调幅度有限，需求尚可，但市场消息面重大利好难寻，价格支撑有限，综上，预计短期内溶剂油市场行情或将趋于稳定，价格区间整理为主，成交气氛或有改善。</w:t>
      </w:r>
    </w:p>
    <w:p>
      <w:pPr>
        <w:pStyle w:val="19"/>
        <w:keepNext w:val="0"/>
        <w:keepLines w:val="0"/>
        <w:widowControl/>
        <w:suppressLineNumbers w:val="0"/>
        <w:ind w:firstLine="560" w:firstLineChars="200"/>
        <w:rPr>
          <w:rFonts w:hint="eastAsia" w:ascii="华文仿宋" w:hAnsi="华文仿宋" w:eastAsia="华文仿宋" w:cs="华文仿宋"/>
          <w:sz w:val="28"/>
          <w:szCs w:val="28"/>
          <w:lang w:val="en-US" w:eastAsia="zh-CN"/>
        </w:rPr>
      </w:pPr>
    </w:p>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69"/>
        <w:gridCol w:w="1913"/>
        <w:gridCol w:w="1070"/>
        <w:gridCol w:w="1079"/>
        <w:gridCol w:w="1070"/>
        <w:gridCol w:w="1077"/>
        <w:gridCol w:w="1242"/>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1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7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7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7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7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c>
          <w:tcPr>
            <w:tcW w:w="12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5660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5330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460250412"/>
      <w:bookmarkStart w:id="60" w:name="_Toc505350016"/>
      <w:bookmarkStart w:id="61" w:name="_Toc296600821"/>
      <w:bookmarkStart w:id="62" w:name="_Toc281568213"/>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8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68"/>
        <w:gridCol w:w="1048"/>
        <w:gridCol w:w="1062"/>
        <w:gridCol w:w="1048"/>
        <w:gridCol w:w="1057"/>
        <w:gridCol w:w="1226"/>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4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6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4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5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2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c>
          <w:tcPr>
            <w:tcW w:w="12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6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5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81568214"/>
      <w:bookmarkStart w:id="64" w:name="_Toc505350017"/>
      <w:bookmarkStart w:id="65" w:name="_Toc460250413"/>
      <w:bookmarkStart w:id="66" w:name="_Toc296600822"/>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9"/>
        <w:gridCol w:w="1616"/>
        <w:gridCol w:w="1285"/>
        <w:gridCol w:w="1109"/>
        <w:gridCol w:w="1090"/>
        <w:gridCol w:w="1066"/>
        <w:gridCol w:w="1264"/>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1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8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0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6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c>
          <w:tcPr>
            <w:tcW w:w="125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460250414"/>
      <w:bookmarkStart w:id="68" w:name="_Toc281568215"/>
      <w:bookmarkStart w:id="69" w:name="_Toc296600823"/>
      <w:bookmarkStart w:id="70" w:name="_Toc180485835"/>
      <w:bookmarkStart w:id="71" w:name="_Toc505350018"/>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bookmarkStart w:id="80" w:name="_GoBack"/>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2018-12-7</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bookmarkEnd w:id="80"/>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505350019"/>
      <w:bookmarkStart w:id="73" w:name="_Toc296600824"/>
      <w:bookmarkStart w:id="74" w:name="_Toc281568216"/>
      <w:bookmarkStart w:id="75" w:name="_Toc460250415"/>
      <w:r>
        <w:rPr>
          <w:rFonts w:hint="eastAsia" w:ascii="华文仿宋" w:hAnsi="华文仿宋" w:eastAsia="华文仿宋"/>
          <w:b w:val="0"/>
          <w:bCs w:val="0"/>
          <w:kern w:val="2"/>
          <w:sz w:val="28"/>
          <w:szCs w:val="28"/>
        </w:rPr>
        <w:t>九、2018年3月中国溶剂油石脑油进出口数据统计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2018年3月中国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2880"/>
        <w:gridCol w:w="1790"/>
        <w:gridCol w:w="1621"/>
        <w:gridCol w:w="1743"/>
        <w:gridCol w:w="1742"/>
      </w:tblGrid>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42028</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41434</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2018年3月石脑油进出口数据(数量单位：千克/升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1955"/>
        <w:gridCol w:w="1955"/>
        <w:gridCol w:w="1956"/>
        <w:gridCol w:w="1955"/>
        <w:gridCol w:w="1955"/>
      </w:tblGrid>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roman"/>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263EDE"/>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2037F9"/>
    <w:rsid w:val="1871150E"/>
    <w:rsid w:val="193B0DD2"/>
    <w:rsid w:val="1950525E"/>
    <w:rsid w:val="19995649"/>
    <w:rsid w:val="1A4B0BD2"/>
    <w:rsid w:val="1B142ABF"/>
    <w:rsid w:val="1BB02F43"/>
    <w:rsid w:val="1CD92D71"/>
    <w:rsid w:val="1DA91524"/>
    <w:rsid w:val="1DBC2256"/>
    <w:rsid w:val="1F57560A"/>
    <w:rsid w:val="20DD1860"/>
    <w:rsid w:val="21416467"/>
    <w:rsid w:val="21467DDF"/>
    <w:rsid w:val="2258468B"/>
    <w:rsid w:val="24977CE4"/>
    <w:rsid w:val="250C493B"/>
    <w:rsid w:val="26E64670"/>
    <w:rsid w:val="272712C8"/>
    <w:rsid w:val="29CF7033"/>
    <w:rsid w:val="2C672FEB"/>
    <w:rsid w:val="2D12102F"/>
    <w:rsid w:val="2F3F3674"/>
    <w:rsid w:val="2F6F6534"/>
    <w:rsid w:val="2FB62CD5"/>
    <w:rsid w:val="3166404B"/>
    <w:rsid w:val="316E4BCF"/>
    <w:rsid w:val="32FB3069"/>
    <w:rsid w:val="332831C8"/>
    <w:rsid w:val="359C2633"/>
    <w:rsid w:val="35C82541"/>
    <w:rsid w:val="360A4426"/>
    <w:rsid w:val="37623BD0"/>
    <w:rsid w:val="378A2746"/>
    <w:rsid w:val="382035D9"/>
    <w:rsid w:val="390E2AE7"/>
    <w:rsid w:val="3A2A6D06"/>
    <w:rsid w:val="3AAD4D2B"/>
    <w:rsid w:val="3BA17D0E"/>
    <w:rsid w:val="3C7F4653"/>
    <w:rsid w:val="3D5C793D"/>
    <w:rsid w:val="3DFD6225"/>
    <w:rsid w:val="3E0B15BA"/>
    <w:rsid w:val="3EC639AA"/>
    <w:rsid w:val="3FE24704"/>
    <w:rsid w:val="40C10AD3"/>
    <w:rsid w:val="427631AB"/>
    <w:rsid w:val="43A8211E"/>
    <w:rsid w:val="4464587F"/>
    <w:rsid w:val="45455C37"/>
    <w:rsid w:val="47C07043"/>
    <w:rsid w:val="4B3A5EC6"/>
    <w:rsid w:val="4D722D5E"/>
    <w:rsid w:val="4DEE463E"/>
    <w:rsid w:val="50A4483B"/>
    <w:rsid w:val="50D54E3C"/>
    <w:rsid w:val="51AF26D5"/>
    <w:rsid w:val="532F052B"/>
    <w:rsid w:val="53CB1533"/>
    <w:rsid w:val="54A90501"/>
    <w:rsid w:val="552402CA"/>
    <w:rsid w:val="55434855"/>
    <w:rsid w:val="56490C7C"/>
    <w:rsid w:val="58343EAC"/>
    <w:rsid w:val="58F33E0F"/>
    <w:rsid w:val="597E6C17"/>
    <w:rsid w:val="5B920EBC"/>
    <w:rsid w:val="5BFA6CAE"/>
    <w:rsid w:val="5D0D24D3"/>
    <w:rsid w:val="5D654113"/>
    <w:rsid w:val="5D676170"/>
    <w:rsid w:val="5DB45A4D"/>
    <w:rsid w:val="5E2A7A6D"/>
    <w:rsid w:val="5E3D22F6"/>
    <w:rsid w:val="5E9E5CF6"/>
    <w:rsid w:val="5F5A3274"/>
    <w:rsid w:val="5F5C54EB"/>
    <w:rsid w:val="5FB62CE4"/>
    <w:rsid w:val="5FDC66AB"/>
    <w:rsid w:val="60886E86"/>
    <w:rsid w:val="61426FC7"/>
    <w:rsid w:val="64440A64"/>
    <w:rsid w:val="659D1EC8"/>
    <w:rsid w:val="65C42961"/>
    <w:rsid w:val="66AD6F06"/>
    <w:rsid w:val="67F355EF"/>
    <w:rsid w:val="68727AEB"/>
    <w:rsid w:val="68CB2404"/>
    <w:rsid w:val="6B353E8E"/>
    <w:rsid w:val="6B7A4196"/>
    <w:rsid w:val="6BC94628"/>
    <w:rsid w:val="6D082DCE"/>
    <w:rsid w:val="6DD964A3"/>
    <w:rsid w:val="6F514B5B"/>
    <w:rsid w:val="6FE46FB1"/>
    <w:rsid w:val="70071414"/>
    <w:rsid w:val="712C720C"/>
    <w:rsid w:val="74605603"/>
    <w:rsid w:val="74EA6BF5"/>
    <w:rsid w:val="75903C84"/>
    <w:rsid w:val="766E0138"/>
    <w:rsid w:val="76DA4E14"/>
    <w:rsid w:val="78C05101"/>
    <w:rsid w:val="79273F04"/>
    <w:rsid w:val="7A0850E0"/>
    <w:rsid w:val="7BAB2825"/>
    <w:rsid w:val="7C4A2B81"/>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qFormat/>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qFormat/>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qFormat/>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qFormat/>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qFormat/>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79">
    <w:name w:val="文档结构图 Char"/>
    <w:basedOn w:val="20"/>
    <w:link w:val="6"/>
    <w:semiHidden/>
    <w:uiPriority w:val="99"/>
    <w:rPr>
      <w:rFonts w:ascii="宋体"/>
      <w:kern w:val="2"/>
      <w:sz w:val="18"/>
      <w:szCs w:val="18"/>
    </w:rPr>
  </w:style>
  <w:style w:type="paragraph" w:styleId="180">
    <w:name w:val="List Paragraph"/>
    <w:basedOn w:val="1"/>
    <w:qFormat/>
    <w:uiPriority w:val="99"/>
    <w:pPr>
      <w:ind w:firstLine="420" w:firstLineChars="200"/>
    </w:pPr>
  </w:style>
  <w:style w:type="character" w:customStyle="1" w:styleId="181">
    <w:name w:val="font41"/>
    <w:basedOn w:val="20"/>
    <w:uiPriority w:val="0"/>
    <w:rPr>
      <w:rFonts w:ascii="MS Gothic" w:hAnsi="MS Gothic" w:eastAsia="MS Gothic" w:cs="MS Gothic"/>
      <w:color w:val="000000"/>
      <w:sz w:val="20"/>
      <w:szCs w:val="20"/>
      <w:u w:val="none"/>
    </w:rPr>
  </w:style>
  <w:style w:type="character" w:customStyle="1" w:styleId="182">
    <w:name w:val="font31"/>
    <w:basedOn w:val="2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11.3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'[最新溶剂油周报：山东地炼石脑油价格走势图11.30.xls]溶剂油周报-石脑油价格走势图表'!$D$178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'[最新溶剂油周报：山东地炼石脑油价格走势图11.30.xls]溶剂油周报-石脑油价格走势图表'!$A$179:$C$349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numCache>
            </c:numRef>
          </c:cat>
          <c:val>
            <c:numRef>
              <c:f>'[最新溶剂油周报：山东地炼石脑油价格走势图11.30.xls]溶剂油周报-石脑油价格走势图表'!$D$179:$D$349</c:f>
              <c:numCache>
                <c:formatCode>@</c:formatCode>
                <c:ptCount val="17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pt idx="154" c:formatCode="General">
                  <c:v>7700</c:v>
                </c:pt>
                <c:pt idx="155" c:formatCode="General">
                  <c:v>7750</c:v>
                </c:pt>
                <c:pt idx="156" c:formatCode="General">
                  <c:v>7900</c:v>
                </c:pt>
                <c:pt idx="157" c:formatCode="General">
                  <c:v>0</c:v>
                </c:pt>
                <c:pt idx="158" c:formatCode="General">
                  <c:v>7850</c:v>
                </c:pt>
                <c:pt idx="159" c:formatCode="General">
                  <c:v>7500</c:v>
                </c:pt>
                <c:pt idx="160" c:formatCode="General">
                  <c:v>7300</c:v>
                </c:pt>
                <c:pt idx="161" c:formatCode="General">
                  <c:v>7300</c:v>
                </c:pt>
                <c:pt idx="162" c:formatCode="General">
                  <c:v>6700</c:v>
                </c:pt>
                <c:pt idx="163" c:formatCode="General">
                  <c:v>6300</c:v>
                </c:pt>
                <c:pt idx="164" c:formatCode="General">
                  <c:v>6500</c:v>
                </c:pt>
              </c:numCache>
            </c:numRef>
          </c:val>
          <c:smooth val="0"/>
        </c:ser>
        <c:ser>
          <c:idx val="10"/>
          <c:order val="1"/>
          <c:tx>
            <c:strRef>
              <c:f>'[最新溶剂油周报：山东地炼石脑油价格走势图11.30.xls]溶剂油周报-石脑油价格走势图表'!$E$178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'[最新溶剂油周报：山东地炼石脑油价格走势图11.30.xls]溶剂油周报-石脑油价格走势图表'!$A$179:$C$349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numCache>
            </c:numRef>
          </c:cat>
          <c:val>
            <c:numRef>
              <c:f>'[最新溶剂油周报：山东地炼石脑油价格走势图11.30.xls]溶剂油周报-石脑油价格走势图表'!$E$179:$E$349</c:f>
              <c:numCache>
                <c:formatCode>@</c:formatCode>
                <c:ptCount val="17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pt idx="154" c:formatCode="General">
                  <c:v>0</c:v>
                </c:pt>
                <c:pt idx="155" c:formatCode="General">
                  <c:v>0</c:v>
                </c:pt>
                <c:pt idx="156" c:formatCode="General">
                  <c:v>0</c:v>
                </c:pt>
                <c:pt idx="157" c:formatCode="General">
                  <c:v>0</c:v>
                </c:pt>
                <c:pt idx="158" c:formatCode="General">
                  <c:v>0</c:v>
                </c:pt>
                <c:pt idx="159" c:formatCode="General">
                  <c:v>0</c:v>
                </c:pt>
                <c:pt idx="160" c:formatCode="General">
                  <c:v>0</c:v>
                </c:pt>
                <c:pt idx="161" c:formatCode="General">
                  <c:v>0</c:v>
                </c:pt>
                <c:pt idx="162" c:formatCode="General">
                  <c:v>0</c:v>
                </c:pt>
                <c:pt idx="163" c:formatCode="General">
                  <c:v>0</c:v>
                </c:pt>
                <c:pt idx="164" c:formatCode="General">
                  <c:v>0</c:v>
                </c:pt>
              </c:numCache>
            </c:numRef>
          </c:val>
          <c:smooth val="0"/>
        </c:ser>
        <c:ser>
          <c:idx val="1"/>
          <c:order val="2"/>
          <c:tx>
            <c:strRef>
              <c:f>'[最新溶剂油周报：山东地炼石脑油价格走势图11.30.xls]溶剂油周报-石脑油价格走势图表'!$F$178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'[最新溶剂油周报：山东地炼石脑油价格走势图11.30.xls]溶剂油周报-石脑油价格走势图表'!$A$179:$C$349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numCache>
            </c:numRef>
          </c:cat>
          <c:val>
            <c:numRef>
              <c:f>'[最新溶剂油周报：山东地炼石脑油价格走势图11.30.xls]溶剂油周报-石脑油价格走势图表'!$F$179:$F$349</c:f>
              <c:numCache>
                <c:formatCode>@</c:formatCode>
                <c:ptCount val="17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pt idx="154" c:formatCode="General">
                  <c:v>7630</c:v>
                </c:pt>
                <c:pt idx="155" c:formatCode="General">
                  <c:v>7580</c:v>
                </c:pt>
                <c:pt idx="156" c:formatCode="General">
                  <c:v>7500</c:v>
                </c:pt>
                <c:pt idx="157" c:formatCode="General">
                  <c:v>7500</c:v>
                </c:pt>
                <c:pt idx="158" c:formatCode="General">
                  <c:v>7450</c:v>
                </c:pt>
                <c:pt idx="159" c:formatCode="General">
                  <c:v>7500</c:v>
                </c:pt>
                <c:pt idx="160" c:formatCode="General">
                  <c:v>7500</c:v>
                </c:pt>
                <c:pt idx="161" c:formatCode="General">
                  <c:v>6350</c:v>
                </c:pt>
                <c:pt idx="162" c:formatCode="General">
                  <c:v>6150</c:v>
                </c:pt>
                <c:pt idx="163" c:formatCode="General">
                  <c:v>6150</c:v>
                </c:pt>
                <c:pt idx="164" c:formatCode="General">
                  <c:v>0</c:v>
                </c:pt>
              </c:numCache>
            </c:numRef>
          </c:val>
          <c:smooth val="0"/>
        </c:ser>
        <c:ser>
          <c:idx val="5"/>
          <c:order val="3"/>
          <c:tx>
            <c:strRef>
              <c:f>'[最新溶剂油周报：山东地炼石脑油价格走势图11.30.xls]溶剂油周报-石脑油价格走势图表'!$G$178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'[最新溶剂油周报：山东地炼石脑油价格走势图11.30.xls]溶剂油周报-石脑油价格走势图表'!$A$179:$C$349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numCache>
            </c:numRef>
          </c:cat>
          <c:val>
            <c:numRef>
              <c:f>'[最新溶剂油周报：山东地炼石脑油价格走势图11.30.xls]溶剂油周报-石脑油价格走势图表'!$G$179:$G$349</c:f>
              <c:numCache>
                <c:formatCode>@</c:formatCode>
                <c:ptCount val="17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pt idx="154" c:formatCode="General">
                  <c:v>5620</c:v>
                </c:pt>
                <c:pt idx="155" c:formatCode="General">
                  <c:v>5620</c:v>
                </c:pt>
                <c:pt idx="156" c:formatCode="General">
                  <c:v>5750</c:v>
                </c:pt>
                <c:pt idx="157" c:formatCode="General">
                  <c:v>5600</c:v>
                </c:pt>
                <c:pt idx="158" c:formatCode="General">
                  <c:v>5570</c:v>
                </c:pt>
                <c:pt idx="159" c:formatCode="General">
                  <c:v>5570</c:v>
                </c:pt>
                <c:pt idx="160" c:formatCode="General">
                  <c:v>5270</c:v>
                </c:pt>
                <c:pt idx="161" c:formatCode="General">
                  <c:v>4960</c:v>
                </c:pt>
                <c:pt idx="162" c:formatCode="General">
                  <c:v>4960</c:v>
                </c:pt>
                <c:pt idx="163" c:formatCode="General">
                  <c:v>4370</c:v>
                </c:pt>
                <c:pt idx="164" c:formatCode="General">
                  <c:v>0</c:v>
                </c:pt>
              </c:numCache>
            </c:numRef>
          </c:val>
          <c:smooth val="0"/>
        </c:ser>
        <c:ser>
          <c:idx val="6"/>
          <c:order val="4"/>
          <c:tx>
            <c:strRef>
              <c:f>'[最新溶剂油周报：山东地炼石脑油价格走势图11.30.xls]溶剂油周报-石脑油价格走势图表'!$H$178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'[最新溶剂油周报：山东地炼石脑油价格走势图11.30.xls]溶剂油周报-石脑油价格走势图表'!$A$179:$C$349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numCache>
            </c:numRef>
          </c:cat>
          <c:val>
            <c:numRef>
              <c:f>'[最新溶剂油周报：山东地炼石脑油价格走势图11.30.xls]溶剂油周报-石脑油价格走势图表'!$H$179:$H$349</c:f>
              <c:numCache>
                <c:formatCode>General</c:formatCode>
                <c:ptCount val="17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4500</c:v>
                </c:pt>
              </c:numCache>
            </c:numRef>
          </c:val>
          <c:smooth val="0"/>
        </c:ser>
        <c:dLbls>
          <c:showLegendKey val="0"/>
          <c:showVal val="0"/>
          <c:showCatName val="0"/>
          <c:showSerName val="0"/>
          <c:showPercent val="0"/>
          <c:showBubbleSize val="0"/>
        </c:dLbls>
        <c:marker val="0"/>
        <c:smooth val="0"/>
        <c:axId val="701021900"/>
        <c:axId val="599133019"/>
      </c:lineChart>
      <c:dateAx>
        <c:axId val="701021900"/>
        <c:scaling>
          <c:orientation val="minMax"/>
          <c:max val="43441"/>
          <c:min val="43076"/>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99133019"/>
        <c:crossesAt val="2000"/>
        <c:auto val="1"/>
        <c:lblOffset val="100"/>
        <c:baseTimeUnit val="days"/>
        <c:majorUnit val="1"/>
        <c:majorTimeUnit val="months"/>
        <c:minorUnit val="1"/>
        <c:minorTimeUnit val="months"/>
      </c:dateAx>
      <c:valAx>
        <c:axId val="599133019"/>
        <c:scaling>
          <c:orientation val="minMax"/>
          <c:max val="85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01021900"/>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4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10</TotalTime>
  <ScaleCrop>false</ScaleCrop>
  <LinksUpToDate>false</LinksUpToDate>
  <CharactersWithSpaces>18114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梦蝶</cp:lastModifiedBy>
  <dcterms:modified xsi:type="dcterms:W3CDTF">2018-12-07T07:07:39Z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y fmtid="{D5CDD505-2E9C-101B-9397-08002B2CF9AE}" pid="3" name="KSORubyTemplateID" linkTarget="0">
    <vt:lpwstr>6</vt:lpwstr>
  </property>
</Properties>
</file>