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12</w:t>
                            </w:r>
                            <w:r>
                              <w:rPr>
                                <w:rFonts w:hint="eastAsia"/>
                                <w:kern w:val="2"/>
                              </w:rPr>
                              <w:t>.</w:t>
                            </w:r>
                            <w:r>
                              <w:rPr>
                                <w:rFonts w:hint="eastAsia"/>
                                <w:kern w:val="2"/>
                                <w:lang w:val="en-US" w:eastAsia="zh-CN"/>
                              </w:rPr>
                              <w:t>14</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12</w:t>
                      </w:r>
                      <w:r>
                        <w:rPr>
                          <w:rFonts w:hint="eastAsia"/>
                          <w:kern w:val="2"/>
                        </w:rPr>
                        <w:t>.</w:t>
                      </w:r>
                      <w:r>
                        <w:rPr>
                          <w:rFonts w:hint="eastAsia"/>
                          <w:kern w:val="2"/>
                          <w:lang w:val="en-US" w:eastAsia="zh-CN"/>
                        </w:rPr>
                        <w:t>14</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05349997"/>
      <w:bookmarkStart w:id="2" w:name="_Toc460250399"/>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296600805"/>
      <w:bookmarkStart w:id="5" w:name="_Toc460250400"/>
      <w:bookmarkStart w:id="6" w:name="_Toc28156819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3"/>
        <w:gridCol w:w="918"/>
        <w:gridCol w:w="920"/>
        <w:gridCol w:w="6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4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51.15</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60.15</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美国能源信息署最新一期库存报告显示，上周美国原油库存降幅不及此前市场预期，油价收盘小幅回调。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51.65</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60.2</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利比亚国家石油公司10日说，因受外来干扰，该公司被迫关闭位于南部的沙拉拉油田。关闭沙拉拉油田将使石油每天减产31万桶，由于利比亚原油产量意外减少，国际油价11日上涨。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59.97</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美元走强降低了以美元计价的石油的投资吸引力，令油价承压下跌。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52.61</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61.67</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原油库存下降更多来自于需求结构的暂时变化。考虑到之后圣诞新年假期出行高峰在即，美国各大炼油厂近期已经增加了产能，这使得原油库存下降同时，汽油库存水平却录得过去三周以来首度上涨。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51.49</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60.06</w:t>
            </w:r>
          </w:p>
        </w:tc>
        <w:tc>
          <w:tcPr>
            <w:tcW w:w="6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有媒体消息称，6日结束的石油输出国组织(欧佩克)会议虽然原则上已同意减产，但其减产量很可能小于此前市场的普遍预期，这使国际油价走势承压。</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rFonts w:hint="eastAsia" w:eastAsia="宋体"/>
          <w:sz w:val="20"/>
          <w:szCs w:val="20"/>
          <w:lang w:val="en-US" w:eastAsia="zh-CN"/>
        </w:rPr>
      </w:pPr>
      <w:r>
        <w:drawing>
          <wp:inline distT="0" distB="0" distL="114300" distR="114300">
            <wp:extent cx="4819015" cy="3248660"/>
            <wp:effectExtent l="0" t="0" r="63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19015" cy="3248660"/>
                    </a:xfrm>
                    <a:prstGeom prst="rect">
                      <a:avLst/>
                    </a:prstGeom>
                    <a:noFill/>
                    <a:ln w="9525">
                      <a:noFill/>
                    </a:ln>
                  </pic:spPr>
                </pic:pic>
              </a:graphicData>
            </a:graphic>
          </wp:inline>
        </w:drawing>
      </w:r>
      <w:r>
        <w:rPr>
          <w:rFonts w:hint="eastAsia"/>
          <w:sz w:val="20"/>
          <w:szCs w:val="20"/>
          <w:lang w:val="en-US" w:eastAsia="zh-CN"/>
        </w:rPr>
        <w:t xml:space="preserve"> </w:t>
      </w:r>
    </w:p>
    <w:p>
      <w:pPr>
        <w:outlineLvl w:val="1"/>
        <w:rPr>
          <w:rFonts w:ascii="黑体" w:hAnsi="宋体" w:eastAsia="黑体"/>
          <w:b/>
          <w:sz w:val="30"/>
          <w:szCs w:val="30"/>
        </w:rPr>
      </w:pPr>
      <w:bookmarkStart w:id="9" w:name="_Toc460250402"/>
      <w:bookmarkStart w:id="10" w:name="_Toc505350001"/>
      <w:bookmarkStart w:id="11" w:name="_Toc296600809"/>
      <w:bookmarkStart w:id="12" w:name="_Toc28156819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美国能源信息署(EIA)周三(12月12日)公布报告显示，截至12月7日当周，美国原油库存减少120.8万桶至4.42亿桶，市场预估为减少299万桶。更多数据显示，上周俄克拉荷马州库欣原油库存增加114.8万桶，连续3周录得增长。美国精炼油库存减少147.5万桶，市场预估为增加180.1万桶。美国汽油库存增加208.7万桶，增幅创8月10日当周(18周)以来最大，市场预估为增加246.1万桶。美国12月7日当周API原油库存 -1018万桶，前值 +536万桶。美国12月7日当周API库欣地区原油库存 +64.2万桶，前值 +144万桶。美国12月7日当周API汽油库存 -248.4万桶，前值 +361万桶。美国12月7日当周API精炼油库存 +71.2万桶，前值 +432万桶。</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周四(12月13日)，截止前一工作日(12月12日)收盘， WTI 1月原油期货收跌0.50美元，跌幅0.97%，报51.15美元/桶;布伦特2月原油期货收跌0.05美元，跌幅0.08%，报60.15美元/桶;SC原油期货收张1.50美元，涨幅0.35%，报423.60美元/桶。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美国能源信息局(EIA)11日发布的能源报告认为，明年国际油价的走势将弱于之前预期，原因包括全球石油产量维持在高位且需求可能疲弱。</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美国能源信息局11日发布了12月的《短期能源展望》月报。美国能源信息局预计，2018年和2019年美国原油日产量将分别达到1088万桶和1206万桶，日产量分别增长153万桶和118万桶。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根据美国能源信息局最新预计，2018年纽约轻质原油均价为每桶65.18美元，较上月预期每桶下调了1.61美元;预计今年布伦特原油均价为每桶71.40美元，较上月预期每桶下调了1.72美元。</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关于未来油价的走势，美国能源信息局预计2019年纽约轻质原油和布伦特油价的均值接近现有水平，但较11月的预期每桶均大幅下调了11美元。预计2019年纽约轻质原油均价为每桶54.19美元，较上月预期每桶减少了10.66美元;预计布伦特均价为每桶61美元，较上次预期每桶减少了10.92美元。美国能源信息局表示，下调油价的主要原因包括全球前三大产油国产量维持在高位，以及全球原油需求疲弱。</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由于市场供过于求的趋势日益明显，国际油价11月一度大幅度下跌。为帮助原油市场恢复平衡，在石油输出国组织(欧佩克)与包括俄罗斯在内的非欧佩克产油国7日达成协议，决定从2019年1月开始日均减产原油120万桶，初步设定期限为6个月。经过磋商，在今年10月原油日产量基础上，欧佩克成员国日均减产80万桶，非欧佩克产油国日均减产40万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据媒体报道，阿联酋能源部长、欧佩克现任主席马兹鲁伊11日表示，欧佩克和非欧佩克产油国的总体合作协议将在三个月后在沙特阿拉伯签署。马兹鲁伊称，他们将在六个月后决定该协议是否延长期限。他说，卡塔尔退出欧佩克不会影响欧佩克未来的生产。</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卡塔尔本月宣布退出欧佩克，分析人士认为这意味着在欧佩克中只有沙特能够削减所需产量以推升油价。还有分析人士指出，随着全球石油产量维持在高位，欧佩克及其俄罗斯等盟友的减产幅度可能不足以恢复市场平衡，尤其是在美国石油产量不断增加的背景下。</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对于新的减产协议，外界还担忧俄罗斯的减产幅度不及预期。俄罗斯能源部长诺瓦克说，俄已经按照相关协议制订今后几个月的原油减产计划，并将在今年年底召开会议就减产进行讨论。诺瓦克表示，全球原油产量近来不断增加，市场供求不平衡，需要加以控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由于利比亚原油产量意外减少，国际油价11日上涨。截至11日收盘时，纽约商品交易所2019年1月交货的轻质原油期货价格上涨0.65美元，收于每桶51.65美元，涨幅为1.27%。2019年2月交货的伦敦布伦特原油期货价格上涨0.23美元，收于每桶60.2美元，涨幅为0.38%。</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利比亚国家石油公司10日称，因受外来干扰，该公司被迫关闭位于南部的沙拉拉油田。关闭沙拉拉油田将使石油每天减产31万桶，利比亚每天将减少上千万美元收入。</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keepNext w:val="0"/>
        <w:keepLines w:val="0"/>
        <w:widowControl/>
        <w:suppressLineNumbers w:val="0"/>
        <w:jc w:val="left"/>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习近平主席日前出席在阿根廷布宜诺斯艾利斯举行的二十国集团领导人第十三次峰会第一阶段会议并发表重要讲话，强调二十国集团要以负责任态度把握世界经济大方向。其中，“坚持开放合作，维护多边贸易体制”的主张赢得国际人士一致认同。在中方推动下，本次二十国集团领导人峰会就重大国际问题达成共识并通过领导人宣言，共同维护多边贸易体制、推进贸易和投资自由化便利化、反对保护主义的观点赢得许多与会领导人赞同。这次峰会的成功是坚持多边主义的胜利，也再次表明中国主张和中国方案符合人心所向、顺应大势所趋。</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“中国已成为捍卫多边贸易体制的中流砥柱”</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年前，我第一次出席二十国集团领导人峰会，呼吁共同维护和建设开放型世界经济。现在看，这一任务更加迫切。二十国集团成员间月均新增贸易限制措施比半年前翻了一番，2018年全球货物贸易量增速可能下滑0.3%。”习近平主席指出，我们应该坚定维护自由贸易和基于规则的多边贸易体制。</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二十国集团是多边合作的重要产物和体现。当前经济全球化遭遇波折，多边主义体制受到冲击。世界重要经济体协调意愿不足、国际合作动力减弱，二十国集团面临新的挑战。</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坚持建设开放型世界经济大方向，是二十国集团应对国际金融危机的重要经验，也是推动世界经济增长的必然要求。法国尼斯欧洲研究所学者佐戈普鲁斯指出，坚持开放合作和维护多边贸易体制，对稳定全球经济增长预期有重要意义。当前，保护主义和单边主义抬头，全球经济增长预期出现下行趋势。国际货币基金组织最近将今明两年全球经济增长预期从3.9%下调至3.7%，这是该机构自2016年7月以来首次下调全球经济增长预期，主要原因是新兴经济体面临的外部压力和金融挑战增大，贸易紧张局势“显著升级”。该机构与世界银行、世界贸易组织日前联合发布报告，呼吁各经济体继续推动全球贸易一体化改革，重振多边贸易体系，以适应世界经济形势变化需要。佐戈普鲁斯认为，“习近平主席的主张无疑有助于安抚全球市场的焦虑情绪”。</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目前，全球经济稳定向好，但复苏基础仍然薄弱，世界各经济体对多边贸易体制的需求比以往任何时候都强烈。作为世界第二大经济体，中国已成为捍卫多边贸易体制的中流砥柱。”印度尼赫鲁大学教授斯瓦兰·辛格表示，当今世界，任何经济体都无法独善其身。中国始终积极支持多边贸易体制，为维护世界自由贸易发出坚定有力的声音。这对发展中国家乃至世界各国都具有重要意义。</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“整个汉堡的历史都源于自由贸易，自由贸易让人受益。”德国汉堡市长辰切尔表示，“数百年来的经验告诉我们，自由贸易是经济繁荣的基础，它与和平一样，一直都是我们追求的目标。”</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自由贸易和基于规则的多边贸易体制是二战后世界经济快速增长的重要因素，发达国家和发展中国家都从中受益。”美国中美研究中心高级研究员苏拉布·古普塔认为，“在西方世界弥漫着悲观主义情绪时，中国仍坚定不移地致力于在二十国集团框架下，为建立开放的多边主义秩序以及加强宏观政策协调作出贡献。只有各国同舟共济，维护多边体系稳定，才能确保持续繁荣。”</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“中国在建设开放型世界经济过程中一直发挥着重要作用”</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习近平主席指出，“中方赞成对世界贸易组织进行必要改革，关键是要维护开放、包容、非歧视等世界贸易组织核心价值和基本原则，保障发展中国家发展利益和政策空间。要坚持各方广泛协商，循序推进，不搞‘一言堂’。”</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对此，日本丽泽大学教授梶田幸雄深表赞同。“21世纪的地球村，各国要实现发展就应加强对话，共同维护和建设开放型世界经济，共同维护自由贸易和多边贸易体系。近年来，中国在建设开放型世界经济过程中一直发挥着重要作用。”</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韩国中国经济金融研究所所长全炳瑞表示，国际分工和自由贸易让各国发挥自身优势，使经济社会发展达到“1加1大于2”的效果，这也是世界经济发展的动力源(4.690, -0.03, -0.64%)。正是得益于自由贸易，世界经济体系才能不断完善。中国呼吁维护开放、包容、非歧视等世贸组织核心价值和基本原则，有助于保障发展中国家的发展利益和政策空间，有助于推动全球共同繁荣。</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俄罗斯科学院远东研究所高级研究员亚历山大·伊萨耶夫认为，携手合作、互利共赢才是全球发展唯一正确的选择。中国的倡议和主张获得了世界认同，中国所扮演的角色至关重要。</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作为多边主义和自由贸易的坚定支持者，巴西坚信多边合作有利于世界经济繁荣。”巴西中国研究中心主任林斯说，二十国集团已成为引领全球经济治理的重要多边平台。《二十国集团领导人布宜诺斯艾利斯峰会宣言》展现了中国主张的诸多印记，宣言的31个条款让世界看到，这次峰会最大的成功，是肯定了多边主义，重振了国际社会对多边贸易体制的信心。</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“开放合作是促进经济增长的重要法宝”</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改革开放40年来，中国人均可支配收入增长22.8倍，贫困人口减少了7.4亿;国际金融危机发生以来，中国经济对世界经济增长贡献率超过30%。中国得益于改革开放，中国将坚定不移沿着这条路走下去。面向未来，中国推动更高水平开放的脚步不会停滞，中国推动建设开放型世界经济的脚步不会停滞，中国推动构建人类命运共同体的脚步不会停滞，中国将以更负责的精神、更开放包容的胸襟、更高质量的增长，在实现自身发展的同时，为世界各国共同繁荣作出更大贡献。</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南非政府高级顾问韦斯利·道格拉斯表示，“近年来，我看到中国企业参与的港口、道路、机场、大坝、铁路、电站等重要基础设施项目不断在非洲广袤的土地上生根发芽;看到一批批非中合作项目结出硕果;看到来自中国的投资和技术不断提高非洲人民生活水平。我们真心感谢中国朋友!”</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越来越多的国际金融机构和私人企业表达了参与共建‘一带一路’的意愿，‘一带一路’建设的多边化特点正在显现。”法国智库重建布雷顿森林体系委员会执行董事马克·乌赞表示，近年来，中国提出“一带一路”倡议、发起成立亚投行，为促进世界经济开放、包容和可持续发展提供了新路径，让许多“曾被边缘化”的国家有机会参与到国际合作中来，分享经济全球化的红利。</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泰国开泰银行高级副总裁蔡伟才指出，自由贸易和多边贸易体制以市场为导向，使各经济体能够取长补短。中国与东盟近20年的经贸合作成就为世界树立了典范。中国与东盟的贸易额从2003年的780亿美元激增至2017年的5100亿美元，增幅超过550%。</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自由贸易和经济全球化是不可逆转的历史潮流，为各国发展提供了强大动力。中国是多边贸易体制的坚定维护者，引领着多边主义潮流。前不久举办的首届中国国际进口博览会，构建了一个全新的重要经贸平台，为世界上处于不同发展阶段的国家提供了巨大商机。”埃及中国问题专家侯赛因·伊斯梅尔说。</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佐戈普鲁斯认为，“习近平主席的讲话和中国发展的成功实践表明，开放合作是促进经济增长的重要法宝。国际贸易和投资是拉动经济增长、实现发展繁荣的重要引擎，因此坚持多边主义、构建开放型世界经济是当前国际社会应做好的重要功课。”人们相信，新时代中国改革开放再出发，不仅将为中国自身创造光明未来，更将为人类和平与发展作出新的更大贡献。</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51.15</w:t>
      </w:r>
      <w:r>
        <w:rPr>
          <w:rFonts w:ascii="华文仿宋" w:hAnsi="华文仿宋" w:eastAsia="华文仿宋"/>
          <w:sz w:val="28"/>
          <w:szCs w:val="28"/>
        </w:rPr>
        <w:t>-</w:t>
      </w:r>
      <w:r>
        <w:rPr>
          <w:rFonts w:hint="eastAsia" w:ascii="华文仿宋" w:hAnsi="华文仿宋" w:eastAsia="华文仿宋"/>
          <w:sz w:val="28"/>
          <w:szCs w:val="28"/>
          <w:lang w:val="en-US" w:eastAsia="zh-CN"/>
        </w:rPr>
        <w:t>52.61</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59.97</w:t>
      </w:r>
      <w:r>
        <w:rPr>
          <w:rFonts w:ascii="华文仿宋" w:hAnsi="华文仿宋" w:eastAsia="华文仿宋"/>
          <w:sz w:val="28"/>
          <w:szCs w:val="28"/>
        </w:rPr>
        <w:t>-</w:t>
      </w:r>
      <w:r>
        <w:rPr>
          <w:rFonts w:hint="eastAsia" w:ascii="华文仿宋" w:hAnsi="华文仿宋" w:eastAsia="华文仿宋"/>
          <w:sz w:val="28"/>
          <w:szCs w:val="28"/>
          <w:lang w:val="en-US" w:eastAsia="zh-CN"/>
        </w:rPr>
        <w:t>61.67</w:t>
      </w:r>
      <w:r>
        <w:rPr>
          <w:rFonts w:ascii="华文仿宋" w:hAnsi="华文仿宋" w:eastAsia="华文仿宋"/>
          <w:sz w:val="28"/>
          <w:szCs w:val="28"/>
        </w:rPr>
        <w:t>美元/桶震荡</w:t>
      </w:r>
      <w:r>
        <w:rPr>
          <w:rFonts w:hint="eastAsia" w:ascii="华文仿宋" w:hAnsi="华文仿宋" w:eastAsia="华文仿宋"/>
          <w:sz w:val="28"/>
          <w:szCs w:val="28"/>
          <w:lang w:eastAsia="zh-CN"/>
        </w:rPr>
        <w:t>。</w:t>
      </w:r>
      <w:r>
        <w:rPr>
          <w:rFonts w:ascii="华文仿宋" w:hAnsi="华文仿宋" w:eastAsia="华文仿宋"/>
          <w:sz w:val="28"/>
          <w:szCs w:val="28"/>
        </w:rPr>
        <w:t>周内虽然OPEC+减产协议达成但市场供应过剩现象仍存，国际油价震荡下跌。周内前期，尽管上周美国原油库存意外大降，但美油产量仍居高位，不过欧佩克维也纳会议最终达成减产协议，虽然与非OPEC产油国的联合减产规模为120万桶/日，较市场预期低了10万桶/日，但这已足以改变当前的悲观情绪，同时美元承压回落也为油价提供支撑，油价上涨;周内后期，虽然OPEC+达成减产120万桶/日的协议，但市场预计2019年第一季度与第二季度油市仍面临供过于求的情况，尽管利比亚油田原油出口遭遇不可抗力提振油价，但上周美国原油库存降幅不及此前市场预期，加之石油输出国组织(OPEC)内部分歧恐影响未来的减产行动，国际原油周内小幅下跌。此外，美国油服公司贝克休斯(Baker Hughes)周五(12月7日)公布数据显示，截至12月7日当周，美国石油活跃钻井数锐减10座至877座，录得与两年最大单周降幅，去年同期为751座。更多数据显示，截至12月7日当周美国石油和天然气活跃钻井总数减少1座至1075座。整体看来，周内国际原油市场中空好消息反复交织博弈，但最终利空影响强劲，国际油价呈现震荡下跌走势。其中WTI期货本周均价51.28美元/桶，较上周下跌1.37%，较上月下跌8.87%;本周布伦特期货均价60.41美元/桶，较上周下跌0.49%，较上月下跌8.40%。后市预测：目前国际原油市场OOPEC+达成减产协议，此外利比亚油田停产、俄罗斯方面积极配合减产以及API库存数据利好等消息有利支撑油价，不过最新的EIA报告中美原油产量虽下降，但库存数据下降不及预期，加之伊朗油长表示欧佩克内部存在严重的政治分歧，该分歧导致市场对其后期的减产行执行力心生忧虑，且当前对后市存在分歧，主要表现在对美原油高产现状和欧佩克联盟减产公信力的对冲怀疑。综合来看，近期国际油市尚无重大利好消息，但油价也未呈现大跌预兆，预计下周国际原油或窄幅调整。后市预测：预计近期WTI原油期货价格在52-56美元/桶之间浮动，布伦特原油期货均价在60-65美元/桶之间浮动。</w:t>
      </w:r>
    </w:p>
    <w:p>
      <w:pPr>
        <w:pStyle w:val="19"/>
        <w:keepNext w:val="0"/>
        <w:keepLines w:val="0"/>
        <w:widowControl/>
        <w:suppressLineNumbers w:val="0"/>
        <w:ind w:firstLine="560" w:firstLineChars="200"/>
        <w:rPr>
          <w:rFonts w:hint="eastAsia" w:ascii="华文仿宋" w:hAnsi="华文仿宋" w:eastAsia="华文仿宋"/>
          <w:sz w:val="28"/>
          <w:szCs w:val="28"/>
        </w:rPr>
      </w:pP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06"/>
        <w:gridCol w:w="2125"/>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81568202"/>
            <w:bookmarkStart w:id="24" w:name="_Toc239847715"/>
            <w:bookmarkStart w:id="25" w:name="_Toc296600812"/>
            <w:bookmarkStart w:id="26" w:name="_Toc460250405"/>
            <w:bookmarkStart w:id="27" w:name="_Toc505350009"/>
            <w:r>
              <w:rPr>
                <w:rFonts w:hint="eastAsia" w:ascii="华文仿宋" w:hAnsi="华文仿宋" w:eastAsia="华文仿宋" w:cs="华文仿宋"/>
                <w:color w:val="000000"/>
                <w:sz w:val="28"/>
                <w:szCs w:val="28"/>
                <w:lang w:val="en-US" w:eastAsia="zh-CN"/>
              </w:rPr>
              <w:t>12月13日</w:t>
            </w:r>
          </w:p>
        </w:tc>
        <w:tc>
          <w:tcPr>
            <w:tcW w:w="212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52.34</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52.38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-0.39</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124.619-124.714</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492.25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493.00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130.225-130.423</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455.46</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456.21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-4.665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120.492-120.690</w:t>
            </w:r>
          </w:p>
        </w:tc>
      </w:tr>
      <w:tr>
        <w:tblPrEx>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472.00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472.50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126.203-126.337</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468.00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468.50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125.134-125.267 </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444.00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444.50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118.717-118.850</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460.50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461.00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123.128-123.262</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470.97</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471.07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3.83美分/加仑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134.520-134.620</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地炼石脑油市场局部下跌，原油期货价格震荡调整，场内供需基本面疲软，下游需求匮乏令生产企业出货压力较大，被迫调降发货成交价。利比亚最大油田沙拉拉被迫关闭的消息对市场形成一定提振，而俄罗斯能源部长透露了俄罗斯1月份的减产计划，其维持渐进式减产节奏的方式令市场担忧短期难以缓解过剩局面，这令期货市场蒙阴，而交易商继续减持多头说明市场信心匮乏，判断短期欧美原油期货存在继续下行空间，11日油价预期运行方向为下跌。国内地炼及煤基石脑油市场局部下跌，隔夜原油宽幅下跌令市场交投蒙上阴影，仍然处于过剩供应阶段的石脑油市场交投积极性继续下降，而下游溶剂油切割等用户当前对于原料市场的判断较为消极，压跌者众，因此市场购销氛围难言起色，短线弱势盘整为主。</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281568203"/>
      <w:bookmarkStart w:id="29" w:name="_Toc505350010"/>
      <w:bookmarkStart w:id="30" w:name="_Toc460250406"/>
      <w:bookmarkStart w:id="31" w:name="_Toc29660081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96600814"/>
      <w:bookmarkStart w:id="33" w:name="_Toc281568204"/>
      <w:bookmarkStart w:id="34" w:name="_Toc460250407"/>
      <w:bookmarkStart w:id="35" w:name="_Toc505350011"/>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270"/>
            <wp:effectExtent l="0" t="0" r="3175" b="17780"/>
            <wp:docPr id="632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237428455"/>
      <w:bookmarkStart w:id="39" w:name="_Toc281568206"/>
      <w:bookmarkStart w:id="40" w:name="_Toc460250408"/>
      <w:bookmarkStart w:id="41" w:name="_Toc505350012"/>
      <w:bookmarkStart w:id="42" w:name="_Toc296600816"/>
      <w:r>
        <w:rPr>
          <w:rFonts w:hint="eastAsia" w:ascii="黑体" w:eastAsia="黑体"/>
          <w:b/>
          <w:sz w:val="28"/>
          <w:szCs w:val="28"/>
        </w:rPr>
        <w:t>三、本周国内油品市场分析及预测</w:t>
      </w:r>
      <w:bookmarkEnd w:id="38"/>
      <w:bookmarkEnd w:id="39"/>
      <w:bookmarkEnd w:id="40"/>
      <w:bookmarkEnd w:id="41"/>
      <w:bookmarkEnd w:id="42"/>
      <w:bookmarkStart w:id="43" w:name="_Toc460250409"/>
      <w:bookmarkStart w:id="44" w:name="_Toc281568207"/>
      <w:bookmarkStart w:id="45" w:name="_Toc296600817"/>
      <w:bookmarkStart w:id="46" w:name="_Toc176571903"/>
      <w:bookmarkStart w:id="47" w:name="_Toc237428456"/>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hint="eastAsia" w:ascii="华文仿宋" w:hAnsi="华文仿宋" w:eastAsia="华文仿宋" w:cs="华文仿宋"/>
          <w:sz w:val="28"/>
          <w:szCs w:val="28"/>
        </w:rPr>
      </w:pPr>
      <w:bookmarkStart w:id="49" w:name="_Toc505350014"/>
      <w:bookmarkStart w:id="50" w:name="_Toc460250410"/>
      <w:bookmarkStart w:id="51" w:name="_Toc296600818"/>
      <w:bookmarkStart w:id="52" w:name="_Toc180485827"/>
      <w:bookmarkStart w:id="53" w:name="_Toc369858747"/>
      <w:bookmarkStart w:id="54" w:name="_Toc281568208"/>
      <w:bookmarkStart w:id="55" w:name="_Toc296600819"/>
      <w:bookmarkStart w:id="56" w:name="_Toc281568211"/>
      <w:bookmarkStart w:id="80" w:name="_GoBack"/>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际原油期货震荡上行，国内成品油市场购销氛围清淡，各地主营汽柴油价格下调。与此同时，山东地区成品油行情弱势下行，各炼厂报价再次回落，且主流成交保持100元/吨以上优惠。具体来看出货方面：外盘油价走势震荡对油市难以起到有效指引，中下游商家购进操作明显减少，加上目前终端需求呈现萎缩状态，社会单位库存消化缓慢，因此地炼整体出货表现不佳，库存量普遍有所增长。进入下周，在缺少实质性利好刺激下，山东地区成品油行情弱势难改，买卖双方操作较为谨慎。综上所述，预计下周山东地炼汽柴油价格承压小跌。</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主营成品油行情震荡下行，购销气氛延续平淡。周内国际油价震荡下行，变化率负向区间延伸，本轮零售价下调成定局，市场观望气氛升温。据悉区内多数主营单位均有欠量，尽管周内主营根据原油提振价格有小幅推涨，但实际成交均保持宽松优惠政策。与此同时，山东地炼汽油价格开始松动，主营外采成本降低下局部地区价格开始回调。受“买涨不买跌”的因素影响下，中下游用户多消耗自身库存，入市采购活动十分有限，市场成交多刚需为主。后市而言，国际油价延续震荡走势，本周五(12月14日)零售价将兑现“四连跌”，加之月度下旬主营单位追赶销售任务，预计下周华北地区主营单位价格或继续承压。随着主营单位陆续完成销售任务，保利政策支撑下价格不排除有走高的可能。</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先扬后抑，市场交投气氛偏淡。具体来看，国际原油期货区间震荡，消息方面指引有限。然而，因大多主营单位已完成年度销售任务，在无出货压力的情况下，积极推涨汽柴油价格，其中汽油价格上涨150-200元/吨，柴油价格上涨100元/吨左右。业者对高价较为抵触，多场外消库为主，市场交投气氛平淡。而后，随着原油期货价格回落，区内个别主营单位汽柴油价格大幅走低，业者鲜有入市购进意向，交投气氛维持平淡。后市来看，原油期货维持震荡走势，零售价下调即将兑现。与此同时，下游用户消化库存为主，主营单位多已完成年度任务保利为先，预计下周华南汽柴油行情横盘整理为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地区汽柴价格波动有限，交投气氛维持一般。具体分析如下，周内原油走势较为震荡，均价较上周窄幅回落，变化率维持负向区间运行，零售价“四连跌”基本坐实，消息面指向偏空。但临近年末，多数主营年度任务基本完成，基于保利优先考虑，汽柴报价守稳为主，个别单位根据自身情况零星调整，业者观望之余消化前期备货，入市采购意向偏低，成交量淡。后市来看，国际原油或维持偏弱震荡，且明日零售价即将兑现下调，消息面依旧难寻支撑，加上近日地炼价格持续回落，成本面降低。故预计近期内华中地区汽柴价格或有松动，但整体波动或较为有限。</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坚挺运行，市场购销气氛逐步转淡。具体来看，周内国际油价宽幅震荡，周初受欧佩克减产协议达成影响，国际油价跌后强势反弹，不过随后缺乏进一步支撑，油价反复震荡，受此影响，本轮零售价下调预期仍存，消息面提振相对有限。不过，周初华东主营汽柴价格联合上推，积极造势促销，下游业者“买涨”心态支撑下，纷纷入市采购，市场交投较为活跃，多家主营单位年度计划完成。但业者补货结束后陆续退市，主营出货量亦逐步转淡，但鉴于主营保利润为主，故华东汽柴价格涨后趋稳整理。后市而言，国际油价或仍维持震荡走势，本周五(11月14日)零售价将迎来“四连跌”，预计下周华东成品油市场行情或波动不大，个别欠量的主营成交优惠或加大，下游消化库存为主，入市操作难有改善。</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柴行情走稳为主，市场成交气氛转淡。分析来看：周内国际油价区间震荡为主，变化率负向区间波动，零售价下调预期仍存，消息面对市场支撑力度有限。不过，当前汽柴价格维持较低水平，且周初部分业者仍未补货到位，因此市场成交气氛尚可。之后，随着调价窗口临近，市场观望气氛逐步升温，再者，进入冬季汽柴需求面整体平淡，业者适量补货之后退市消库，市场成交气氛再度转淡。由于区内汽柴价格已至低位，预计本周五成品油零售价下调兑现之后，汽柴行情小幅波动为主。进入下周，国际油价维持震荡走势，消息面对市场指引有限。业者操作心态谨慎，消库之余按需适量补货为主，市场成交难有提升。</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上行为主，市场成交氛围较为清淡。分析来看：周内国际油价维持区间震荡，变化率负向区间波动，下调预期仍存，消息面对市场支撑力度有限。不过，月初主营出货顺畅，部分单位年度任务提前完成，汽柴价格连续推涨，其中汽油价格上涨200元/吨左右，柴油价格上涨约100元/吨。但下游需求整体平淡，对市场支撑力度有限。另外，随着调价窗口临近，市场观望气氛升温，业者操作心态趋于谨慎，消库之余小单补货为主，市场成交气氛清淡。本周五成品油零售价将迎来“四连跌”，不过，主营单位挺价意愿强烈，因此预计跟跌空间有限。进入下周，国际油价仍维持区间震荡为主，消息面指引有限，业者消库之余谨慎观望，市场成交难有改善。预计短线西南地区汽柴行情稳中整理为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步入下周，国际油价维持低位，新一轮变化率或小幅负向波动，利空影响依然存在。主营及地方炼厂均无新增检修炼厂，市场资源供应量仍然充足。冬季部分工矿基建等企业开工略受影响，柴油需求较为平淡;汽油需求面波动不大，对整体行情亦无明显提振。下周山东地炼汽柴价格仍存下行压力，主营外采成本或降低。主营单位年度销售任务相继完成，汽柴价格或保持坚挺，欠量单位则继续促销赶量。消息面对行情难有提振，而整体需求将进一步转淡，多重利空因素影响下，国内汽柴油价格存下行压力。</w:t>
      </w:r>
    </w:p>
    <w:bookmarkEnd w:id="80"/>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pPr>
      <w:bookmarkStart w:id="57" w:name="_Toc460250411"/>
      <w:bookmarkStart w:id="58" w:name="_Toc505350015"/>
      <w:r>
        <w:rPr>
          <w:sz w:val="21"/>
          <w:szCs w:val="21"/>
        </w:rPr>
        <w:t>　</w:t>
      </w:r>
      <w:r>
        <w:rPr>
          <w:rFonts w:ascii="华文仿宋" w:hAnsi="华文仿宋" w:eastAsia="华文仿宋"/>
          <w:sz w:val="28"/>
          <w:szCs w:val="28"/>
        </w:rPr>
        <w:t>　</w:t>
      </w:r>
      <w:r>
        <w:rPr>
          <w:rFonts w:hint="eastAsia" w:ascii="华文仿宋" w:hAnsi="华文仿宋" w:eastAsia="华文仿宋" w:cs="华文仿宋"/>
          <w:sz w:val="28"/>
          <w:szCs w:val="28"/>
          <w:lang w:eastAsia="zh-CN"/>
        </w:rPr>
        <w:t>本周</w:t>
      </w:r>
      <w:r>
        <w:rPr>
          <w:rFonts w:hint="eastAsia" w:ascii="华文仿宋" w:hAnsi="华文仿宋" w:eastAsia="华文仿宋" w:cs="华文仿宋"/>
          <w:sz w:val="28"/>
          <w:szCs w:val="28"/>
        </w:rPr>
        <w:t>国内溶剂油市场表现较为弱势，价格方面无较大调整，周内仅山东、华中地区个别炼厂报价有小幅小调。需求方面，当前汽柴油价格处于偏低水平，部分业者继续补货，但需求提升有限，成交大单稀少，业者对非标溶剂油采购力度有限。另外，周内国际原油市场涨涨跌跌，整体呈现下跌走势，市场走向不明，打击业者操盘信心，虽成交有优惠，但需求提振效果不佳，交投气氛不温。后市预测：国际原油市场尚无重大利好消息，且美原油库存降幅不及预期，最新期价走低，而本轮成品油调价基本敲定“四连跌”，业者采购持谨慎态度，而上游原料价格下行，市场利好难寻，导致业者心态纠结，消库之余小单补货为主，综上，溶剂油市场在缺乏足够的利好推动背景下，短期走势偏弱，市场成交难有改善。</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tbl>
      <w:tblPr>
        <w:tblStyle w:val="25"/>
        <w:tblpPr w:leftFromText="180" w:rightFromText="180" w:vertAnchor="text" w:horzAnchor="page" w:tblpX="1054" w:tblpY="302"/>
        <w:tblOverlap w:val="neve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1949"/>
        <w:gridCol w:w="1089"/>
        <w:gridCol w:w="1090"/>
        <w:gridCol w:w="1089"/>
        <w:gridCol w:w="1090"/>
        <w:gridCol w:w="1256"/>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4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c>
          <w:tcPr>
            <w:tcW w:w="112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5660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81568213"/>
      <w:bookmarkStart w:id="60" w:name="_Toc296600821"/>
      <w:bookmarkStart w:id="61" w:name="_Toc505350016"/>
      <w:bookmarkStart w:id="62" w:name="_Toc460250412"/>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0"/>
        <w:gridCol w:w="1653"/>
        <w:gridCol w:w="1313"/>
        <w:gridCol w:w="1113"/>
        <w:gridCol w:w="1112"/>
        <w:gridCol w:w="1082"/>
        <w:gridCol w:w="1268"/>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c>
          <w:tcPr>
            <w:tcW w:w="112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505350018"/>
      <w:bookmarkStart w:id="68" w:name="_Toc281568215"/>
      <w:bookmarkStart w:id="69" w:name="_Toc296600823"/>
      <w:bookmarkStart w:id="70" w:name="_Toc180485835"/>
      <w:bookmarkStart w:id="71" w:name="_Toc460250414"/>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2018-12-14</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296600824"/>
      <w:bookmarkStart w:id="73" w:name="_Toc505350019"/>
      <w:bookmarkStart w:id="74" w:name="_Toc281568216"/>
      <w:bookmarkStart w:id="75" w:name="_Toc460250415"/>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auto"/>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DF730A"/>
    <w:rsid w:val="182037F9"/>
    <w:rsid w:val="1871150E"/>
    <w:rsid w:val="193B0DD2"/>
    <w:rsid w:val="1950525E"/>
    <w:rsid w:val="19995649"/>
    <w:rsid w:val="1A4B0BD2"/>
    <w:rsid w:val="1B142ABF"/>
    <w:rsid w:val="1BB02F43"/>
    <w:rsid w:val="1C8E7E91"/>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6490C7C"/>
    <w:rsid w:val="58343EAC"/>
    <w:rsid w:val="58F33E0F"/>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4440A64"/>
    <w:rsid w:val="659D1EC8"/>
    <w:rsid w:val="65C42961"/>
    <w:rsid w:val="66AD6F06"/>
    <w:rsid w:val="67F355EF"/>
    <w:rsid w:val="68727AEB"/>
    <w:rsid w:val="68CB2404"/>
    <w:rsid w:val="6B353E8E"/>
    <w:rsid w:val="6B7A4196"/>
    <w:rsid w:val="6BC94628"/>
    <w:rsid w:val="6D082DCE"/>
    <w:rsid w:val="6DD964A3"/>
    <w:rsid w:val="6F514B5B"/>
    <w:rsid w:val="6FE46FB1"/>
    <w:rsid w:val="70071414"/>
    <w:rsid w:val="712C720C"/>
    <w:rsid w:val="74605603"/>
    <w:rsid w:val="74EA6BF5"/>
    <w:rsid w:val="75903C84"/>
    <w:rsid w:val="766E0138"/>
    <w:rsid w:val="76DA4E14"/>
    <w:rsid w:val="776953F6"/>
    <w:rsid w:val="78C05101"/>
    <w:rsid w:val="79273F04"/>
    <w:rsid w:val="7A0850E0"/>
    <w:rsid w:val="7BAB2825"/>
    <w:rsid w:val="7C4A2B81"/>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qFormat/>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qFormat/>
    <w:uiPriority w:val="99"/>
    <w:rPr>
      <w:rFonts w:ascii="宋体"/>
      <w:kern w:val="2"/>
      <w:sz w:val="18"/>
      <w:szCs w:val="18"/>
    </w:rPr>
  </w:style>
  <w:style w:type="paragraph" w:styleId="180">
    <w:name w:val="List Paragraph"/>
    <w:basedOn w:val="1"/>
    <w:qFormat/>
    <w:uiPriority w:val="99"/>
    <w:pPr>
      <w:ind w:firstLine="420" w:firstLineChars="200"/>
    </w:pPr>
  </w:style>
  <w:style w:type="character" w:customStyle="1" w:styleId="181">
    <w:name w:val="font41"/>
    <w:basedOn w:val="20"/>
    <w:qFormat/>
    <w:uiPriority w:val="0"/>
    <w:rPr>
      <w:rFonts w:ascii="MS Gothic" w:hAnsi="MS Gothic" w:eastAsia="MS Gothic" w:cs="MS Gothic"/>
      <w:color w:val="000000"/>
      <w:sz w:val="20"/>
      <w:szCs w:val="20"/>
      <w:u w:val="none"/>
    </w:rPr>
  </w:style>
  <w:style w:type="character" w:customStyle="1" w:styleId="182">
    <w:name w:val="font3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12.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'[最新溶剂油周报：山东地炼石脑油价格走势图12.7.xls]溶剂油周报-石脑油价格走势图表'!$D$178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'[最新溶剂油周报：山东地炼石脑油价格走势图12.7.xls]溶剂油周报-石脑油价格走势图表'!$A$179:$C$349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numCache>
            </c:numRef>
          </c:cat>
          <c:val>
            <c:numRef>
              <c:f>'[最新溶剂油周报：山东地炼石脑油价格走势图12.7.xls]溶剂油周报-石脑油价格走势图表'!$D$179:$D$349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pt idx="163" c:formatCode="General">
                  <c:v>6300</c:v>
                </c:pt>
                <c:pt idx="164" c:formatCode="General">
                  <c:v>6500</c:v>
                </c:pt>
                <c:pt idx="165" c:formatCode="General">
                  <c:v>6550</c:v>
                </c:pt>
              </c:numCache>
            </c:numRef>
          </c:val>
          <c:smooth val="0"/>
        </c:ser>
        <c:ser>
          <c:idx val="10"/>
          <c:order val="1"/>
          <c:tx>
            <c:strRef>
              <c:f>'[最新溶剂油周报：山东地炼石脑油价格走势图12.7.xls]溶剂油周报-石脑油价格走势图表'!$E$178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'[最新溶剂油周报：山东地炼石脑油价格走势图12.7.xls]溶剂油周报-石脑油价格走势图表'!$A$179:$C$349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numCache>
            </c:numRef>
          </c:cat>
          <c:val>
            <c:numRef>
              <c:f>'[最新溶剂油周报：山东地炼石脑油价格走势图12.7.xls]溶剂油周报-石脑油价格走势图表'!$E$179:$E$349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pt idx="163" c:formatCode="General">
                  <c:v>0</c:v>
                </c:pt>
                <c:pt idx="164" c:formatCode="General">
                  <c:v>0</c:v>
                </c:pt>
                <c:pt idx="165" c:formatCode="General">
                  <c:v>0</c:v>
                </c:pt>
              </c:numCache>
            </c:numRef>
          </c:val>
          <c:smooth val="0"/>
        </c:ser>
        <c:ser>
          <c:idx val="1"/>
          <c:order val="2"/>
          <c:tx>
            <c:strRef>
              <c:f>'[最新溶剂油周报：山东地炼石脑油价格走势图12.7.xls]溶剂油周报-石脑油价格走势图表'!$F$178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'[最新溶剂油周报：山东地炼石脑油价格走势图12.7.xls]溶剂油周报-石脑油价格走势图表'!$A$179:$C$349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numCache>
            </c:numRef>
          </c:cat>
          <c:val>
            <c:numRef>
              <c:f>'[最新溶剂油周报：山东地炼石脑油价格走势图12.7.xls]溶剂油周报-石脑油价格走势图表'!$F$179:$F$349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pt idx="163" c:formatCode="General">
                  <c:v>6150</c:v>
                </c:pt>
                <c:pt idx="164" c:formatCode="General">
                  <c:v>0</c:v>
                </c:pt>
                <c:pt idx="165" c:formatCode="General">
                  <c:v>0</c:v>
                </c:pt>
              </c:numCache>
            </c:numRef>
          </c:val>
          <c:smooth val="0"/>
        </c:ser>
        <c:ser>
          <c:idx val="5"/>
          <c:order val="3"/>
          <c:tx>
            <c:strRef>
              <c:f>'[最新溶剂油周报：山东地炼石脑油价格走势图12.7.xls]溶剂油周报-石脑油价格走势图表'!$G$178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'[最新溶剂油周报：山东地炼石脑油价格走势图12.7.xls]溶剂油周报-石脑油价格走势图表'!$A$179:$C$349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numCache>
            </c:numRef>
          </c:cat>
          <c:val>
            <c:numRef>
              <c:f>'[最新溶剂油周报：山东地炼石脑油价格走势图12.7.xls]溶剂油周报-石脑油价格走势图表'!$G$179:$G$349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pt idx="163" c:formatCode="General">
                  <c:v>4370</c:v>
                </c:pt>
                <c:pt idx="164" c:formatCode="General">
                  <c:v>0</c:v>
                </c:pt>
                <c:pt idx="165" c:formatCode="General">
                  <c:v>0</c:v>
                </c:pt>
              </c:numCache>
            </c:numRef>
          </c:val>
          <c:smooth val="0"/>
        </c:ser>
        <c:ser>
          <c:idx val="6"/>
          <c:order val="4"/>
          <c:tx>
            <c:strRef>
              <c:f>'[最新溶剂油周报：山东地炼石脑油价格走势图12.7.xls]溶剂油周报-石脑油价格走势图表'!$H$178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'[最新溶剂油周报：山东地炼石脑油价格走势图12.7.xls]溶剂油周报-石脑油价格走势图表'!$A$179:$C$349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numCache>
            </c:numRef>
          </c:cat>
          <c:val>
            <c:numRef>
              <c:f>'[最新溶剂油周报：山东地炼石脑油价格走势图12.7.xls]溶剂油周报-石脑油价格走势图表'!$H$179:$H$349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pt idx="165">
                  <c:v>4500</c:v>
                </c:pt>
              </c:numCache>
            </c:numRef>
          </c:val>
          <c:smooth val="0"/>
        </c:ser>
        <c:dLbls>
          <c:showLegendKey val="0"/>
          <c:showVal val="0"/>
          <c:showCatName val="0"/>
          <c:showSerName val="0"/>
          <c:showPercent val="0"/>
          <c:showBubbleSize val="0"/>
        </c:dLbls>
        <c:marker val="0"/>
        <c:smooth val="0"/>
        <c:axId val="165223235"/>
        <c:axId val="615971104"/>
      </c:lineChart>
      <c:dateAx>
        <c:axId val="165223235"/>
        <c:scaling>
          <c:orientation val="minMax"/>
          <c:max val="43448"/>
          <c:min val="43083"/>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15971104"/>
        <c:crossesAt val="2000"/>
        <c:auto val="1"/>
        <c:lblOffset val="100"/>
        <c:baseTimeUnit val="days"/>
        <c:majorUnit val="1"/>
        <c:majorTimeUnit val="months"/>
        <c:minorUnit val="1"/>
        <c:minorTimeUnit val="months"/>
      </c:dateAx>
      <c:valAx>
        <c:axId val="615971104"/>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65223235"/>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14</TotalTime>
  <ScaleCrop>false</ScaleCrop>
  <LinksUpToDate>false</LinksUpToDate>
  <CharactersWithSpaces>18114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梦蝶</cp:lastModifiedBy>
  <dcterms:modified xsi:type="dcterms:W3CDTF">2018-12-15T01:03:57Z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