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-749300</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4"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3"/>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eastAsia" w:eastAsia="黑体"/>
                                <w:kern w:val="2"/>
                                <w:lang w:val="en-US" w:eastAsia="zh-CN"/>
                              </w:rPr>
                            </w:pPr>
                            <w:bookmarkStart w:id="76" w:name="_Toc505349996"/>
                            <w:bookmarkStart w:id="77" w:name="_Toc485828984"/>
                            <w:r>
                              <w:rPr>
                                <w:rFonts w:hint="eastAsia"/>
                                <w:kern w:val="2"/>
                              </w:rPr>
                              <w:t>2018.</w:t>
                            </w:r>
                            <w:bookmarkEnd w:id="76"/>
                            <w:bookmarkEnd w:id="77"/>
                            <w:r>
                              <w:rPr>
                                <w:rFonts w:hint="eastAsia"/>
                                <w:kern w:val="2"/>
                                <w:lang w:val="en-US" w:eastAsia="zh-CN"/>
                              </w:rPr>
                              <w:t>12</w:t>
                            </w:r>
                            <w:r>
                              <w:rPr>
                                <w:rFonts w:hint="eastAsia"/>
                                <w:kern w:val="2"/>
                              </w:rPr>
                              <w:t>.</w:t>
                            </w:r>
                            <w:r>
                              <w:rPr>
                                <w:rFonts w:hint="eastAsia"/>
                                <w:kern w:val="2"/>
                                <w:lang w:val="en-US" w:eastAsia="zh-CN"/>
                              </w:rPr>
                              <w:t>28</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eastAsia" w:eastAsia="黑体"/>
                          <w:kern w:val="2"/>
                          <w:lang w:val="en-US" w:eastAsia="zh-CN"/>
                        </w:rPr>
                      </w:pPr>
                      <w:bookmarkStart w:id="76" w:name="_Toc505349996"/>
                      <w:bookmarkStart w:id="77" w:name="_Toc485828984"/>
                      <w:r>
                        <w:rPr>
                          <w:rFonts w:hint="eastAsia"/>
                          <w:kern w:val="2"/>
                        </w:rPr>
                        <w:t>2018.</w:t>
                      </w:r>
                      <w:bookmarkEnd w:id="76"/>
                      <w:bookmarkEnd w:id="77"/>
                      <w:r>
                        <w:rPr>
                          <w:rFonts w:hint="eastAsia"/>
                          <w:kern w:val="2"/>
                          <w:lang w:val="en-US" w:eastAsia="zh-CN"/>
                        </w:rPr>
                        <w:t>12</w:t>
                      </w:r>
                      <w:r>
                        <w:rPr>
                          <w:rFonts w:hint="eastAsia"/>
                          <w:kern w:val="2"/>
                        </w:rPr>
                        <w:t>.</w:t>
                      </w:r>
                      <w:r>
                        <w:rPr>
                          <w:rFonts w:hint="eastAsia"/>
                          <w:kern w:val="2"/>
                          <w:lang w:val="en-US" w:eastAsia="zh-CN"/>
                        </w:rPr>
                        <w:t>28</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6"/>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"file:///C:\\Users\\Administrator\\Desktop\\原油\\周报、月报\\溶剂油（石脑油）周报2-2.docx" \l "_Toc505349996" </w:instrText>
                      </w:r>
                      <w:r>
                        <w:fldChar w:fldCharType="separate"/>
                      </w:r>
                      <w:r>
                        <w:fldChar w:fldCharType="end"/>
                      </w:r>
                      <w:r>
                        <w:fldChar w:fldCharType="begin"/>
                      </w:r>
                      <w:r>
                        <w:instrText xml:space="preserve"> HYPERLINK \l "_Toc505349997" </w:instrText>
                      </w:r>
                      <w:r>
                        <w:fldChar w:fldCharType="separate"/>
                      </w:r>
                      <w:r>
                        <w:rPr>
                          <w:rStyle w:val="24"/>
                          <w:rFonts w:hint="eastAsia" w:ascii="黑体"/>
                        </w:rPr>
                        <w:t>一、国际原油</w:t>
                      </w:r>
                      <w:r>
                        <w:tab/>
                      </w:r>
                      <w:r>
                        <w:fldChar w:fldCharType="begin"/>
                      </w:r>
                      <w:r>
                        <w:instrText xml:space="preserve"> PAGEREF _Toc505349997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"_Toc505349998" </w:instrText>
                      </w:r>
                      <w:r>
                        <w:fldChar w:fldCharType="separate"/>
                      </w:r>
                      <w:r>
                        <w:rPr>
                          <w:rStyle w:val="24"/>
                          <w:rFonts w:hint="eastAsia" w:ascii="黑体" w:eastAsia="黑体" w:cs="Arial"/>
                          <w:bCs/>
                          <w:kern w:val="0"/>
                        </w:rPr>
                        <w:t>（一）、国际原油市场回顾</w:t>
                      </w:r>
                      <w:r>
                        <w:tab/>
                      </w:r>
                      <w:r>
                        <w:fldChar w:fldCharType="begin"/>
                      </w:r>
                      <w:r>
                        <w:instrText xml:space="preserve"> PAGEREF _Toc505349998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"_Toc505349999" </w:instrText>
                      </w:r>
                      <w:r>
                        <w:fldChar w:fldCharType="separate"/>
                      </w:r>
                      <w:r>
                        <w:rPr>
                          <w:rStyle w:val="24"/>
                          <w:rFonts w:ascii="黑体" w:eastAsia="黑体"/>
                          <w:kern w:val="0"/>
                        </w:rPr>
                        <w:t xml:space="preserve">1.1  </w:t>
                      </w:r>
                      <w:r>
                        <w:rPr>
                          <w:rStyle w:val="24"/>
                          <w:rFonts w:hint="eastAsia" w:ascii="黑体" w:eastAsia="黑体" w:cs="Arial"/>
                          <w:kern w:val="0"/>
                        </w:rPr>
                        <w:t>国际原油收盘价涨跌情况（单位：美元</w:t>
                      </w:r>
                      <w:r>
                        <w:rPr>
                          <w:rStyle w:val="24"/>
                          <w:rFonts w:ascii="黑体" w:eastAsia="黑体" w:cs="Arial"/>
                          <w:kern w:val="0"/>
                        </w:rPr>
                        <w:t>/</w:t>
                      </w:r>
                      <w:r>
                        <w:rPr>
                          <w:rStyle w:val="24"/>
                          <w:rFonts w:hint="eastAsia" w:ascii="黑体" w:eastAsia="黑体" w:cs="Arial"/>
                          <w:kern w:val="0"/>
                        </w:rPr>
                        <w:t>桶）</w:t>
                      </w:r>
                      <w:r>
                        <w:tab/>
                      </w:r>
                      <w:r>
                        <w:fldChar w:fldCharType="begin"/>
                      </w:r>
                      <w:r>
                        <w:instrText xml:space="preserve"> PAGEREF _Toc505349999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"_Toc505350000" </w:instrText>
                      </w:r>
                      <w:r>
                        <w:fldChar w:fldCharType="separate"/>
                      </w:r>
                      <w:r>
                        <w:rPr>
                          <w:rStyle w:val="24"/>
                          <w:rFonts w:ascii="黑体" w:eastAsia="黑体"/>
                        </w:rPr>
                        <w:t xml:space="preserve">1.2  </w:t>
                      </w:r>
                      <w:r>
                        <w:rPr>
                          <w:rStyle w:val="24"/>
                          <w:rFonts w:hint="eastAsia" w:ascii="黑体" w:eastAsia="黑体"/>
                        </w:rPr>
                        <w:t>国际原油市场价格走势图</w:t>
                      </w:r>
                      <w:r>
                        <w:tab/>
                      </w:r>
                      <w:r>
                        <w:fldChar w:fldCharType="begin"/>
                      </w:r>
                      <w:r>
                        <w:instrText xml:space="preserve"> PAGEREF _Toc505350000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"_Toc505350001" </w:instrText>
                      </w:r>
                      <w:r>
                        <w:fldChar w:fldCharType="separate"/>
                      </w:r>
                      <w:r>
                        <w:rPr>
                          <w:rStyle w:val="24"/>
                          <w:rFonts w:hint="eastAsia" w:ascii="黑体" w:eastAsia="黑体"/>
                        </w:rPr>
                        <w:t>（二）</w:t>
                      </w:r>
                      <w:r>
                        <w:rPr>
                          <w:rStyle w:val="24"/>
                          <w:rFonts w:ascii="黑体" w:eastAsia="黑体"/>
                        </w:rPr>
                        <w:t>.</w:t>
                      </w:r>
                      <w:r>
                        <w:rPr>
                          <w:rStyle w:val="24"/>
                          <w:rFonts w:hint="eastAsia" w:ascii="黑体" w:eastAsia="黑体"/>
                        </w:rPr>
                        <w:t>近期影响国际原油市场的主要因素</w:t>
                      </w:r>
                      <w:r>
                        <w:tab/>
                      </w:r>
                      <w:r>
                        <w:fldChar w:fldCharType="begin"/>
                      </w:r>
                      <w:r>
                        <w:instrText xml:space="preserve"> PAGEREF _Toc505350001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"_Toc505350002" </w:instrText>
                      </w:r>
                      <w:r>
                        <w:fldChar w:fldCharType="separate"/>
                      </w:r>
                      <w:r>
                        <w:rPr>
                          <w:rStyle w:val="24"/>
                          <w:rFonts w:ascii="黑体" w:eastAsia="黑体"/>
                        </w:rPr>
                        <w:t>1</w:t>
                      </w:r>
                      <w:r>
                        <w:rPr>
                          <w:rStyle w:val="24"/>
                          <w:rFonts w:hint="eastAsia" w:ascii="黑体" w:eastAsia="黑体"/>
                        </w:rPr>
                        <w:t>、美国原油库存情况</w:t>
                      </w:r>
                      <w:r>
                        <w:tab/>
                      </w:r>
                      <w:r>
                        <w:fldChar w:fldCharType="begin"/>
                      </w:r>
                      <w:r>
                        <w:instrText xml:space="preserve"> PAGEREF _Toc505350002 \h </w:instrText>
                      </w:r>
                      <w:r>
                        <w:fldChar w:fldCharType="separate"/>
                      </w:r>
                      <w:r>
                        <w:t>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"_Toc505350003" </w:instrText>
                      </w:r>
                      <w:r>
                        <w:fldChar w:fldCharType="separate"/>
                      </w:r>
                      <w:r>
                        <w:rPr>
                          <w:rStyle w:val="24"/>
                          <w:rFonts w:ascii="黑体" w:eastAsia="黑体"/>
                        </w:rPr>
                        <w:t>2</w:t>
                      </w:r>
                      <w:r>
                        <w:rPr>
                          <w:rStyle w:val="24"/>
                          <w:rFonts w:hint="eastAsia" w:ascii="黑体" w:eastAsia="黑体"/>
                        </w:rPr>
                        <w:t>、美国经济形势</w:t>
                      </w:r>
                      <w:r>
                        <w:tab/>
                      </w:r>
                      <w:r>
                        <w:fldChar w:fldCharType="begin"/>
                      </w:r>
                      <w:r>
                        <w:instrText xml:space="preserve"> PAGEREF _Toc505350003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"_Toc505350004" </w:instrText>
                      </w:r>
                      <w:r>
                        <w:fldChar w:fldCharType="separate"/>
                      </w:r>
                      <w:r>
                        <w:rPr>
                          <w:rStyle w:val="24"/>
                          <w:rFonts w:ascii="黑体" w:eastAsia="黑体"/>
                        </w:rPr>
                        <w:t>3</w:t>
                      </w:r>
                      <w:r>
                        <w:rPr>
                          <w:rStyle w:val="24"/>
                          <w:rFonts w:hint="eastAsia" w:ascii="黑体" w:eastAsia="黑体"/>
                        </w:rPr>
                        <w:t>、世界经济形势</w:t>
                      </w:r>
                      <w:r>
                        <w:tab/>
                      </w:r>
                      <w:r>
                        <w:fldChar w:fldCharType="begin"/>
                      </w:r>
                      <w:r>
                        <w:instrText xml:space="preserve"> PAGEREF _Toc505350004 \h </w:instrText>
                      </w:r>
                      <w:r>
                        <w:fldChar w:fldCharType="separate"/>
                      </w:r>
                      <w:r>
                        <w:t>10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"_Toc505350005" </w:instrText>
                      </w:r>
                      <w:r>
                        <w:fldChar w:fldCharType="separate"/>
                      </w:r>
                      <w:r>
                        <w:rPr>
                          <w:rStyle w:val="24"/>
                          <w:rFonts w:hint="eastAsia" w:ascii="仿宋_GB2312" w:eastAsia="仿宋_GB2312"/>
                        </w:rPr>
                        <w:t>（三）</w:t>
                      </w:r>
                      <w:r>
                        <w:rPr>
                          <w:rStyle w:val="24"/>
                          <w:rFonts w:hint="eastAsia" w:cs="Arial"/>
                          <w:bCs/>
                          <w:kern w:val="0"/>
                        </w:rPr>
                        <w:t>、</w:t>
                      </w:r>
                      <w:r>
                        <w:rPr>
                          <w:rStyle w:val="24"/>
                          <w:rFonts w:cs="Arial"/>
                          <w:bCs/>
                          <w:kern w:val="0"/>
                        </w:rPr>
                        <w:t>201</w:t>
                      </w:r>
                      <w:r>
                        <w:rPr>
                          <w:rStyle w:val="24"/>
                          <w:rFonts w:hint="eastAsia" w:cs="Arial"/>
                          <w:bCs/>
                          <w:kern w:val="0"/>
                        </w:rPr>
                        <w:t>8年</w:t>
                      </w:r>
                      <w:r>
                        <w:rPr>
                          <w:rStyle w:val="24"/>
                          <w:rFonts w:hint="eastAsia" w:cs="Arial"/>
                          <w:bCs/>
                          <w:kern w:val="0"/>
                          <w:lang w:val="en-US" w:eastAsia="zh-CN"/>
                        </w:rPr>
                        <w:t>11</w:t>
                      </w:r>
                      <w:r>
                        <w:rPr>
                          <w:rStyle w:val="24"/>
                          <w:rFonts w:hint="eastAsia" w:cs="Arial"/>
                          <w:bCs/>
                          <w:kern w:val="0"/>
                        </w:rPr>
                        <w:t>月份全国原油进出口统计数据</w:t>
                      </w:r>
                      <w:r>
                        <w:tab/>
                      </w:r>
                      <w:r>
                        <w:fldChar w:fldCharType="begin"/>
                      </w:r>
                      <w:r>
                        <w:instrText xml:space="preserve"> PAGEREF _Toc505350005 \h </w:instrText>
                      </w:r>
                      <w:r>
                        <w:fldChar w:fldCharType="separate"/>
                      </w:r>
                      <w:r>
                        <w:t>13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"_Toc505350006" </w:instrText>
                      </w:r>
                      <w:r>
                        <w:fldChar w:fldCharType="separate"/>
                      </w:r>
                      <w:r>
                        <w:rPr>
                          <w:rStyle w:val="24"/>
                          <w:rFonts w:hint="eastAsia" w:ascii="仿宋_GB2312" w:eastAsia="仿宋_GB2312" w:cs="Arial"/>
                          <w:bCs/>
                          <w:kern w:val="0"/>
                        </w:rPr>
                        <w:t>（四）、后市预测</w:t>
                      </w:r>
                      <w:r>
                        <w:tab/>
                      </w:r>
                      <w:r>
                        <w:fldChar w:fldCharType="begin"/>
                      </w:r>
                      <w:r>
                        <w:instrText xml:space="preserve"> PAGEREF _Toc505350006 \h </w:instrText>
                      </w:r>
                      <w:r>
                        <w:fldChar w:fldCharType="separate"/>
                      </w:r>
                      <w:r>
                        <w:t>13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"_Toc505350007" </w:instrText>
                      </w:r>
                      <w:r>
                        <w:fldChar w:fldCharType="separate"/>
                      </w:r>
                      <w:r>
                        <w:rPr>
                          <w:rStyle w:val="24"/>
                          <w:rFonts w:hint="eastAsia" w:ascii="黑体" w:eastAsia="黑体"/>
                        </w:rPr>
                        <w:t>二、</w:t>
                      </w:r>
                      <w:r>
                        <w:rPr>
                          <w:rStyle w:val="24"/>
                          <w:rFonts w:ascii="黑体" w:eastAsia="黑体"/>
                        </w:rPr>
                        <w:t xml:space="preserve"> </w:t>
                      </w:r>
                      <w:r>
                        <w:rPr>
                          <w:rStyle w:val="24"/>
                          <w:rFonts w:hint="eastAsia" w:ascii="黑体" w:eastAsia="黑体"/>
                        </w:rPr>
                        <w:t>石脑油</w:t>
                      </w:r>
                      <w:r>
                        <w:tab/>
                      </w:r>
                      <w:r>
                        <w:fldChar w:fldCharType="begin"/>
                      </w:r>
                      <w:r>
                        <w:instrText xml:space="preserve"> PAGEREF _Toc505350007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"_Toc505350008" </w:instrText>
                      </w:r>
                      <w:r>
                        <w:fldChar w:fldCharType="separate"/>
                      </w:r>
                      <w:r>
                        <w:rPr>
                          <w:rStyle w:val="24"/>
                        </w:rPr>
                        <w:t>2.1</w:t>
                      </w:r>
                      <w:r>
                        <w:rPr>
                          <w:rStyle w:val="24"/>
                          <w:rFonts w:hint="eastAsia"/>
                          <w:kern w:val="0"/>
                        </w:rPr>
                        <w:t>国际石脑油市场价格</w:t>
                      </w:r>
                      <w:r>
                        <w:tab/>
                      </w:r>
                      <w:r>
                        <w:fldChar w:fldCharType="begin"/>
                      </w:r>
                      <w:r>
                        <w:instrText xml:space="preserve"> PAGEREF _Toc505350008 \h </w:instrText>
                      </w:r>
                      <w:r>
                        <w:fldChar w:fldCharType="separate"/>
                      </w:r>
                      <w:r>
                        <w:t>14</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"_Toc505350009" </w:instrText>
                      </w:r>
                      <w:r>
                        <w:fldChar w:fldCharType="separate"/>
                      </w:r>
                      <w:r>
                        <w:rPr>
                          <w:rStyle w:val="24"/>
                          <w:rFonts w:ascii="黑体" w:hAnsi="Times New Roman" w:eastAsia="黑体"/>
                        </w:rPr>
                        <w:t>2.</w:t>
                      </w:r>
                      <w:r>
                        <w:rPr>
                          <w:rStyle w:val="24"/>
                          <w:rFonts w:ascii="黑体" w:eastAsia="黑体"/>
                        </w:rPr>
                        <w:t>2</w:t>
                      </w:r>
                      <w:r>
                        <w:rPr>
                          <w:rStyle w:val="24"/>
                          <w:rFonts w:hint="eastAsia" w:ascii="黑体" w:eastAsia="黑体"/>
                        </w:rPr>
                        <w:t>地炼石脑油市场</w:t>
                      </w:r>
                      <w:r>
                        <w:tab/>
                      </w:r>
                      <w:r>
                        <w:fldChar w:fldCharType="begin"/>
                      </w:r>
                      <w:r>
                        <w:instrText xml:space="preserve"> PAGEREF _Toc505350009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"_Toc505350010" </w:instrText>
                      </w:r>
                      <w:r>
                        <w:fldChar w:fldCharType="separate"/>
                      </w:r>
                      <w:r>
                        <w:rPr>
                          <w:rStyle w:val="24"/>
                          <w:rFonts w:asciiTheme="minorEastAsia" w:hAnsiTheme="minorEastAsia"/>
                        </w:rPr>
                        <w:t>2.3</w:t>
                      </w:r>
                      <w:r>
                        <w:rPr>
                          <w:rStyle w:val="24"/>
                          <w:rFonts w:hint="eastAsia" w:asciiTheme="minorEastAsia" w:hAnsiTheme="minorEastAsia"/>
                        </w:rPr>
                        <w:t>本周国内石脑油价格汇总</w:t>
                      </w:r>
                      <w:r>
                        <w:tab/>
                      </w:r>
                      <w:r>
                        <w:fldChar w:fldCharType="begin"/>
                      </w:r>
                      <w:r>
                        <w:instrText xml:space="preserve"> PAGEREF _Toc505350010 \h </w:instrText>
                      </w:r>
                      <w:r>
                        <w:fldChar w:fldCharType="separate"/>
                      </w:r>
                      <w:r>
                        <w:t>15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"_Toc505350011" </w:instrText>
                      </w:r>
                      <w:r>
                        <w:fldChar w:fldCharType="separate"/>
                      </w:r>
                      <w:r>
                        <w:rPr>
                          <w:rStyle w:val="24"/>
                          <w:rFonts w:asciiTheme="minorEastAsia" w:hAnsiTheme="minorEastAsia"/>
                        </w:rPr>
                        <w:t>2.4</w:t>
                      </w:r>
                      <w:r>
                        <w:rPr>
                          <w:rStyle w:val="24"/>
                          <w:rFonts w:hint="eastAsia" w:asciiTheme="minorEastAsia" w:hAnsiTheme="minorEastAsia"/>
                        </w:rPr>
                        <w:t>山东地炼石脑油价格走势图</w:t>
                      </w:r>
                      <w:r>
                        <w:tab/>
                      </w:r>
                      <w:r>
                        <w:fldChar w:fldCharType="begin"/>
                      </w:r>
                      <w:r>
                        <w:instrText xml:space="preserve"> PAGEREF _Toc505350011 \h </w:instrText>
                      </w:r>
                      <w:r>
                        <w:fldChar w:fldCharType="separate"/>
                      </w:r>
                      <w:r>
                        <w:t>16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"_Toc505350012" </w:instrText>
                      </w:r>
                      <w:r>
                        <w:fldChar w:fldCharType="separate"/>
                      </w:r>
                      <w:r>
                        <w:rPr>
                          <w:rStyle w:val="24"/>
                          <w:rFonts w:hint="eastAsia" w:ascii="黑体" w:eastAsia="黑体"/>
                        </w:rPr>
                        <w:t>三、本周国内油品市场分析及预测</w:t>
                      </w:r>
                      <w:r>
                        <w:tab/>
                      </w:r>
                      <w:r>
                        <w:fldChar w:fldCharType="begin"/>
                      </w:r>
                      <w:r>
                        <w:instrText xml:space="preserve"> PAGEREF _Toc505350012 \h </w:instrText>
                      </w:r>
                      <w:r>
                        <w:fldChar w:fldCharType="separate"/>
                      </w:r>
                      <w:r>
                        <w:t>16</w:t>
                      </w:r>
                      <w:r>
                        <w:fldChar w:fldCharType="end"/>
                      </w:r>
                      <w:r>
                        <w:fldChar w:fldCharType="end"/>
                      </w:r>
                    </w:p>
                    <w:p>
                      <w:pPr>
                        <w:pStyle w:val="14"/>
                        <w:ind w:firstLine="241" w:firstLineChars="100"/>
                        <w:rPr>
                          <w:rFonts w:asciiTheme="minorHAnsi" w:hAnsiTheme="minorHAnsi" w:eastAsiaTheme="minorEastAsia" w:cstheme="minorBidi"/>
                          <w:b w:val="0"/>
                          <w:bCs w:val="0"/>
                          <w:caps w:val="0"/>
                          <w:color w:val="auto"/>
                          <w:sz w:val="21"/>
                          <w:szCs w:val="22"/>
                        </w:rPr>
                      </w:pPr>
                      <w:r>
                        <w:fldChar w:fldCharType="begin"/>
                      </w:r>
                      <w:r>
                        <w:instrText xml:space="preserve"> HYPERLINK \l "_Toc505350013" </w:instrText>
                      </w:r>
                      <w:r>
                        <w:fldChar w:fldCharType="separate"/>
                      </w:r>
                      <w:r>
                        <w:rPr>
                          <w:rStyle w:val="24"/>
                          <w:rFonts w:ascii="黑体" w:hAnsi="黑体"/>
                        </w:rPr>
                        <w:t>3</w:t>
                      </w:r>
                      <w:r>
                        <w:rPr>
                          <w:rStyle w:val="24"/>
                          <w:rFonts w:hint="eastAsia" w:ascii="黑体" w:hAnsi="黑体"/>
                        </w:rPr>
                        <w:t>.</w:t>
                      </w:r>
                      <w:r>
                        <w:rPr>
                          <w:rStyle w:val="24"/>
                          <w:rFonts w:ascii="黑体" w:hAnsi="黑体"/>
                        </w:rPr>
                        <w:t xml:space="preserve">1  </w:t>
                      </w:r>
                      <w:r>
                        <w:rPr>
                          <w:rStyle w:val="24"/>
                          <w:rFonts w:hint="eastAsia" w:ascii="黑体" w:hAnsi="黑体"/>
                        </w:rPr>
                        <w:t>成品油市场动态</w:t>
                      </w:r>
                      <w:r>
                        <w:tab/>
                      </w:r>
                      <w:r>
                        <w:fldChar w:fldCharType="begin"/>
                      </w:r>
                      <w:r>
                        <w:instrText xml:space="preserve"> PAGEREF _Toc505350013 \h </w:instrText>
                      </w:r>
                      <w:r>
                        <w:fldChar w:fldCharType="separate"/>
                      </w:r>
                      <w:r>
                        <w:t>17</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"_Toc505350014" </w:instrText>
                      </w:r>
                      <w:r>
                        <w:fldChar w:fldCharType="separate"/>
                      </w:r>
                      <w:r>
                        <w:rPr>
                          <w:rStyle w:val="24"/>
                          <w:rFonts w:hint="eastAsia" w:ascii="黑体"/>
                        </w:rPr>
                        <w:t>四、国内溶剂油市场综述</w:t>
                      </w:r>
                      <w:r>
                        <w:tab/>
                      </w:r>
                      <w:r>
                        <w:fldChar w:fldCharType="begin"/>
                      </w:r>
                      <w:r>
                        <w:instrText xml:space="preserve"> PAGEREF _Toc505350014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"_Toc505350015" </w:instrText>
                      </w:r>
                      <w:r>
                        <w:fldChar w:fldCharType="separate"/>
                      </w:r>
                      <w:r>
                        <w:rPr>
                          <w:rStyle w:val="24"/>
                          <w:rFonts w:hint="eastAsia" w:ascii="黑体"/>
                        </w:rPr>
                        <w:t>五、本周国内炼厂溶剂油产品价格对比</w:t>
                      </w:r>
                      <w:r>
                        <w:tab/>
                      </w:r>
                      <w:r>
                        <w:fldChar w:fldCharType="begin"/>
                      </w:r>
                      <w:r>
                        <w:instrText xml:space="preserve"> PAGEREF _Toc505350015 \h </w:instrText>
                      </w:r>
                      <w:r>
                        <w:fldChar w:fldCharType="separate"/>
                      </w:r>
                      <w:r>
                        <w:t>20</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"_Toc505350016" </w:instrText>
                      </w:r>
                      <w:r>
                        <w:fldChar w:fldCharType="separate"/>
                      </w:r>
                      <w:r>
                        <w:rPr>
                          <w:rStyle w:val="24"/>
                          <w:rFonts w:hint="eastAsia" w:ascii="黑体"/>
                        </w:rPr>
                        <w:t>六、</w:t>
                      </w:r>
                      <w:r>
                        <w:rPr>
                          <w:rStyle w:val="24"/>
                          <w:rFonts w:ascii="黑体"/>
                        </w:rPr>
                        <w:t>D</w:t>
                      </w:r>
                      <w:r>
                        <w:rPr>
                          <w:rStyle w:val="24"/>
                          <w:rFonts w:hint="eastAsia" w:ascii="黑体"/>
                        </w:rPr>
                        <w:t>系列特种溶剂油</w:t>
                      </w:r>
                      <w:r>
                        <w:tab/>
                      </w:r>
                      <w:r>
                        <w:fldChar w:fldCharType="begin"/>
                      </w:r>
                      <w:r>
                        <w:instrText xml:space="preserve"> PAGEREF _Toc505350016 \h </w:instrText>
                      </w:r>
                      <w:r>
                        <w:fldChar w:fldCharType="separate"/>
                      </w:r>
                      <w:r>
                        <w:t>23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"_Toc505350017" </w:instrText>
                      </w:r>
                      <w:r>
                        <w:fldChar w:fldCharType="separate"/>
                      </w:r>
                      <w:r>
                        <w:rPr>
                          <w:rStyle w:val="24"/>
                          <w:rFonts w:hint="eastAsia" w:ascii="黑体"/>
                        </w:rPr>
                        <w:t>七、重芳烃溶剂油</w:t>
                      </w:r>
                      <w:r>
                        <w:tab/>
                      </w:r>
                      <w:r>
                        <w:fldChar w:fldCharType="begin"/>
                      </w:r>
                      <w:r>
                        <w:instrText xml:space="preserve"> PAGEREF _Toc505350017 \h </w:instrText>
                      </w:r>
                      <w:r>
                        <w:fldChar w:fldCharType="separate"/>
                      </w:r>
                      <w:r>
                        <w:t>25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"_Toc505350018" </w:instrText>
                      </w:r>
                      <w:r>
                        <w:fldChar w:fldCharType="separate"/>
                      </w:r>
                      <w:r>
                        <w:rPr>
                          <w:rStyle w:val="24"/>
                          <w:rFonts w:hint="eastAsia" w:ascii="黑体"/>
                        </w:rPr>
                        <w:t>八、正己烷</w:t>
                      </w:r>
                      <w:r>
                        <w:tab/>
                      </w:r>
                      <w:r>
                        <w:fldChar w:fldCharType="begin"/>
                      </w:r>
                      <w:r>
                        <w:instrText xml:space="preserve"> PAGEREF _Toc505350018 \h </w:instrText>
                      </w:r>
                      <w:r>
                        <w:fldChar w:fldCharType="separate"/>
                      </w:r>
                      <w:r>
                        <w:t>26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"_Toc505350019" </w:instrText>
                      </w:r>
                      <w:r>
                        <w:fldChar w:fldCharType="separate"/>
                      </w:r>
                      <w:r>
                        <w:rPr>
                          <w:rStyle w:val="24"/>
                          <w:rFonts w:hint="eastAsia" w:ascii="黑体"/>
                        </w:rPr>
                        <w:t>九、</w:t>
                      </w:r>
                      <w:r>
                        <w:rPr>
                          <w:rStyle w:val="24"/>
                          <w:rFonts w:ascii="黑体"/>
                        </w:rPr>
                        <w:t>201</w:t>
                      </w:r>
                      <w:r>
                        <w:rPr>
                          <w:rStyle w:val="24"/>
                          <w:rFonts w:hint="eastAsia" w:ascii="黑体"/>
                        </w:rPr>
                        <w:t>8年</w:t>
                      </w:r>
                      <w:r>
                        <w:rPr>
                          <w:rStyle w:val="24"/>
                          <w:rFonts w:hint="eastAsia" w:ascii="黑体"/>
                          <w:lang w:val="en-US" w:eastAsia="zh-CN"/>
                        </w:rPr>
                        <w:t>11</w:t>
                      </w:r>
                      <w:r>
                        <w:rPr>
                          <w:rStyle w:val="24"/>
                          <w:rFonts w:hint="eastAsia" w:ascii="黑体"/>
                        </w:rPr>
                        <w:t>月中国溶剂</w:t>
                      </w:r>
                      <w:r>
                        <w:rPr>
                          <w:rStyle w:val="24"/>
                          <w:rFonts w:hint="eastAsia" w:ascii="黑体"/>
                          <w:lang w:eastAsia="zh-CN"/>
                        </w:rPr>
                        <w:t>油</w:t>
                      </w:r>
                      <w:r>
                        <w:rPr>
                          <w:rStyle w:val="24"/>
                          <w:rFonts w:hint="eastAsia" w:ascii="黑体"/>
                        </w:rPr>
                        <w:t>数据统计</w:t>
                      </w:r>
                      <w:r>
                        <w:tab/>
                      </w:r>
                      <w:r>
                        <w:fldChar w:fldCharType="begin"/>
                      </w:r>
                      <w:r>
                        <w:instrText xml:space="preserve"> PAGEREF _Toc505350019 \h </w:instrText>
                      </w:r>
                      <w:r>
                        <w:fldChar w:fldCharType="separate"/>
                      </w:r>
                      <w:r>
                        <w:t>26</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05349997"/>
      <w:bookmarkStart w:id="2" w:name="_Toc460250399"/>
      <w:r>
        <w:rPr>
          <w:rFonts w:hint="eastAsia" w:ascii="黑体" w:hAnsi="宋体" w:eastAsia="黑体" w:cs="Arial"/>
          <w:b/>
          <w:bCs/>
          <w:kern w:val="0"/>
          <w:sz w:val="30"/>
          <w:szCs w:val="30"/>
        </w:rPr>
        <w:t>一、国际原油</w:t>
      </w:r>
      <w:bookmarkEnd w:id="1"/>
      <w:bookmarkEnd w:id="2"/>
    </w:p>
    <w:p>
      <w:pPr>
        <w:outlineLvl w:val="1"/>
        <w:rPr>
          <w:b/>
          <w:sz w:val="32"/>
          <w:szCs w:val="32"/>
        </w:rPr>
      </w:pPr>
      <w:bookmarkStart w:id="3" w:name="_Toc505349998"/>
      <w:r>
        <w:rPr>
          <w:rFonts w:hint="eastAsia" w:ascii="黑体" w:hAnsi="宋体" w:eastAsia="黑体" w:cs="Arial"/>
          <w:b/>
          <w:bCs/>
          <w:kern w:val="0"/>
          <w:sz w:val="30"/>
          <w:szCs w:val="30"/>
        </w:rPr>
        <w:t>（一）、国际原油市场回顾</w:t>
      </w:r>
      <w:bookmarkEnd w:id="3"/>
    </w:p>
    <w:p>
      <w:pPr>
        <w:pStyle w:val="3"/>
        <w:spacing w:line="240" w:lineRule="auto"/>
        <w:ind w:firstLine="298" w:firstLineChars="99"/>
        <w:rPr>
          <w:rFonts w:ascii="黑体" w:hAnsi="宋体" w:eastAsia="黑体" w:cs="Arial"/>
          <w:b w:val="0"/>
          <w:kern w:val="0"/>
          <w:sz w:val="30"/>
          <w:szCs w:val="30"/>
        </w:rPr>
      </w:pPr>
      <w:bookmarkStart w:id="4" w:name="_Toc460250400"/>
      <w:bookmarkStart w:id="5" w:name="_Toc281568195"/>
      <w:bookmarkStart w:id="6" w:name="_Toc296600805"/>
      <w:bookmarkStart w:id="7" w:name="_Toc505349999"/>
      <w:r>
        <w:rPr>
          <w:rFonts w:hint="eastAsia" w:ascii="黑体" w:hAnsi="宋体" w:eastAsia="黑体"/>
          <w:kern w:val="0"/>
          <w:sz w:val="30"/>
          <w:szCs w:val="30"/>
        </w:rPr>
        <w:t xml:space="preserve">1. 1  </w:t>
      </w:r>
      <w:bookmarkEnd w:id="4"/>
      <w:bookmarkEnd w:id="5"/>
      <w:bookmarkEnd w:id="6"/>
      <w:r>
        <w:rPr>
          <w:rFonts w:hint="eastAsia" w:ascii="黑体" w:hAnsi="宋体" w:eastAsia="黑体" w:cs="Arial"/>
          <w:b w:val="0"/>
          <w:kern w:val="0"/>
          <w:sz w:val="30"/>
          <w:szCs w:val="30"/>
        </w:rPr>
        <w:t>国际原油收盘价涨跌情况（单位：美元/桶）</w:t>
      </w:r>
      <w:bookmarkEnd w:id="7"/>
    </w:p>
    <w:tbl>
      <w:tblPr>
        <w:tblStyle w:val="25"/>
        <w:tblW w:w="9776" w:type="dxa"/>
        <w:tblInd w:w="0" w:type="dxa"/>
        <w:tblLayout w:type="fixed"/>
        <w:tblCellMar>
          <w:top w:w="15" w:type="dxa"/>
          <w:left w:w="15" w:type="dxa"/>
          <w:bottom w:w="15" w:type="dxa"/>
          <w:right w:w="15" w:type="dxa"/>
        </w:tblCellMar>
      </w:tblPr>
      <w:tblGrid>
        <w:gridCol w:w="1473"/>
        <w:gridCol w:w="917"/>
        <w:gridCol w:w="918"/>
        <w:gridCol w:w="6468"/>
      </w:tblGrid>
      <w:tr>
        <w:tblPrEx>
          <w:tblLayout w:type="fixed"/>
          <w:tblCellMar>
            <w:top w:w="15" w:type="dxa"/>
            <w:left w:w="15" w:type="dxa"/>
            <w:bottom w:w="15" w:type="dxa"/>
            <w:right w:w="15" w:type="dxa"/>
          </w:tblCellMar>
        </w:tblPrEx>
        <w:trPr>
          <w:trHeight w:val="286" w:hRule="atLeast"/>
        </w:trPr>
        <w:tc>
          <w:tcPr>
            <w:tcW w:w="147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日期</w:t>
            </w:r>
          </w:p>
        </w:tc>
        <w:tc>
          <w:tcPr>
            <w:tcW w:w="917"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纽交所</w:t>
            </w:r>
          </w:p>
        </w:tc>
        <w:tc>
          <w:tcPr>
            <w:tcW w:w="91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伦交所</w:t>
            </w:r>
          </w:p>
        </w:tc>
        <w:tc>
          <w:tcPr>
            <w:tcW w:w="646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影响因素</w:t>
            </w:r>
          </w:p>
        </w:tc>
      </w:tr>
      <w:tr>
        <w:tblPrEx>
          <w:tblLayout w:type="fixed"/>
          <w:tblCellMar>
            <w:top w:w="15" w:type="dxa"/>
            <w:left w:w="15" w:type="dxa"/>
            <w:bottom w:w="15" w:type="dxa"/>
            <w:right w:w="15" w:type="dxa"/>
          </w:tblCellMar>
        </w:tblPrEx>
        <w:trPr>
          <w:trHeight w:val="72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2018-12-26</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46.22</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54.47</w:t>
            </w:r>
          </w:p>
        </w:tc>
        <w:tc>
          <w:tcPr>
            <w:tcW w:w="6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因石油输出国组织(OPEC)在油价跌至2017年低位后表态或进一步减产，这为油价提供有效支撑，同时美元维持低位也加大油价的反弹空间，加之节后部分买盘重新归位，油价收盘大幅上涨。</w:t>
            </w:r>
          </w:p>
        </w:tc>
      </w:tr>
      <w:tr>
        <w:tblPrEx>
          <w:tblLayout w:type="fixed"/>
          <w:tblCellMar>
            <w:top w:w="15" w:type="dxa"/>
            <w:left w:w="15" w:type="dxa"/>
            <w:bottom w:w="15" w:type="dxa"/>
            <w:right w:w="15" w:type="dxa"/>
          </w:tblCellMar>
        </w:tblPrEx>
        <w:trPr>
          <w:trHeight w:val="37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2018-12-25</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华文仿宋" w:hAnsi="华文仿宋" w:eastAsia="华文仿宋" w:cs="华文仿宋"/>
                <w:color w:val="000000"/>
                <w:sz w:val="28"/>
                <w:szCs w:val="28"/>
              </w:rPr>
            </w:pP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华文仿宋" w:hAnsi="华文仿宋" w:eastAsia="华文仿宋" w:cs="华文仿宋"/>
                <w:color w:val="000000"/>
                <w:sz w:val="28"/>
                <w:szCs w:val="28"/>
              </w:rPr>
            </w:pPr>
          </w:p>
        </w:tc>
        <w:tc>
          <w:tcPr>
            <w:tcW w:w="6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恰逢圣诞节假期，欧美期货市场休市，暂无原油收盘评述。</w:t>
            </w:r>
          </w:p>
        </w:tc>
      </w:tr>
      <w:tr>
        <w:tblPrEx>
          <w:tblLayout w:type="fixed"/>
          <w:tblCellMar>
            <w:top w:w="15" w:type="dxa"/>
            <w:left w:w="15" w:type="dxa"/>
            <w:bottom w:w="15" w:type="dxa"/>
            <w:right w:w="15" w:type="dxa"/>
          </w:tblCellMar>
        </w:tblPrEx>
        <w:trPr>
          <w:trHeight w:val="540"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2018-12-24</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42.53</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50.47</w:t>
            </w:r>
          </w:p>
        </w:tc>
        <w:tc>
          <w:tcPr>
            <w:tcW w:w="6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由于整个市场充斥着供应过剩的悲观情绪，加上股市崩盘令风险情绪大幅下挫，油价收盘大幅走跌。</w:t>
            </w:r>
          </w:p>
        </w:tc>
      </w:tr>
      <w:tr>
        <w:tblPrEx>
          <w:tblLayout w:type="fixed"/>
          <w:tblCellMar>
            <w:top w:w="15" w:type="dxa"/>
            <w:left w:w="15" w:type="dxa"/>
            <w:bottom w:w="15" w:type="dxa"/>
            <w:right w:w="15" w:type="dxa"/>
          </w:tblCellMar>
        </w:tblPrEx>
        <w:trPr>
          <w:trHeight w:val="55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2018-12-21</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45.59</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53.82</w:t>
            </w:r>
          </w:p>
        </w:tc>
        <w:tc>
          <w:tcPr>
            <w:tcW w:w="6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因市场担心供应过剩、能源需求前景，且美国加息打压股市走低令市场风险情绪惨遭重挫，油价收盘走跌。</w:t>
            </w:r>
          </w:p>
        </w:tc>
      </w:tr>
      <w:tr>
        <w:tblPrEx>
          <w:tblLayout w:type="fixed"/>
        </w:tblPrEx>
        <w:trPr>
          <w:trHeight w:val="555" w:hRule="atLeast"/>
        </w:trPr>
        <w:tc>
          <w:tcPr>
            <w:tcW w:w="1473"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2018-12-20</w:t>
            </w:r>
          </w:p>
        </w:tc>
        <w:tc>
          <w:tcPr>
            <w:tcW w:w="91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45.88</w:t>
            </w:r>
          </w:p>
        </w:tc>
        <w:tc>
          <w:tcPr>
            <w:tcW w:w="91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widowControl/>
              <w:jc w:val="center"/>
              <w:textAlignment w:val="bottom"/>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54.35</w:t>
            </w:r>
          </w:p>
        </w:tc>
        <w:tc>
          <w:tcPr>
            <w:tcW w:w="646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bidi="ar"/>
              </w:rPr>
              <w:t>尽管EIA原油库存小幅下降提振油价昨日短暂反弹，但投资者对能源需求疲软和供应过剩的担忧挥之不去，油价盘中小幅下降。</w:t>
            </w:r>
          </w:p>
        </w:tc>
      </w:tr>
    </w:tbl>
    <w:p/>
    <w:p>
      <w:pPr>
        <w:rPr>
          <w:rFonts w:ascii="宋体" w:hAnsi="宋体" w:cs="宋体"/>
          <w:kern w:val="0"/>
          <w:sz w:val="20"/>
          <w:szCs w:val="20"/>
        </w:rPr>
      </w:pPr>
    </w:p>
    <w:p>
      <w:pPr>
        <w:rPr>
          <w:rFonts w:ascii="宋体" w:hAnsi="宋体" w:cs="宋体"/>
          <w:kern w:val="0"/>
          <w:sz w:val="20"/>
          <w:szCs w:val="20"/>
        </w:rPr>
      </w:pPr>
    </w:p>
    <w:p>
      <w:pPr>
        <w:spacing w:line="360" w:lineRule="auto"/>
        <w:ind w:firstLine="301" w:firstLineChars="100"/>
        <w:outlineLvl w:val="1"/>
        <w:rPr>
          <w:rFonts w:ascii="黑体" w:eastAsia="黑体"/>
          <w:sz w:val="30"/>
          <w:szCs w:val="30"/>
        </w:rPr>
      </w:pPr>
      <w:bookmarkStart w:id="8" w:name="_Toc505350000"/>
      <w:r>
        <w:rPr>
          <w:rFonts w:hint="eastAsia" w:ascii="黑体" w:eastAsia="黑体"/>
          <w:b/>
          <w:bCs/>
          <w:sz w:val="30"/>
          <w:szCs w:val="30"/>
        </w:rPr>
        <w:t>1. 2</w:t>
      </w:r>
      <w:r>
        <w:rPr>
          <w:rFonts w:hint="eastAsia" w:ascii="黑体" w:eastAsia="黑体"/>
          <w:sz w:val="30"/>
          <w:szCs w:val="30"/>
        </w:rPr>
        <w:t xml:space="preserve">  国际原油市场价格走势图</w:t>
      </w:r>
      <w:bookmarkEnd w:id="8"/>
    </w:p>
    <w:p>
      <w:pPr>
        <w:spacing w:line="360" w:lineRule="auto"/>
        <w:jc w:val="center"/>
        <w:rPr>
          <w:rFonts w:hint="eastAsia" w:eastAsia="宋体"/>
          <w:sz w:val="20"/>
          <w:szCs w:val="20"/>
          <w:lang w:val="en-US" w:eastAsia="zh-CN"/>
        </w:rPr>
      </w:pPr>
      <w:r>
        <w:rPr>
          <w:rFonts w:hint="eastAsia"/>
          <w:sz w:val="20"/>
          <w:szCs w:val="20"/>
          <w:lang w:val="en-US" w:eastAsia="zh-CN"/>
        </w:rPr>
        <w:t xml:space="preserve"> </w:t>
      </w:r>
      <w:r>
        <w:drawing>
          <wp:inline distT="0" distB="0" distL="114300" distR="114300">
            <wp:extent cx="5389880" cy="3491865"/>
            <wp:effectExtent l="0" t="0" r="127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389880" cy="3491865"/>
                    </a:xfrm>
                    <a:prstGeom prst="rect">
                      <a:avLst/>
                    </a:prstGeom>
                    <a:noFill/>
                    <a:ln w="9525">
                      <a:noFill/>
                    </a:ln>
                  </pic:spPr>
                </pic:pic>
              </a:graphicData>
            </a:graphic>
          </wp:inline>
        </w:drawing>
      </w:r>
    </w:p>
    <w:p>
      <w:pPr>
        <w:outlineLvl w:val="1"/>
        <w:rPr>
          <w:rFonts w:ascii="黑体" w:hAnsi="宋体" w:eastAsia="黑体"/>
          <w:b/>
          <w:sz w:val="30"/>
          <w:szCs w:val="30"/>
        </w:rPr>
      </w:pPr>
      <w:bookmarkStart w:id="9" w:name="_Toc505350001"/>
      <w:bookmarkStart w:id="10" w:name="_Toc460250402"/>
      <w:bookmarkStart w:id="11" w:name="_Toc281568199"/>
      <w:bookmarkStart w:id="12" w:name="_Toc296600809"/>
      <w:bookmarkStart w:id="13" w:name="_Toc158203127"/>
      <w:bookmarkStart w:id="14" w:name="_Toc239847712"/>
      <w:r>
        <w:rPr>
          <w:rFonts w:hint="eastAsia" w:ascii="黑体" w:hAnsi="宋体" w:eastAsia="黑体"/>
          <w:b/>
          <w:sz w:val="30"/>
          <w:szCs w:val="30"/>
        </w:rPr>
        <w:t>（二）.近期影响国际原油市场的主要因素</w:t>
      </w:r>
      <w:bookmarkEnd w:id="9"/>
      <w:bookmarkEnd w:id="10"/>
      <w:bookmarkStart w:id="15" w:name="_Toc504051939"/>
      <w:bookmarkStart w:id="16" w:name="_Toc505350005"/>
    </w:p>
    <w:bookmarkEnd w:id="15"/>
    <w:p>
      <w:pPr>
        <w:numPr>
          <w:ilvl w:val="0"/>
          <w:numId w:val="1"/>
        </w:numPr>
        <w:outlineLvl w:val="1"/>
        <w:rPr>
          <w:rFonts w:hint="eastAsia" w:ascii="黑体" w:hAnsi="宋体" w:eastAsia="黑体"/>
          <w:b/>
          <w:sz w:val="28"/>
          <w:szCs w:val="28"/>
        </w:rPr>
      </w:pPr>
      <w:r>
        <w:rPr>
          <w:rFonts w:hint="eastAsia" w:ascii="黑体" w:hAnsi="宋体" w:eastAsia="黑体"/>
          <w:b/>
          <w:sz w:val="28"/>
          <w:szCs w:val="28"/>
        </w:rPr>
        <w:t>美国原油库存情况</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美国能源信息署(EIA)周三(12月12日)公布报告显示，截至12月7日当周，美国原油库存减少120.8万桶至4.42亿桶，市场预估为减少299万桶。更多数据显示，上周俄克拉荷马州库欣原油库存增加114.8万桶，连续3周录得增长。美国精炼油库存减少147.5万桶，市场预估为增加180.1万桶。美国汽油库存增加208.7万桶，增幅创8月10日当周(18周)以来最大，市场预估为增加246.1万桶。美国12月7日当周API原油库存 -1018万桶，前值 +536万桶。美国12月7日当周API库欣地区原油库存 +64.2万桶，前值 +144万桶。美国12月7日当周API汽油库存 -248.4万桶，前值 +361万桶。美国12月7日当周API精炼油库存 +71.2万桶，前值 +432万桶。</w:t>
      </w:r>
    </w:p>
    <w:p>
      <w:pPr>
        <w:pStyle w:val="19"/>
        <w:keepNext w:val="0"/>
        <w:keepLines w:val="0"/>
        <w:widowControl/>
        <w:suppressLineNumbers w:val="0"/>
        <w:rPr>
          <w:rFonts w:hint="eastAsia" w:ascii="华文仿宋" w:hAnsi="华文仿宋" w:eastAsia="华文仿宋" w:cs="宋体"/>
          <w:kern w:val="0"/>
          <w:sz w:val="28"/>
          <w:szCs w:val="28"/>
          <w:lang w:val="en-US" w:eastAsia="zh-CN" w:bidi="ar-SA"/>
        </w:rPr>
      </w:pPr>
    </w:p>
    <w:p>
      <w:pPr>
        <w:outlineLvl w:val="1"/>
        <w:rPr>
          <w:rFonts w:hint="eastAsia" w:ascii="华文仿宋" w:hAnsi="华文仿宋" w:eastAsia="华文仿宋" w:cs="宋体"/>
          <w:kern w:val="0"/>
          <w:sz w:val="28"/>
          <w:szCs w:val="28"/>
        </w:rPr>
      </w:pPr>
    </w:p>
    <w:p>
      <w:pPr>
        <w:numPr>
          <w:ilvl w:val="0"/>
          <w:numId w:val="1"/>
        </w:numPr>
        <w:outlineLvl w:val="1"/>
        <w:rPr>
          <w:rFonts w:hint="eastAsia" w:ascii="黑体" w:hAnsi="宋体" w:eastAsia="黑体"/>
          <w:b/>
          <w:sz w:val="28"/>
          <w:szCs w:val="28"/>
        </w:rPr>
      </w:pPr>
      <w:bookmarkStart w:id="17" w:name="_Toc504051940"/>
      <w:r>
        <w:rPr>
          <w:rFonts w:hint="eastAsia" w:ascii="黑体" w:hAnsi="宋体" w:eastAsia="黑体"/>
          <w:b/>
          <w:sz w:val="28"/>
          <w:szCs w:val="28"/>
        </w:rPr>
        <w:t>美国经济形势</w:t>
      </w:r>
      <w:bookmarkEnd w:id="17"/>
    </w:p>
    <w:p>
      <w:pPr>
        <w:pStyle w:val="19"/>
        <w:ind w:firstLine="560" w:firstLineChars="200"/>
        <w:rPr>
          <w:rFonts w:ascii="华文仿宋" w:hAnsi="华文仿宋" w:eastAsia="华文仿宋"/>
          <w:sz w:val="28"/>
          <w:szCs w:val="28"/>
        </w:rPr>
      </w:pPr>
      <w:r>
        <w:rPr>
          <w:rFonts w:ascii="华文仿宋" w:hAnsi="华文仿宋" w:eastAsia="华文仿宋"/>
          <w:sz w:val="28"/>
          <w:szCs w:val="28"/>
        </w:rPr>
        <w:t>北京时间27日凌晨，美股周三大涨，三大股指至少上涨约5%。科技、零售与能源板块领涨。道指飙升超过1086点，创史上最大单日上涨点数纪录。在周一美股重挫之后，特朗普呼吁投资者抄底。一位著名投资者也认为美股已非常接近底部，投资者应当回归股市。</w:t>
      </w:r>
    </w:p>
    <w:p>
      <w:pPr>
        <w:pStyle w:val="19"/>
        <w:rPr>
          <w:rFonts w:ascii="华文仿宋" w:hAnsi="华文仿宋" w:eastAsia="华文仿宋"/>
          <w:sz w:val="28"/>
          <w:szCs w:val="28"/>
        </w:rPr>
      </w:pPr>
      <w:r>
        <w:rPr>
          <w:rFonts w:ascii="华文仿宋" w:hAnsi="华文仿宋" w:eastAsia="华文仿宋"/>
          <w:sz w:val="28"/>
          <w:szCs w:val="28"/>
        </w:rPr>
        <w:t>　　美东时间12月26日16：00(北京时间12月27日05：00)，道指涨1086.25点，或4.98%，报22878.45点;标普500指数涨116.6点，或4.96%，报2467.70点;纳指涨361.44点，或5.84%，报6554.36点。</w:t>
      </w:r>
    </w:p>
    <w:p>
      <w:pPr>
        <w:pStyle w:val="19"/>
        <w:rPr>
          <w:rFonts w:ascii="华文仿宋" w:hAnsi="华文仿宋" w:eastAsia="华文仿宋"/>
          <w:sz w:val="28"/>
          <w:szCs w:val="28"/>
        </w:rPr>
      </w:pPr>
      <w:r>
        <w:rPr>
          <w:rFonts w:ascii="华文仿宋" w:hAnsi="华文仿宋" w:eastAsia="华文仿宋"/>
          <w:sz w:val="28"/>
          <w:szCs w:val="28"/>
        </w:rPr>
        <w:t>　　衡量市场恐慌程度的CBOE恐慌率指数(VIX)下降17.52%，报29.75点。</w:t>
      </w:r>
    </w:p>
    <w:p>
      <w:pPr>
        <w:pStyle w:val="19"/>
        <w:rPr>
          <w:rFonts w:ascii="华文仿宋" w:hAnsi="华文仿宋" w:eastAsia="华文仿宋"/>
          <w:sz w:val="28"/>
          <w:szCs w:val="28"/>
        </w:rPr>
      </w:pPr>
      <w:r>
        <w:rPr>
          <w:rFonts w:ascii="华文仿宋" w:hAnsi="华文仿宋" w:eastAsia="华文仿宋"/>
          <w:sz w:val="28"/>
          <w:szCs w:val="28"/>
        </w:rPr>
        <w:t>　　道指不仅创造了历史上最大的单日上涨点数纪录，还创造了历史上第二大单日百分比涨幅(最高纪录为2009年3月23日上涨5.8%)。</w:t>
      </w:r>
    </w:p>
    <w:p>
      <w:pPr>
        <w:pStyle w:val="19"/>
        <w:rPr>
          <w:rFonts w:ascii="华文仿宋" w:hAnsi="华文仿宋" w:eastAsia="华文仿宋"/>
          <w:sz w:val="28"/>
          <w:szCs w:val="28"/>
        </w:rPr>
      </w:pPr>
      <w:r>
        <w:rPr>
          <w:rFonts w:ascii="华文仿宋" w:hAnsi="华文仿宋" w:eastAsia="华文仿宋"/>
          <w:sz w:val="28"/>
          <w:szCs w:val="28"/>
        </w:rPr>
        <w:t>　　零售与能源板块领涨大盘。受到原油期货价格暴涨的推动，能源企业普遍收高。</w:t>
      </w:r>
    </w:p>
    <w:p>
      <w:pPr>
        <w:pStyle w:val="19"/>
        <w:rPr>
          <w:rFonts w:ascii="华文仿宋" w:hAnsi="华文仿宋" w:eastAsia="华文仿宋"/>
          <w:sz w:val="28"/>
          <w:szCs w:val="28"/>
        </w:rPr>
      </w:pPr>
      <w:r>
        <w:rPr>
          <w:rFonts w:ascii="华文仿宋" w:hAnsi="华文仿宋" w:eastAsia="华文仿宋"/>
          <w:sz w:val="28"/>
          <w:szCs w:val="28"/>
        </w:rPr>
        <w:t>　　尽管周三之前美股已连续遭遇重挫，但几乎所有华尔街主要公司都认为未来一年市场会走高。</w:t>
      </w:r>
    </w:p>
    <w:p>
      <w:pPr>
        <w:pStyle w:val="19"/>
        <w:rPr>
          <w:rFonts w:ascii="华文仿宋" w:hAnsi="华文仿宋" w:eastAsia="华文仿宋"/>
          <w:sz w:val="28"/>
          <w:szCs w:val="28"/>
        </w:rPr>
      </w:pPr>
      <w:r>
        <w:rPr>
          <w:rFonts w:ascii="华文仿宋" w:hAnsi="华文仿宋" w:eastAsia="华文仿宋"/>
          <w:sz w:val="28"/>
          <w:szCs w:val="28"/>
        </w:rPr>
        <w:t>　　券商古根海姆公司投资主管ScottMinerd周三表示，“美股已经非常接近底部，投资者应该入市了。”</w:t>
      </w:r>
    </w:p>
    <w:p>
      <w:pPr>
        <w:pStyle w:val="19"/>
        <w:rPr>
          <w:rFonts w:ascii="华文仿宋" w:hAnsi="华文仿宋" w:eastAsia="华文仿宋"/>
          <w:sz w:val="28"/>
          <w:szCs w:val="28"/>
        </w:rPr>
      </w:pPr>
      <w:r>
        <w:rPr>
          <w:rFonts w:ascii="华文仿宋" w:hAnsi="华文仿宋" w:eastAsia="华文仿宋"/>
          <w:sz w:val="28"/>
          <w:szCs w:val="28"/>
        </w:rPr>
        <w:t>　　圣诞节前，美股周一重挫，此前美国财政部长史蒂芬-姆努钦(StevenMnuchin)发布推文称，他已与美国六大银行的CEO进行了对话，并向他们保证如果美国股市继续下挫，将为他们提供充足的流动性支持。</w:t>
      </w:r>
    </w:p>
    <w:p>
      <w:pPr>
        <w:pStyle w:val="19"/>
        <w:rPr>
          <w:rFonts w:ascii="华文仿宋" w:hAnsi="华文仿宋" w:eastAsia="华文仿宋"/>
          <w:sz w:val="28"/>
          <w:szCs w:val="28"/>
        </w:rPr>
      </w:pPr>
      <w:r>
        <w:rPr>
          <w:rFonts w:ascii="华文仿宋" w:hAnsi="华文仿宋" w:eastAsia="华文仿宋"/>
          <w:sz w:val="28"/>
          <w:szCs w:val="28"/>
        </w:rPr>
        <w:t>　　但姆努钦的谈话使人担心：美国政府是否掌握了一些市场还没有了解到的情况?</w:t>
      </w:r>
    </w:p>
    <w:p>
      <w:pPr>
        <w:pStyle w:val="19"/>
        <w:rPr>
          <w:rFonts w:ascii="华文仿宋" w:hAnsi="华文仿宋" w:eastAsia="华文仿宋"/>
          <w:sz w:val="28"/>
          <w:szCs w:val="28"/>
        </w:rPr>
      </w:pPr>
      <w:r>
        <w:rPr>
          <w:rFonts w:ascii="华文仿宋" w:hAnsi="华文仿宋" w:eastAsia="华文仿宋"/>
          <w:sz w:val="28"/>
          <w:szCs w:val="28"/>
        </w:rPr>
        <w:t>　　在墨西哥卡波圣卢卡斯度假期间，姆努钦周一还与总统金融市场工作组召开了一次电话会议，“讨论协调工作以确保正常的市场运作。”</w:t>
      </w:r>
    </w:p>
    <w:p>
      <w:pPr>
        <w:pStyle w:val="19"/>
        <w:rPr>
          <w:rFonts w:ascii="华文仿宋" w:hAnsi="华文仿宋" w:eastAsia="华文仿宋"/>
          <w:sz w:val="28"/>
          <w:szCs w:val="28"/>
        </w:rPr>
      </w:pPr>
      <w:r>
        <w:rPr>
          <w:rFonts w:ascii="华文仿宋" w:hAnsi="华文仿宋" w:eastAsia="华文仿宋"/>
          <w:sz w:val="28"/>
          <w:szCs w:val="28"/>
        </w:rPr>
        <w:t>　　美国有线电视新闻网援引一位与白宫关系密切的消息人士报道称，尽管美国总统特朗普在公开场合对姆努钦这位内阁高级成员表示支持，但私下对他越来越感到沮丧，因此姆努钦的职位可能“岌岌可危”。</w:t>
      </w:r>
    </w:p>
    <w:p>
      <w:pPr>
        <w:pStyle w:val="19"/>
        <w:rPr>
          <w:rFonts w:ascii="华文仿宋" w:hAnsi="华文仿宋" w:eastAsia="华文仿宋"/>
          <w:sz w:val="28"/>
          <w:szCs w:val="28"/>
        </w:rPr>
      </w:pPr>
      <w:r>
        <w:rPr>
          <w:rFonts w:ascii="华文仿宋" w:hAnsi="华文仿宋" w:eastAsia="华文仿宋"/>
          <w:sz w:val="28"/>
          <w:szCs w:val="28"/>
        </w:rPr>
        <w:t>　　针对市场有关他想要解雇财长姆努钦的传闻，特朗普回应称对这位“非常有才能”的财长有信心。</w:t>
      </w:r>
    </w:p>
    <w:p>
      <w:pPr>
        <w:pStyle w:val="19"/>
        <w:rPr>
          <w:rFonts w:ascii="华文仿宋" w:hAnsi="华文仿宋" w:eastAsia="华文仿宋"/>
          <w:sz w:val="28"/>
          <w:szCs w:val="28"/>
        </w:rPr>
      </w:pPr>
      <w:r>
        <w:rPr>
          <w:rFonts w:ascii="华文仿宋" w:hAnsi="华文仿宋" w:eastAsia="华文仿宋"/>
          <w:sz w:val="28"/>
          <w:szCs w:val="28"/>
        </w:rPr>
        <w:t>　　姆努钦支持任命杰罗姆-鲍威尔(JeromePowell)为美联储主席，但后者的货币政策决定一再遭到特朗普的批评。还有一位白宫消息人士对媒体表示，姆努钦的工作没有达到特朗普的预期。</w:t>
      </w:r>
    </w:p>
    <w:p>
      <w:pPr>
        <w:pStyle w:val="19"/>
        <w:rPr>
          <w:rFonts w:ascii="华文仿宋" w:hAnsi="华文仿宋" w:eastAsia="华文仿宋"/>
          <w:sz w:val="28"/>
          <w:szCs w:val="28"/>
        </w:rPr>
      </w:pPr>
      <w:r>
        <w:rPr>
          <w:rFonts w:ascii="华文仿宋" w:hAnsi="华文仿宋" w:eastAsia="华文仿宋"/>
          <w:sz w:val="28"/>
          <w:szCs w:val="28"/>
        </w:rPr>
        <w:t>　　特朗普在圣诞节当天再次抨击美联储。他发表推文表示：“他们(美联储)加息太快，因为他们认为经济形势很好。但我认为他们很快就会明白这一点。”一些人认为，美股周一暴跌，在一定程度上应该归咎于长期批评美联储政策的特朗普。</w:t>
      </w:r>
    </w:p>
    <w:p>
      <w:pPr>
        <w:pStyle w:val="19"/>
        <w:rPr>
          <w:rFonts w:ascii="华文仿宋" w:hAnsi="华文仿宋" w:eastAsia="华文仿宋"/>
          <w:sz w:val="28"/>
          <w:szCs w:val="28"/>
        </w:rPr>
      </w:pPr>
      <w:r>
        <w:rPr>
          <w:rFonts w:ascii="华文仿宋" w:hAnsi="华文仿宋" w:eastAsia="华文仿宋"/>
          <w:sz w:val="28"/>
          <w:szCs w:val="28"/>
        </w:rPr>
        <w:t>　　特朗普还暗示：近期美国股市的大跌对于投资者来说是个抄底机会。不过许多分析师认为美股最近的重挫恰恰是特朗普的政策及白宫与国会僵局所致。</w:t>
      </w:r>
    </w:p>
    <w:p>
      <w:pPr>
        <w:pStyle w:val="19"/>
        <w:rPr>
          <w:rFonts w:ascii="华文仿宋" w:hAnsi="华文仿宋" w:eastAsia="华文仿宋"/>
          <w:sz w:val="28"/>
          <w:szCs w:val="28"/>
        </w:rPr>
      </w:pPr>
      <w:r>
        <w:rPr>
          <w:rFonts w:ascii="华文仿宋" w:hAnsi="华文仿宋" w:eastAsia="华文仿宋"/>
          <w:sz w:val="28"/>
          <w:szCs w:val="28"/>
        </w:rPr>
        <w:t>　　特朗普表示：“我对我们的公司充满信心。我们拥有世界上最伟大的公司，他们的表现非常出色。他们有许多创纪录的数字。我认为现在是一个巨大的购买机会。真的是很好的进场机会。”</w:t>
      </w:r>
    </w:p>
    <w:p>
      <w:pPr>
        <w:pStyle w:val="19"/>
        <w:rPr>
          <w:rFonts w:ascii="华文仿宋" w:hAnsi="华文仿宋" w:eastAsia="华文仿宋"/>
          <w:sz w:val="28"/>
          <w:szCs w:val="28"/>
        </w:rPr>
      </w:pPr>
      <w:r>
        <w:rPr>
          <w:rFonts w:ascii="华文仿宋" w:hAnsi="华文仿宋" w:eastAsia="华文仿宋"/>
          <w:sz w:val="28"/>
          <w:szCs w:val="28"/>
        </w:rPr>
        <w:t>　　与此同时，美国政府部分停摆的情况在周三进入了第五天，因特朗普要求为修建美墨边境墙提供经费，美国白宫和国会就此事仍然僵持不下。</w:t>
      </w:r>
    </w:p>
    <w:p>
      <w:pPr>
        <w:pStyle w:val="19"/>
        <w:rPr>
          <w:rFonts w:ascii="华文仿宋" w:hAnsi="华文仿宋" w:eastAsia="华文仿宋"/>
          <w:sz w:val="28"/>
          <w:szCs w:val="28"/>
        </w:rPr>
      </w:pPr>
      <w:r>
        <w:rPr>
          <w:rFonts w:ascii="华文仿宋" w:hAnsi="华文仿宋" w:eastAsia="华文仿宋"/>
          <w:sz w:val="28"/>
          <w:szCs w:val="28"/>
        </w:rPr>
        <w:t>　　周二美国联邦公共假日后，鲜有迹象显示出解决争议的紧迫性，也未有公开迹象显示局面取得进展。特朗普要求为边境墙提供50亿美元的经费，而民主党领导人提出拨款13亿美元用于边境安全。</w:t>
      </w:r>
    </w:p>
    <w:p>
      <w:pPr>
        <w:pStyle w:val="19"/>
        <w:rPr>
          <w:rFonts w:ascii="华文仿宋" w:hAnsi="华文仿宋" w:eastAsia="华文仿宋"/>
          <w:sz w:val="28"/>
          <w:szCs w:val="28"/>
        </w:rPr>
      </w:pPr>
      <w:r>
        <w:rPr>
          <w:rFonts w:ascii="华文仿宋" w:hAnsi="华文仿宋" w:eastAsia="华文仿宋"/>
          <w:sz w:val="28"/>
          <w:szCs w:val="28"/>
        </w:rPr>
        <w:t>　　特朗普对记者表示，除非同意修建边境墙，否则政府就会继续关门。当被问及这50亿美元的经费要求是否可以商量，特朗普说，“这很复杂。”他还补充道：“我们有些建墙的经费，但希望能再增加。”</w:t>
      </w:r>
    </w:p>
    <w:p>
      <w:pPr>
        <w:pStyle w:val="19"/>
        <w:rPr>
          <w:rFonts w:ascii="华文仿宋" w:hAnsi="华文仿宋" w:eastAsia="华文仿宋"/>
          <w:sz w:val="28"/>
          <w:szCs w:val="28"/>
        </w:rPr>
      </w:pPr>
      <w:r>
        <w:rPr>
          <w:rFonts w:ascii="华文仿宋" w:hAnsi="华文仿宋" w:eastAsia="华文仿宋"/>
          <w:sz w:val="28"/>
          <w:szCs w:val="28"/>
        </w:rPr>
        <w:t>　　美国国债收益率倒挂的状况也引起关注。周一纽约债市尾盘，美国1年期国债收益率降至2.5811%;两年期国债收益率降至2.5593%，创7月9日以来新低。这是2008年10月以来首次出现一年期与两年期的美债收益率出现倒挂现象。</w:t>
      </w:r>
    </w:p>
    <w:p>
      <w:pPr>
        <w:pStyle w:val="19"/>
        <w:rPr>
          <w:rFonts w:ascii="华文仿宋" w:hAnsi="华文仿宋" w:eastAsia="华文仿宋"/>
          <w:sz w:val="28"/>
          <w:szCs w:val="28"/>
        </w:rPr>
      </w:pPr>
      <w:r>
        <w:rPr>
          <w:rFonts w:ascii="华文仿宋" w:hAnsi="华文仿宋" w:eastAsia="华文仿宋"/>
          <w:sz w:val="28"/>
          <w:szCs w:val="28"/>
        </w:rPr>
        <w:t>　　一般而言，国债收益率倒挂意味着短期流动性紧张，引发短期国债利率快速上升，而长端利率走弱是由于担忧经济增长出现一些挑战。</w:t>
      </w:r>
    </w:p>
    <w:p>
      <w:pPr>
        <w:pStyle w:val="19"/>
        <w:rPr>
          <w:rFonts w:ascii="华文仿宋" w:hAnsi="华文仿宋" w:eastAsia="华文仿宋"/>
          <w:sz w:val="28"/>
          <w:szCs w:val="28"/>
        </w:rPr>
      </w:pPr>
      <w:r>
        <w:rPr>
          <w:rFonts w:ascii="华文仿宋" w:hAnsi="华文仿宋" w:eastAsia="华文仿宋"/>
          <w:sz w:val="28"/>
          <w:szCs w:val="28"/>
        </w:rPr>
        <w:t>　　其他市场表现</w:t>
      </w:r>
    </w:p>
    <w:p>
      <w:pPr>
        <w:pStyle w:val="19"/>
        <w:rPr>
          <w:rFonts w:ascii="华文仿宋" w:hAnsi="华文仿宋" w:eastAsia="华文仿宋"/>
          <w:sz w:val="28"/>
          <w:szCs w:val="28"/>
        </w:rPr>
      </w:pPr>
      <w:r>
        <w:rPr>
          <w:rFonts w:ascii="华文仿宋" w:hAnsi="华文仿宋" w:eastAsia="华文仿宋"/>
          <w:sz w:val="28"/>
          <w:szCs w:val="28"/>
        </w:rPr>
        <w:t>　　纽约商品交易所2月交割的西德州中质原油(WTI)期货价格上涨3.69美元，或8.7%，收于46.22美元/桶。在圣诞节前，周一该期货收跌6.7%。</w:t>
      </w:r>
    </w:p>
    <w:p>
      <w:pPr>
        <w:pStyle w:val="19"/>
        <w:rPr>
          <w:rFonts w:ascii="华文仿宋" w:hAnsi="华文仿宋" w:eastAsia="华文仿宋"/>
          <w:sz w:val="28"/>
          <w:szCs w:val="28"/>
        </w:rPr>
      </w:pPr>
      <w:r>
        <w:rPr>
          <w:rFonts w:ascii="华文仿宋" w:hAnsi="华文仿宋" w:eastAsia="华文仿宋"/>
          <w:sz w:val="28"/>
          <w:szCs w:val="28"/>
        </w:rPr>
        <w:t>　　美东时间周三下午2：29，作为全球原油价格基准的伦敦ICE布伦特原油期货价格上涨4.02美元，或8%，报54.49美元/桶。</w:t>
      </w:r>
    </w:p>
    <w:p>
      <w:pPr>
        <w:widowControl/>
        <w:jc w:val="left"/>
        <w:rPr>
          <w:rFonts w:hint="eastAsia" w:ascii="华文仿宋" w:hAnsi="华文仿宋" w:eastAsia="华文仿宋"/>
          <w:sz w:val="28"/>
          <w:szCs w:val="28"/>
        </w:rPr>
      </w:pPr>
    </w:p>
    <w:p>
      <w:pPr>
        <w:pStyle w:val="19"/>
        <w:numPr>
          <w:ilvl w:val="0"/>
          <w:numId w:val="1"/>
        </w:numPr>
        <w:outlineLvl w:val="1"/>
        <w:rPr>
          <w:rFonts w:ascii="华文仿宋" w:hAnsi="华文仿宋" w:eastAsia="华文仿宋"/>
          <w:sz w:val="28"/>
          <w:szCs w:val="28"/>
        </w:rPr>
      </w:pPr>
      <w:bookmarkStart w:id="18" w:name="_Toc504051941"/>
      <w:r>
        <w:rPr>
          <w:rFonts w:hint="eastAsia" w:ascii="黑体" w:eastAsia="黑体"/>
          <w:b/>
          <w:sz w:val="28"/>
          <w:szCs w:val="28"/>
        </w:rPr>
        <w:t>世界经济形势</w:t>
      </w:r>
      <w:bookmarkEnd w:id="18"/>
    </w:p>
    <w:p>
      <w:pPr>
        <w:pStyle w:val="19"/>
        <w:rPr>
          <w:rFonts w:ascii="华文仿宋" w:hAnsi="华文仿宋" w:eastAsia="华文仿宋"/>
          <w:sz w:val="28"/>
          <w:szCs w:val="28"/>
        </w:rPr>
      </w:pPr>
      <w:r>
        <w:rPr>
          <w:rFonts w:hint="eastAsia" w:ascii="华文仿宋" w:hAnsi="华文仿宋" w:eastAsia="华文仿宋" w:cs="华文仿宋"/>
          <w:sz w:val="28"/>
          <w:szCs w:val="28"/>
        </w:rPr>
        <w:t xml:space="preserve">　  </w:t>
      </w:r>
      <w:r>
        <w:rPr>
          <w:rFonts w:ascii="华文仿宋" w:hAnsi="华文仿宋" w:eastAsia="华文仿宋"/>
          <w:sz w:val="28"/>
          <w:szCs w:val="28"/>
        </w:rPr>
        <w:t>尽管12月26日布伦特原油一度出现大幅回落，但是俄罗斯官员及其最大石油公司的高管表现出一番勇敢的样子。</w:t>
      </w:r>
    </w:p>
    <w:p>
      <w:pPr>
        <w:pStyle w:val="19"/>
        <w:rPr>
          <w:rFonts w:ascii="华文仿宋" w:hAnsi="华文仿宋" w:eastAsia="华文仿宋"/>
          <w:sz w:val="28"/>
          <w:szCs w:val="28"/>
        </w:rPr>
      </w:pPr>
      <w:r>
        <w:rPr>
          <w:rFonts w:ascii="华文仿宋" w:hAnsi="华文仿宋" w:eastAsia="华文仿宋"/>
          <w:sz w:val="28"/>
          <w:szCs w:val="28"/>
        </w:rPr>
        <w:t>　　“油价下跌几乎不会打扰我们，因为我们的预算基于每桶42美元，”在总统普京周三与大型企业管理人士开会前，第一副总理Anton Siluanov对记者表示。</w:t>
      </w:r>
    </w:p>
    <w:p>
      <w:pPr>
        <w:pStyle w:val="19"/>
        <w:rPr>
          <w:rFonts w:ascii="华文仿宋" w:hAnsi="华文仿宋" w:eastAsia="华文仿宋"/>
          <w:sz w:val="28"/>
          <w:szCs w:val="28"/>
        </w:rPr>
      </w:pPr>
      <w:r>
        <w:rPr>
          <w:rFonts w:ascii="华文仿宋" w:hAnsi="华文仿宋" w:eastAsia="华文仿宋"/>
          <w:sz w:val="28"/>
          <w:szCs w:val="28"/>
        </w:rPr>
        <w:t>　　“价格可能会在一段时间内维持在40美元至50美元左右——六个月或一年，”因为美国生产商已经对其部分产量进行了对冲，Siluanov表示。“我们认为这不会持续很长时间，”但即使持续，俄罗斯仍有充足的财政储备。</w:t>
      </w:r>
    </w:p>
    <w:p>
      <w:pPr>
        <w:pStyle w:val="19"/>
        <w:rPr>
          <w:rFonts w:ascii="华文仿宋" w:hAnsi="华文仿宋" w:eastAsia="华文仿宋"/>
          <w:sz w:val="28"/>
          <w:szCs w:val="28"/>
        </w:rPr>
      </w:pPr>
      <w:r>
        <w:rPr>
          <w:rFonts w:ascii="华文仿宋" w:hAnsi="华文仿宋" w:eastAsia="华文仿宋"/>
          <w:sz w:val="28"/>
          <w:szCs w:val="28"/>
        </w:rPr>
        <w:t>　　26日布伦特原油在50.47美元，接近2017年8月以来的最低水平，市场担心出现新的供应过剩以及全球经济增长放缓。虽然石油输出国组织(OPEC)及其包括俄罗斯在内的盟国本月早些时候同意在2019年上半年减产，但投资者仍担心，鉴于预期中的美国产量增长，减产将不足以提振价格。但是随着美股大幅回升叠加俄罗斯官员乐观讲话，油价出现快速回升。</w:t>
      </w:r>
    </w:p>
    <w:p>
      <w:pPr>
        <w:pStyle w:val="19"/>
        <w:rPr>
          <w:rFonts w:ascii="华文仿宋" w:hAnsi="华文仿宋" w:eastAsia="华文仿宋"/>
          <w:sz w:val="28"/>
          <w:szCs w:val="28"/>
        </w:rPr>
      </w:pPr>
      <w:r>
        <w:rPr>
          <w:rFonts w:ascii="华文仿宋" w:hAnsi="华文仿宋" w:eastAsia="华文仿宋"/>
          <w:sz w:val="28"/>
          <w:szCs w:val="28"/>
        </w:rPr>
        <w:t>　　石油价格“本应该已经稳定下来了，因为每个人按理都应该对(OPEC+协议)感到害怕，”俄罗斯最大原油生产商俄罗斯石油公司的首席执行官IgorSechin表示。“但实际上没有人害怕。”</w:t>
      </w:r>
    </w:p>
    <w:p>
      <w:pPr>
        <w:pStyle w:val="19"/>
        <w:rPr>
          <w:rFonts w:ascii="华文仿宋" w:hAnsi="华文仿宋" w:eastAsia="华文仿宋"/>
          <w:sz w:val="28"/>
          <w:szCs w:val="28"/>
        </w:rPr>
      </w:pPr>
      <w:r>
        <w:rPr>
          <w:rFonts w:ascii="华文仿宋" w:hAnsi="华文仿宋" w:eastAsia="华文仿宋"/>
          <w:sz w:val="28"/>
          <w:szCs w:val="28"/>
        </w:rPr>
        <w:t>　　他表示，美国利率上升迫使投机者抛售头寸，推动石油价格走低。俄罗斯石油公司的“保守”估计是油价在2019年在每桶50至53美元。</w:t>
      </w:r>
    </w:p>
    <w:p>
      <w:pPr>
        <w:pStyle w:val="19"/>
        <w:rPr>
          <w:rFonts w:ascii="华文仿宋" w:hAnsi="华文仿宋" w:eastAsia="华文仿宋"/>
          <w:sz w:val="28"/>
          <w:szCs w:val="28"/>
        </w:rPr>
      </w:pPr>
      <w:r>
        <w:rPr>
          <w:rFonts w:ascii="华文仿宋" w:hAnsi="华文仿宋" w:eastAsia="华文仿宋"/>
          <w:sz w:val="28"/>
          <w:szCs w:val="28"/>
        </w:rPr>
        <w:t>　　俄罗斯第二大石油生产商LukoilPJSC的总裁VagitAlekperov预计，受益于OPEC+协议，明年原油价格将在60美元或稍高的水平企稳。</w:t>
      </w:r>
    </w:p>
    <w:p>
      <w:pPr>
        <w:pStyle w:val="19"/>
        <w:rPr>
          <w:rFonts w:ascii="华文仿宋" w:hAnsi="华文仿宋" w:eastAsia="华文仿宋"/>
          <w:sz w:val="28"/>
          <w:szCs w:val="28"/>
        </w:rPr>
      </w:pPr>
      <w:r>
        <w:rPr>
          <w:rFonts w:ascii="华文仿宋" w:hAnsi="华文仿宋" w:eastAsia="华文仿宋"/>
          <w:sz w:val="28"/>
          <w:szCs w:val="28"/>
        </w:rPr>
        <w:t>　　克里姆林宫发言人DmitryPeskov25日发布声明表示，现在评估OPEC+协议的有效性还为时过早，随着时间推移，该协议将对价格产生影响。</w:t>
      </w:r>
    </w:p>
    <w:p>
      <w:pPr>
        <w:pStyle w:val="19"/>
        <w:keepNext w:val="0"/>
        <w:keepLines w:val="0"/>
        <w:widowControl/>
        <w:suppressLineNumbers w:val="0"/>
        <w:ind w:firstLine="560" w:firstLineChars="200"/>
        <w:rPr>
          <w:rFonts w:hint="eastAsia" w:ascii="华文仿宋" w:hAnsi="华文仿宋" w:eastAsia="华文仿宋" w:cs="宋体"/>
          <w:kern w:val="0"/>
          <w:sz w:val="28"/>
          <w:szCs w:val="28"/>
          <w:lang w:val="en-US" w:eastAsia="zh-CN" w:bidi="ar-SA"/>
        </w:rPr>
      </w:pPr>
    </w:p>
    <w:p>
      <w:pPr>
        <w:outlineLvl w:val="1"/>
        <w:rPr>
          <w:rFonts w:ascii="宋体" w:hAnsi="宋体" w:cs="Arial"/>
          <w:b/>
          <w:bCs/>
          <w:kern w:val="0"/>
          <w:sz w:val="32"/>
          <w:szCs w:val="32"/>
        </w:rPr>
      </w:pPr>
      <w:r>
        <w:rPr>
          <w:rFonts w:hint="eastAsia" w:ascii="宋体" w:hAnsi="宋体" w:cs="宋体"/>
          <w:b/>
          <w:sz w:val="32"/>
          <w:szCs w:val="32"/>
          <w:lang w:val="en-US" w:eastAsia="zh-CN"/>
        </w:rPr>
        <w:t>(</w:t>
      </w:r>
      <w:r>
        <w:rPr>
          <w:rFonts w:hint="eastAsia" w:ascii="宋体" w:hAnsi="宋体" w:cs="宋体"/>
          <w:b/>
          <w:sz w:val="32"/>
          <w:szCs w:val="32"/>
        </w:rPr>
        <w:t>三</w:t>
      </w:r>
      <w:r>
        <w:rPr>
          <w:rFonts w:hint="eastAsia" w:ascii="宋体" w:hAnsi="宋体" w:cs="宋体"/>
          <w:b/>
          <w:sz w:val="32"/>
          <w:szCs w:val="32"/>
          <w:lang w:val="en-US" w:eastAsia="zh-CN"/>
        </w:rPr>
        <w:t>)</w:t>
      </w:r>
      <w:r>
        <w:rPr>
          <w:rFonts w:hint="eastAsia" w:ascii="宋体" w:hAnsi="宋体" w:cs="Arial"/>
          <w:b/>
          <w:bCs/>
          <w:kern w:val="0"/>
          <w:sz w:val="32"/>
          <w:szCs w:val="32"/>
        </w:rPr>
        <w:t>、2018年</w:t>
      </w:r>
      <w:r>
        <w:rPr>
          <w:rFonts w:hint="eastAsia" w:ascii="宋体" w:hAnsi="宋体" w:cs="Arial"/>
          <w:b/>
          <w:bCs/>
          <w:kern w:val="0"/>
          <w:sz w:val="32"/>
          <w:szCs w:val="32"/>
          <w:lang w:val="en-US" w:eastAsia="zh-CN"/>
        </w:rPr>
        <w:t>11</w:t>
      </w:r>
      <w:r>
        <w:rPr>
          <w:rFonts w:hint="eastAsia" w:ascii="宋体" w:hAnsi="宋体" w:cs="Arial"/>
          <w:b/>
          <w:bCs/>
          <w:kern w:val="0"/>
          <w:sz w:val="32"/>
          <w:szCs w:val="32"/>
        </w:rPr>
        <w:t>月份全国原油进出口统计数据</w:t>
      </w:r>
      <w:bookmarkEnd w:id="16"/>
    </w:p>
    <w:p>
      <w:pPr>
        <w:widowControl/>
        <w:spacing w:line="260" w:lineRule="atLeast"/>
        <w:jc w:val="center"/>
        <w:rPr>
          <w:rFonts w:ascii="宋体" w:hAnsi="宋体" w:cs="宋体"/>
          <w:b/>
          <w:bCs/>
          <w:kern w:val="0"/>
          <w:szCs w:val="21"/>
        </w:rPr>
      </w:pPr>
      <w:r>
        <w:rPr>
          <w:rFonts w:hint="eastAsia" w:ascii="宋体" w:hAnsi="宋体" w:cs="宋体"/>
          <w:b/>
          <w:bCs/>
          <w:kern w:val="0"/>
          <w:szCs w:val="21"/>
        </w:rPr>
        <w:t xml:space="preserve">                                                      </w:t>
      </w:r>
    </w:p>
    <w:tbl>
      <w:tblPr>
        <w:tblStyle w:val="25"/>
        <w:tblW w:w="9756" w:type="dxa"/>
        <w:tblInd w:w="-5" w:type="dxa"/>
        <w:shd w:val="clear" w:color="auto" w:fill="FFFFFF"/>
        <w:tblLayout w:type="fixed"/>
        <w:tblCellMar>
          <w:top w:w="0" w:type="dxa"/>
          <w:left w:w="0" w:type="dxa"/>
          <w:bottom w:w="0" w:type="dxa"/>
          <w:right w:w="0" w:type="dxa"/>
        </w:tblCellMar>
      </w:tblPr>
      <w:tblGrid>
        <w:gridCol w:w="1369"/>
        <w:gridCol w:w="629"/>
        <w:gridCol w:w="402"/>
        <w:gridCol w:w="533"/>
        <w:gridCol w:w="1628"/>
        <w:gridCol w:w="2092"/>
        <w:gridCol w:w="1320"/>
        <w:gridCol w:w="1783"/>
      </w:tblGrid>
      <w:tr>
        <w:tblPrEx>
          <w:shd w:val="clear" w:color="auto" w:fill="FFFFFF"/>
          <w:tblLayout w:type="fixed"/>
          <w:tblCellMar>
            <w:top w:w="0" w:type="dxa"/>
            <w:left w:w="0" w:type="dxa"/>
            <w:bottom w:w="0" w:type="dxa"/>
            <w:right w:w="0" w:type="dxa"/>
          </w:tblCellMar>
        </w:tblPrEx>
        <w:trPr>
          <w:trHeight w:val="270" w:hRule="atLeast"/>
        </w:trPr>
        <w:tc>
          <w:tcPr>
            <w:tcW w:w="1369" w:type="dxa"/>
            <w:tcBorders>
              <w:top w:val="single" w:color="333333" w:sz="4" w:space="0"/>
              <w:left w:val="single" w:color="333333" w:sz="4" w:space="0"/>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产品</w:t>
            </w:r>
          </w:p>
        </w:tc>
        <w:tc>
          <w:tcPr>
            <w:tcW w:w="629"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年度</w:t>
            </w:r>
          </w:p>
        </w:tc>
        <w:tc>
          <w:tcPr>
            <w:tcW w:w="40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月份</w:t>
            </w:r>
          </w:p>
        </w:tc>
        <w:tc>
          <w:tcPr>
            <w:tcW w:w="53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333333"/>
                <w:kern w:val="0"/>
                <w:sz w:val="28"/>
                <w:szCs w:val="28"/>
              </w:rPr>
              <w:t>产销国</w:t>
            </w:r>
          </w:p>
        </w:tc>
        <w:tc>
          <w:tcPr>
            <w:tcW w:w="1628"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进口数量/吨</w:t>
            </w:r>
          </w:p>
        </w:tc>
        <w:tc>
          <w:tcPr>
            <w:tcW w:w="2092"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进口金额/美元</w:t>
            </w:r>
          </w:p>
        </w:tc>
        <w:tc>
          <w:tcPr>
            <w:tcW w:w="1320"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出口数量/吨</w:t>
            </w:r>
          </w:p>
        </w:tc>
        <w:tc>
          <w:tcPr>
            <w:tcW w:w="1783" w:type="dxa"/>
            <w:tcBorders>
              <w:top w:val="single" w:color="333333" w:sz="4" w:space="0"/>
              <w:left w:val="nil"/>
              <w:bottom w:val="single" w:color="333333" w:sz="4" w:space="0"/>
              <w:right w:val="single" w:color="333333" w:sz="4" w:space="0"/>
            </w:tcBorders>
            <w:shd w:val="clear" w:color="auto" w:fill="00CC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出口金额/美元</w:t>
            </w:r>
          </w:p>
        </w:tc>
      </w:tr>
      <w:tr>
        <w:tblPrEx>
          <w:tblLayout w:type="fixed"/>
          <w:tblCellMar>
            <w:top w:w="0" w:type="dxa"/>
            <w:left w:w="0" w:type="dxa"/>
            <w:bottom w:w="0" w:type="dxa"/>
            <w:right w:w="0" w:type="dxa"/>
          </w:tblCellMar>
        </w:tblPrEx>
        <w:trPr>
          <w:trHeight w:val="270" w:hRule="atLeast"/>
        </w:trPr>
        <w:tc>
          <w:tcPr>
            <w:tcW w:w="1369" w:type="dxa"/>
            <w:vMerge w:val="restart"/>
            <w:tcBorders>
              <w:top w:val="single" w:color="333333" w:sz="4" w:space="0"/>
              <w:left w:val="single" w:color="333333" w:sz="4" w:space="0"/>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石油原油(包括从沥青矿物提取的原油)</w:t>
            </w: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印度尼西亚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40653.34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25346064.00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沙特阿拉伯</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6559086.72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3799894948.00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喀麦隆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274520.10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159589495.00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苏丹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142372.63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79205819.00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1597505.00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912909959.00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泰国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25362.03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15565737.00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刚果(布)</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911835.95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488114205.00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南苏丹共和国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248895.93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113509343.00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科威特</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1873420.00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1066267344.00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也门</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350540.93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203670399.00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赤道几内亚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225072.70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129964020.00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挪威</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133437.19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85050562.00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阿曼</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2776447.67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1570404500.00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阿尔及利亚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268525.13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164163889.00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利比亚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885974.67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523180489.00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马来西亚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833188.20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491653771.00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越南</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44414.44</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28043616.00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425818.46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246914969.00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阿塞拜疆</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369626.55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240045038.00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蒙古</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103478.90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42882263.00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哈萨克斯坦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382055.19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219528579.00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加纳</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395143.42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247439810.00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俄罗斯联邦</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6548835.91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3790140429.00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伊拉克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4489405.62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2460243791.00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阿联酋</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1683047.16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989595428.00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埃及</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314221.95</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158188628.00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英国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1010539.66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602684272.00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卡塔尔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105875.29</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73199655.00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安哥拉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3864267.16</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2157921285.00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尼日利亚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138935.00</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80985584.00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厄瓜多尔</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198688.82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109511633.00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委内瑞拉</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1139778.98</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529498771.00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墨西哥</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69175.22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35411984.00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哥伦比亚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889238.87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455402631.00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美国</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137908.22</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59015354.00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巴西</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2983655.73</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1586112356.00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澳大利亚</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190534.01</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112246681.00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加拿大</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240940.87</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103341004.00</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　</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日本</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131987.46</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75223977.00</w:t>
            </w:r>
          </w:p>
        </w:tc>
      </w:tr>
      <w:tr>
        <w:tblPrEx>
          <w:tblLayout w:type="fixed"/>
          <w:tblCellMar>
            <w:top w:w="0" w:type="dxa"/>
            <w:left w:w="0" w:type="dxa"/>
            <w:bottom w:w="0" w:type="dxa"/>
            <w:right w:w="0" w:type="dxa"/>
          </w:tblCellMar>
        </w:tblPrEx>
        <w:trPr>
          <w:trHeight w:val="270" w:hRule="atLeast"/>
        </w:trPr>
        <w:tc>
          <w:tcPr>
            <w:tcW w:w="1369" w:type="dxa"/>
            <w:vMerge w:val="continue"/>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p>
        </w:tc>
        <w:tc>
          <w:tcPr>
            <w:tcW w:w="629"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191919"/>
                <w:kern w:val="0"/>
                <w:sz w:val="28"/>
                <w:szCs w:val="28"/>
              </w:rPr>
              <w:t>2018年</w:t>
            </w:r>
          </w:p>
        </w:tc>
        <w:tc>
          <w:tcPr>
            <w:tcW w:w="40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11月</w:t>
            </w:r>
          </w:p>
        </w:tc>
        <w:tc>
          <w:tcPr>
            <w:tcW w:w="53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新加坡</w:t>
            </w:r>
          </w:p>
        </w:tc>
        <w:tc>
          <w:tcPr>
            <w:tcW w:w="1628"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2092"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w:t>
            </w:r>
          </w:p>
        </w:tc>
        <w:tc>
          <w:tcPr>
            <w:tcW w:w="1320"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130508.98</w:t>
            </w:r>
          </w:p>
        </w:tc>
        <w:tc>
          <w:tcPr>
            <w:tcW w:w="1783" w:type="dxa"/>
            <w:tcBorders>
              <w:top w:val="single" w:color="333333" w:sz="4" w:space="0"/>
              <w:left w:val="nil"/>
              <w:bottom w:val="single" w:color="333333" w:sz="4" w:space="0"/>
              <w:right w:val="single" w:color="333333" w:sz="4" w:space="0"/>
            </w:tcBorders>
            <w:shd w:val="clear" w:color="auto" w:fill="auto"/>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color w:val="333333"/>
                <w:kern w:val="0"/>
                <w:sz w:val="28"/>
                <w:szCs w:val="28"/>
              </w:rPr>
              <w:t>80170232.00</w:t>
            </w:r>
          </w:p>
        </w:tc>
      </w:tr>
      <w:tr>
        <w:tblPrEx>
          <w:tblLayout w:type="fixed"/>
        </w:tblPrEx>
        <w:trPr>
          <w:trHeight w:val="270" w:hRule="atLeast"/>
        </w:trPr>
        <w:tc>
          <w:tcPr>
            <w:tcW w:w="2933" w:type="dxa"/>
            <w:gridSpan w:val="4"/>
            <w:tcBorders>
              <w:top w:val="single" w:color="333333" w:sz="4" w:space="0"/>
              <w:left w:val="single" w:color="333333" w:sz="4" w:space="0"/>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2018年11月合计</w:t>
            </w:r>
          </w:p>
        </w:tc>
        <w:tc>
          <w:tcPr>
            <w:tcW w:w="1628"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42872423.61</w:t>
            </w:r>
          </w:p>
        </w:tc>
        <w:tc>
          <w:tcPr>
            <w:tcW w:w="2092"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24156844305.00</w:t>
            </w:r>
          </w:p>
        </w:tc>
        <w:tc>
          <w:tcPr>
            <w:tcW w:w="1320"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262496.44</w:t>
            </w:r>
          </w:p>
        </w:tc>
        <w:tc>
          <w:tcPr>
            <w:tcW w:w="1783" w:type="dxa"/>
            <w:tcBorders>
              <w:top w:val="single" w:color="333333" w:sz="4" w:space="0"/>
              <w:left w:val="nil"/>
              <w:bottom w:val="single" w:color="333333" w:sz="4" w:space="0"/>
              <w:right w:val="single" w:color="333333" w:sz="4" w:space="0"/>
            </w:tcBorders>
            <w:shd w:val="clear" w:color="auto" w:fill="FFFFFF"/>
            <w:noWrap w:val="0"/>
            <w:vAlign w:val="center"/>
          </w:tcPr>
          <w:p>
            <w:pPr>
              <w:widowControl/>
              <w:jc w:val="left"/>
              <w:rPr>
                <w:rFonts w:ascii="华文仿宋" w:hAnsi="华文仿宋" w:eastAsia="华文仿宋" w:cs="Helvetica"/>
                <w:color w:val="333333"/>
                <w:kern w:val="0"/>
                <w:sz w:val="28"/>
                <w:szCs w:val="28"/>
              </w:rPr>
            </w:pPr>
            <w:r>
              <w:rPr>
                <w:rFonts w:hint="eastAsia" w:ascii="华文仿宋" w:hAnsi="华文仿宋" w:eastAsia="华文仿宋" w:cs="Helvetica"/>
                <w:b/>
                <w:bCs/>
                <w:color w:val="191919"/>
                <w:kern w:val="0"/>
                <w:sz w:val="28"/>
                <w:szCs w:val="28"/>
              </w:rPr>
              <w:t>155394209.00</w:t>
            </w:r>
          </w:p>
        </w:tc>
      </w:tr>
    </w:tbl>
    <w:p>
      <w:pPr>
        <w:widowControl/>
        <w:spacing w:line="260" w:lineRule="atLeast"/>
        <w:jc w:val="center"/>
        <w:rPr>
          <w:rFonts w:ascii="宋体" w:hAnsi="宋体" w:cs="宋体"/>
          <w:b/>
          <w:bCs/>
          <w:kern w:val="0"/>
          <w:szCs w:val="21"/>
        </w:rPr>
      </w:pPr>
    </w:p>
    <w:p>
      <w:pPr>
        <w:widowControl/>
        <w:spacing w:line="260" w:lineRule="atLeast"/>
        <w:jc w:val="center"/>
        <w:rPr>
          <w:rFonts w:ascii="宋体" w:hAnsi="宋体" w:cs="宋体"/>
          <w:b/>
          <w:bCs/>
          <w:kern w:val="0"/>
          <w:szCs w:val="21"/>
        </w:rPr>
      </w:pPr>
    </w:p>
    <w:p>
      <w:pPr>
        <w:tabs>
          <w:tab w:val="left" w:pos="798"/>
        </w:tabs>
        <w:outlineLvl w:val="1"/>
        <w:rPr>
          <w:rFonts w:ascii="仿宋_GB2312" w:hAnsi="宋体" w:eastAsia="仿宋_GB2312" w:cs="Arial"/>
          <w:b/>
          <w:bCs/>
          <w:kern w:val="0"/>
          <w:sz w:val="30"/>
          <w:szCs w:val="30"/>
        </w:rPr>
      </w:pPr>
      <w:bookmarkStart w:id="19" w:name="_Toc505350006"/>
    </w:p>
    <w:p>
      <w:pPr>
        <w:tabs>
          <w:tab w:val="left" w:pos="798"/>
        </w:tabs>
        <w:outlineLvl w:val="1"/>
        <w:rPr>
          <w:rFonts w:ascii="宋体" w:hAnsi="宋体" w:cs="宋体"/>
          <w:b/>
          <w:bCs/>
          <w:kern w:val="0"/>
          <w:sz w:val="32"/>
          <w:szCs w:val="32"/>
        </w:rPr>
      </w:pPr>
      <w:r>
        <w:rPr>
          <w:rFonts w:hint="eastAsia" w:ascii="宋体" w:hAnsi="宋体" w:cs="宋体"/>
          <w:b/>
          <w:bCs/>
          <w:kern w:val="0"/>
          <w:sz w:val="32"/>
          <w:szCs w:val="32"/>
        </w:rPr>
        <w:t>（四）、后市预测</w:t>
      </w:r>
      <w:bookmarkEnd w:id="19"/>
    </w:p>
    <w:p>
      <w:pPr>
        <w:pStyle w:val="19"/>
        <w:ind w:firstLine="560" w:firstLineChars="200"/>
        <w:rPr>
          <w:rFonts w:hint="eastAsia" w:ascii="华文仿宋" w:hAnsi="华文仿宋" w:eastAsia="华文仿宋"/>
          <w:sz w:val="28"/>
          <w:szCs w:val="28"/>
        </w:rPr>
      </w:pPr>
      <w:r>
        <w:rPr>
          <w:rFonts w:ascii="华文仿宋" w:hAnsi="华文仿宋" w:eastAsia="华文仿宋"/>
          <w:sz w:val="28"/>
          <w:szCs w:val="28"/>
        </w:rPr>
        <w:t>本周WTI原油价格在</w:t>
      </w:r>
      <w:r>
        <w:rPr>
          <w:rFonts w:hint="eastAsia" w:ascii="华文仿宋" w:hAnsi="华文仿宋" w:eastAsia="华文仿宋"/>
          <w:sz w:val="28"/>
          <w:szCs w:val="28"/>
        </w:rPr>
        <w:t>42.53</w:t>
      </w:r>
      <w:r>
        <w:rPr>
          <w:rFonts w:ascii="华文仿宋" w:hAnsi="华文仿宋" w:eastAsia="华文仿宋"/>
          <w:sz w:val="28"/>
          <w:szCs w:val="28"/>
        </w:rPr>
        <w:t>-</w:t>
      </w:r>
      <w:r>
        <w:rPr>
          <w:rFonts w:hint="eastAsia" w:ascii="华文仿宋" w:hAnsi="华文仿宋" w:eastAsia="华文仿宋"/>
          <w:sz w:val="28"/>
          <w:szCs w:val="28"/>
        </w:rPr>
        <w:t>46.22</w:t>
      </w:r>
      <w:r>
        <w:rPr>
          <w:rFonts w:ascii="华文仿宋" w:hAnsi="华文仿宋" w:eastAsia="华文仿宋"/>
          <w:sz w:val="28"/>
          <w:szCs w:val="28"/>
        </w:rPr>
        <w:t>美元/桶，布伦特原油价格在</w:t>
      </w:r>
      <w:r>
        <w:rPr>
          <w:rFonts w:hint="eastAsia" w:ascii="华文仿宋" w:hAnsi="华文仿宋" w:eastAsia="华文仿宋"/>
          <w:sz w:val="28"/>
          <w:szCs w:val="28"/>
        </w:rPr>
        <w:t>50.47</w:t>
      </w:r>
      <w:r>
        <w:rPr>
          <w:rFonts w:ascii="华文仿宋" w:hAnsi="华文仿宋" w:eastAsia="华文仿宋"/>
          <w:sz w:val="28"/>
          <w:szCs w:val="28"/>
        </w:rPr>
        <w:t>-</w:t>
      </w:r>
      <w:r>
        <w:rPr>
          <w:rFonts w:hint="eastAsia" w:ascii="华文仿宋" w:hAnsi="华文仿宋" w:eastAsia="华文仿宋"/>
          <w:sz w:val="28"/>
          <w:szCs w:val="28"/>
        </w:rPr>
        <w:t>54.47</w:t>
      </w:r>
      <w:r>
        <w:rPr>
          <w:rFonts w:ascii="华文仿宋" w:hAnsi="华文仿宋" w:eastAsia="华文仿宋"/>
          <w:sz w:val="28"/>
          <w:szCs w:val="28"/>
        </w:rPr>
        <w:t>美元/桶震荡</w:t>
      </w:r>
      <w:r>
        <w:rPr>
          <w:rFonts w:hint="eastAsia" w:ascii="华文仿宋" w:hAnsi="华文仿宋" w:eastAsia="华文仿宋"/>
          <w:sz w:val="28"/>
          <w:szCs w:val="28"/>
        </w:rPr>
        <w:t>。</w:t>
      </w:r>
      <w:r>
        <w:rPr>
          <w:rFonts w:ascii="华文仿宋" w:hAnsi="华文仿宋" w:eastAsia="华文仿宋"/>
          <w:sz w:val="28"/>
          <w:szCs w:val="28"/>
        </w:rPr>
        <w:t>周内美国加息打压股市走低令市场风险情绪惨遭重挫，国际油价全面下跌。周内前期，原油空头占据主场，油市悲观情绪蔓延，沙特表态扩大减产并未对油价起到有效提振作用，此外市场担心供应过剩、能源需求前景，加之美元反弹以及股市的继续下跌已经令市场风险情绪惨遭重挫，悲观情绪充斥整个原油市场，令空头不断逢高卖出，国际油价持续下跌。周内后期，进入圣诞假期市场交投清淡，这令空头可以进一步下攻低位，全球经济放缓忧虑以及股市暴跌引发对的避险情绪依然是油价进一步走低的主要影响因素，美国WTI原油和布伦特原油第四季度跌幅已经接近40%，触及18个月来新低，不过因石油输出国组织(OPEC)在油价跌至2017年低位后表态或进一步减产，这为油价提供有效支撑，同时美元维持低位也加大油价的反弹空间，加之节后部分买盘重新归位，原油收盘先跌后涨，但前期跌幅过大致整体全面走低。此外，美国油服公司贝克休斯(Baker Hughes)周五(12月21日)公布数据显示，截至12月21日当周，美国石油活跃钻井数增加10座至883座，三周来首次录得上升，尽管油价已经跌至2017年7月以来最低水平，去年同期为747座。更多数据显示，截至12月21日当周美国石油和天然气活跃钻井总数增加9座至1080座。整体看来，周内国际原油市场中利空消息占据主导地位，国际油价呈现全面下跌走势。其中WTI期货本周均价44.55美元/桶，较上周下跌9.85%，较上月下跌21.29%;本周布伦特期货均价52.72美元/桶，较上周下跌10.60%，较上月下跌20.07%。 后市预测：目前国际原油市场暂无重大利好消息传出，近期原油价格暴跌令OPEC进一步表态减产，但是真正落实减产需要一定的周期，加之美国原油产出量一直持续高位，市场对OPEC减产的影响有多大持观望态度，此外，市场预测未来全球经济走势低迷，这必将影响石油需求市场，进一步加大了原油供需矛盾，国际原油缺乏实质性的走高动力，油价趋势性大幅反弹可能极小，综合来看，近期国际油市不确定性因素尚多，如果市场没有重大利好消息支撑，国际油价或继续走低态势。后市预测：预计近期WTI原油期货价格在45-51美元/桶之间浮动，布伦特原油期货均价在53-58美元/桶之间浮动。</w:t>
      </w:r>
    </w:p>
    <w:p>
      <w:pPr>
        <w:pStyle w:val="19"/>
        <w:keepNext w:val="0"/>
        <w:keepLines w:val="0"/>
        <w:widowControl/>
        <w:suppressLineNumbers w:val="0"/>
        <w:ind w:firstLine="602" w:firstLineChars="200"/>
        <w:rPr>
          <w:rFonts w:hint="eastAsia" w:ascii="仿宋_GB2312" w:hAnsi="宋体" w:eastAsia="仿宋_GB2312" w:cs="Arial"/>
          <w:b/>
          <w:bCs/>
          <w:kern w:val="0"/>
          <w:sz w:val="30"/>
          <w:szCs w:val="30"/>
          <w:lang w:val="en-US" w:eastAsia="zh-CN"/>
        </w:rPr>
      </w:pPr>
    </w:p>
    <w:p>
      <w:pPr>
        <w:spacing w:line="360" w:lineRule="auto"/>
        <w:outlineLvl w:val="0"/>
        <w:rPr>
          <w:rFonts w:ascii="黑体" w:hAnsi="宋体" w:eastAsia="黑体"/>
          <w:b/>
          <w:sz w:val="28"/>
          <w:szCs w:val="28"/>
        </w:rPr>
      </w:pPr>
      <w:bookmarkStart w:id="20" w:name="_Toc505350007"/>
      <w:r>
        <w:rPr>
          <w:rFonts w:hint="eastAsia" w:ascii="黑体" w:hAnsi="宋体" w:eastAsia="黑体"/>
          <w:b/>
          <w:sz w:val="28"/>
          <w:szCs w:val="28"/>
        </w:rPr>
        <w:t>二、 石脑油</w:t>
      </w:r>
      <w:bookmarkEnd w:id="20"/>
    </w:p>
    <w:p>
      <w:pPr>
        <w:pStyle w:val="3"/>
        <w:spacing w:line="240" w:lineRule="auto"/>
        <w:rPr>
          <w:rFonts w:ascii="宋体" w:hAnsi="宋体" w:cs="Arial"/>
          <w:b w:val="0"/>
          <w:bCs w:val="0"/>
          <w:kern w:val="0"/>
          <w:szCs w:val="28"/>
        </w:rPr>
      </w:pPr>
      <w:bookmarkStart w:id="21" w:name="_Toc505350008"/>
      <w:bookmarkStart w:id="22" w:name="_Toc460250404"/>
      <w:r>
        <w:rPr>
          <w:rFonts w:hint="eastAsia"/>
        </w:rPr>
        <w:t>2. 1</w:t>
      </w:r>
      <w:r>
        <w:rPr>
          <w:rFonts w:hint="eastAsia"/>
          <w:kern w:val="0"/>
        </w:rPr>
        <w:t>国际石脑油市场价格</w:t>
      </w:r>
      <w:bookmarkEnd w:id="11"/>
      <w:bookmarkEnd w:id="12"/>
      <w:bookmarkEnd w:id="21"/>
      <w:bookmarkEnd w:id="22"/>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5"/>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806"/>
        <w:gridCol w:w="2125"/>
        <w:gridCol w:w="1599"/>
        <w:gridCol w:w="2157"/>
        <w:gridCol w:w="22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lang w:val="en-US" w:eastAsia="zh-CN"/>
              </w:rPr>
            </w:pPr>
            <w:bookmarkStart w:id="23" w:name="_Toc281568202"/>
            <w:bookmarkStart w:id="24" w:name="_Toc239847715"/>
            <w:bookmarkStart w:id="25" w:name="_Toc296600812"/>
            <w:bookmarkStart w:id="26" w:name="_Toc460250405"/>
            <w:bookmarkStart w:id="27" w:name="_Toc505350009"/>
            <w:r>
              <w:rPr>
                <w:rFonts w:hint="eastAsia" w:ascii="华文仿宋" w:hAnsi="华文仿宋" w:eastAsia="华文仿宋" w:cs="华文仿宋"/>
                <w:color w:val="000000"/>
                <w:sz w:val="28"/>
                <w:szCs w:val="28"/>
                <w:lang w:val="en-US" w:eastAsia="zh-CN"/>
              </w:rPr>
              <w:t>12月27日</w:t>
            </w:r>
          </w:p>
        </w:tc>
        <w:tc>
          <w:tcPr>
            <w:tcW w:w="212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低端价（美元/吨）</w:t>
            </w:r>
          </w:p>
        </w:tc>
        <w:tc>
          <w:tcPr>
            <w:tcW w:w="159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高端价（美元/吨）</w:t>
            </w:r>
          </w:p>
        </w:tc>
        <w:tc>
          <w:tcPr>
            <w:tcW w:w="2157"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均价涨跌幅</w:t>
            </w:r>
          </w:p>
        </w:tc>
        <w:tc>
          <w:tcPr>
            <w:tcW w:w="226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美分/加仑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新加坡</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48.87美元/桶</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48.91美元/桶</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3.03</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116.357-116.452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日本</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460.25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463.00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27.25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121.759-122.487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阿拉伯海湾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419.03</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421.78</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27.47</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110.854-111.582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阿姆斯特丹、鹿特丹、安特卫普到岸价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436.50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437.00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116.711-116.845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鹿特丹船货价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432.5</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433.00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115.642-115.775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地中海离岸价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408.50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409.00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7.25</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109.225-109.358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热那亚到岸价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425.0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425.50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6.50</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113.636-113.770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美国墨西哥湾</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412.10</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lang w:val="en-US"/>
              </w:rPr>
              <w:t>412.20</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-3.74美分/加仑</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117.700-117.800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85" w:hRule="atLeast"/>
        </w:trPr>
        <w:tc>
          <w:tcPr>
            <w:tcW w:w="1806"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加勒比海</w:t>
            </w:r>
          </w:p>
        </w:tc>
        <w:tc>
          <w:tcPr>
            <w:tcW w:w="2125"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159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157"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w:t>
            </w:r>
          </w:p>
        </w:tc>
        <w:tc>
          <w:tcPr>
            <w:tcW w:w="226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0"/>
              <w:jc w:val="center"/>
              <w:rPr>
                <w:rFonts w:hint="eastAsia" w:ascii="华文仿宋" w:hAnsi="华文仿宋" w:eastAsia="华文仿宋" w:cs="华文仿宋"/>
                <w:color w:val="000000"/>
                <w:sz w:val="28"/>
                <w:szCs w:val="28"/>
              </w:rPr>
            </w:pPr>
            <w:r>
              <w:rPr>
                <w:rFonts w:hint="eastAsia" w:ascii="华文仿宋" w:hAnsi="华文仿宋" w:eastAsia="华文仿宋" w:cs="华文仿宋"/>
                <w:i w:val="0"/>
                <w:caps w:val="0"/>
                <w:color w:val="000000"/>
                <w:spacing w:val="0"/>
                <w:sz w:val="28"/>
                <w:szCs w:val="28"/>
              </w:rPr>
              <w:t> </w:t>
            </w:r>
          </w:p>
        </w:tc>
      </w:tr>
    </w:tbl>
    <w:p>
      <w:pPr>
        <w:pStyle w:val="3"/>
        <w:spacing w:line="240" w:lineRule="auto"/>
        <w:rPr>
          <w:rFonts w:ascii="华文仿宋" w:hAnsi="华文仿宋" w:eastAsia="华文仿宋" w:cs="宋体"/>
          <w:b w:val="0"/>
          <w:bCs w:val="0"/>
          <w:kern w:val="0"/>
          <w:szCs w:val="28"/>
        </w:rPr>
      </w:pPr>
    </w:p>
    <w:p>
      <w:pPr>
        <w:rPr>
          <w:rFonts w:ascii="华文仿宋" w:hAnsi="华文仿宋" w:eastAsia="华文仿宋" w:cs="宋体"/>
          <w:kern w:val="0"/>
          <w:szCs w:val="28"/>
        </w:rPr>
      </w:pPr>
    </w:p>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szCs w:val="28"/>
        </w:rPr>
      </w:pPr>
      <w:r>
        <w:rPr>
          <w:rFonts w:hint="eastAsia" w:asciiTheme="minorEastAsia" w:hAnsiTheme="minorEastAsia" w:eastAsiaTheme="minorEastAsia"/>
          <w:bCs w:val="0"/>
          <w:szCs w:val="28"/>
        </w:rPr>
        <w:t>2.2地炼石脑油市场</w:t>
      </w:r>
      <w:bookmarkEnd w:id="13"/>
      <w:bookmarkEnd w:id="14"/>
      <w:bookmarkEnd w:id="23"/>
      <w:bookmarkEnd w:id="24"/>
      <w:bookmarkEnd w:id="25"/>
      <w:bookmarkEnd w:id="26"/>
      <w:bookmarkEnd w:id="27"/>
      <w:r>
        <w:rPr>
          <w:rFonts w:hint="eastAsia" w:asciiTheme="minorEastAsia" w:hAnsiTheme="minorEastAsia" w:eastAsiaTheme="minorEastAsia"/>
          <w:bCs w:val="0"/>
          <w:szCs w:val="28"/>
        </w:rPr>
        <w:t xml:space="preserve">   </w:t>
      </w:r>
    </w:p>
    <w:p>
      <w:pPr>
        <w:pStyle w:val="19"/>
        <w:keepNext w:val="0"/>
        <w:keepLines w:val="0"/>
        <w:widowControl/>
        <w:suppressLineNumbers w:val="0"/>
        <w:rPr>
          <w:rFonts w:hint="eastAsia" w:ascii="华文仿宋" w:hAnsi="华文仿宋" w:eastAsia="华文仿宋" w:cs="华文仿宋"/>
          <w:sz w:val="28"/>
          <w:szCs w:val="28"/>
        </w:rPr>
      </w:pPr>
      <w:r>
        <w:rPr>
          <w:sz w:val="21"/>
          <w:szCs w:val="21"/>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内地炼石脑油市场延续弱势下行动作，主力价区成交均线大幅度下移，场内成交匮乏，部分高品质资源开始以低价与中石化单位对接。市场资源流通速度缓慢，目前处于停滞阶段，除沿江、东北等地化工原料输运外，场内大宗资源流通仍然以西北往山东、华北方向为主，西北煤基资源价格相对坚挺，山东高价区成交继续下挫，短线需求端难现扩张利好，市场表现将延续弱势整理格局，高端售价将继续宽幅补跌。</w:t>
      </w:r>
    </w:p>
    <w:p>
      <w:pPr>
        <w:pStyle w:val="19"/>
        <w:keepNext w:val="0"/>
        <w:keepLines w:val="0"/>
        <w:widowControl/>
        <w:suppressLineNumbers w:val="0"/>
        <w:rPr>
          <w:rFonts w:ascii="华文仿宋" w:hAnsi="华文仿宋" w:eastAsia="华文仿宋"/>
          <w:sz w:val="28"/>
          <w:szCs w:val="28"/>
        </w:rPr>
      </w:pPr>
    </w:p>
    <w:p>
      <w:pPr>
        <w:outlineLvl w:val="1"/>
        <w:rPr>
          <w:rFonts w:asciiTheme="minorEastAsia" w:hAnsiTheme="minorEastAsia" w:eastAsiaTheme="minorEastAsia"/>
          <w:b/>
          <w:sz w:val="28"/>
          <w:szCs w:val="28"/>
        </w:rPr>
      </w:pPr>
      <w:bookmarkStart w:id="28" w:name="_Toc281568203"/>
      <w:bookmarkStart w:id="29" w:name="_Toc505350010"/>
      <w:bookmarkStart w:id="30" w:name="_Toc460250406"/>
      <w:bookmarkStart w:id="31" w:name="_Toc296600813"/>
      <w:r>
        <w:rPr>
          <w:rFonts w:hint="eastAsia" w:asciiTheme="minorEastAsia" w:hAnsiTheme="minorEastAsia" w:eastAsiaTheme="minorEastAsia"/>
          <w:b/>
          <w:sz w:val="28"/>
          <w:szCs w:val="28"/>
        </w:rPr>
        <w:t>2.3本周国内石脑油价格汇总</w:t>
      </w:r>
      <w:bookmarkEnd w:id="28"/>
      <w:bookmarkEnd w:id="29"/>
      <w:bookmarkEnd w:id="30"/>
      <w:bookmarkEnd w:id="31"/>
      <w:r>
        <w:rPr>
          <w:rFonts w:hint="eastAsia" w:asciiTheme="minorEastAsia" w:hAnsiTheme="minorEastAsia" w:eastAsiaTheme="minorEastAsia"/>
          <w:b/>
          <w:sz w:val="28"/>
          <w:szCs w:val="28"/>
        </w:rPr>
        <w:t xml:space="preserve"> </w:t>
      </w:r>
    </w:p>
    <w:p>
      <w:pPr>
        <w:rPr>
          <w:rFonts w:ascii="宋体" w:hAnsi="宋体" w:cs="Arial"/>
          <w:kern w:val="0"/>
          <w:sz w:val="20"/>
          <w:szCs w:val="20"/>
        </w:rPr>
      </w:pPr>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369"/>
        <w:gridCol w:w="1370"/>
        <w:gridCol w:w="1369"/>
        <w:gridCol w:w="1370"/>
        <w:gridCol w:w="1369"/>
        <w:gridCol w:w="156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7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6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2018-12-28</w:t>
            </w:r>
          </w:p>
        </w:tc>
        <w:tc>
          <w:tcPr>
            <w:tcW w:w="136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5350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36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7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cs="Arial"/>
          <w:kern w:val="0"/>
          <w:sz w:val="20"/>
          <w:szCs w:val="20"/>
        </w:rPr>
      </w:pPr>
    </w:p>
    <w:p>
      <w:pPr>
        <w:pStyle w:val="3"/>
        <w:spacing w:line="240" w:lineRule="auto"/>
        <w:jc w:val="left"/>
        <w:rPr>
          <w:rFonts w:asciiTheme="minorEastAsia" w:hAnsiTheme="minorEastAsia" w:eastAsiaTheme="minorEastAsia"/>
        </w:rPr>
      </w:pPr>
      <w:bookmarkStart w:id="32" w:name="_Toc296600814"/>
      <w:bookmarkStart w:id="33" w:name="_Toc281568204"/>
      <w:bookmarkStart w:id="34" w:name="_Toc460250407"/>
      <w:bookmarkStart w:id="35" w:name="_Toc505350011"/>
      <w:bookmarkStart w:id="36" w:name="_Toc158203132"/>
      <w:bookmarkStart w:id="37" w:name="_Toc239847719"/>
      <w:r>
        <w:rPr>
          <w:rFonts w:hint="eastAsia" w:asciiTheme="minorEastAsia" w:hAnsiTheme="minorEastAsia" w:eastAsiaTheme="minorEastAsia"/>
          <w:szCs w:val="28"/>
        </w:rPr>
        <w:t>2.</w:t>
      </w:r>
      <w:r>
        <w:rPr>
          <w:rFonts w:hint="eastAsia" w:asciiTheme="minorEastAsia" w:hAnsiTheme="minorEastAsia" w:eastAsiaTheme="minorEastAsia"/>
          <w:bCs w:val="0"/>
          <w:szCs w:val="28"/>
        </w:rPr>
        <w:t xml:space="preserve"> </w:t>
      </w:r>
      <w:r>
        <w:rPr>
          <w:rFonts w:hint="eastAsia" w:asciiTheme="minorEastAsia" w:hAnsiTheme="minorEastAsia" w:eastAsiaTheme="minorEastAsia"/>
          <w:szCs w:val="28"/>
        </w:rPr>
        <w:t>4山东地炼石脑油价格走势图</w:t>
      </w:r>
      <w:bookmarkEnd w:id="32"/>
      <w:bookmarkEnd w:id="33"/>
      <w:bookmarkEnd w:id="34"/>
      <w:bookmarkEnd w:id="35"/>
    </w:p>
    <w:p>
      <w:pPr>
        <w:widowControl/>
        <w:jc w:val="left"/>
        <w:rPr>
          <w:rFonts w:ascii="宋体" w:hAnsi="宋体" w:cs="宋体"/>
          <w:kern w:val="0"/>
          <w:sz w:val="24"/>
          <w:szCs w:val="24"/>
        </w:rPr>
      </w:pPr>
      <w:r>
        <w:drawing>
          <wp:inline distT="0" distB="0" distL="114300" distR="114300">
            <wp:extent cx="6188075" cy="5335270"/>
            <wp:effectExtent l="0" t="0" r="3175" b="17780"/>
            <wp:docPr id="6336"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rPr>
          <w:sz w:val="20"/>
          <w:szCs w:val="20"/>
        </w:rPr>
      </w:pPr>
    </w:p>
    <w:bookmarkEnd w:id="36"/>
    <w:bookmarkEnd w:id="37"/>
    <w:p>
      <w:pPr>
        <w:outlineLvl w:val="0"/>
        <w:rPr>
          <w:rFonts w:ascii="黑体" w:eastAsia="黑体"/>
          <w:b/>
          <w:sz w:val="28"/>
          <w:szCs w:val="28"/>
        </w:rPr>
      </w:pPr>
      <w:bookmarkStart w:id="38" w:name="_Toc505350012"/>
      <w:bookmarkStart w:id="39" w:name="_Toc237428455"/>
      <w:bookmarkStart w:id="40" w:name="_Toc460250408"/>
      <w:bookmarkStart w:id="41" w:name="_Toc296600816"/>
      <w:bookmarkStart w:id="42" w:name="_Toc281568206"/>
      <w:r>
        <w:rPr>
          <w:rFonts w:hint="eastAsia" w:ascii="黑体" w:eastAsia="黑体"/>
          <w:b/>
          <w:sz w:val="28"/>
          <w:szCs w:val="28"/>
        </w:rPr>
        <w:t>三、本周国内油品市场分析及预测</w:t>
      </w:r>
      <w:bookmarkEnd w:id="38"/>
      <w:bookmarkEnd w:id="39"/>
      <w:bookmarkEnd w:id="40"/>
      <w:bookmarkEnd w:id="41"/>
      <w:bookmarkEnd w:id="42"/>
      <w:bookmarkStart w:id="43" w:name="_Toc281568207"/>
      <w:bookmarkStart w:id="44" w:name="_Toc296600817"/>
      <w:bookmarkStart w:id="45" w:name="_Toc460250409"/>
      <w:bookmarkStart w:id="46" w:name="_Toc176571903"/>
      <w:bookmarkStart w:id="47" w:name="_Toc237428456"/>
    </w:p>
    <w:p>
      <w:pPr>
        <w:pStyle w:val="2"/>
        <w:spacing w:line="360" w:lineRule="auto"/>
        <w:rPr>
          <w:rFonts w:ascii="华文仿宋" w:hAnsi="华文仿宋" w:eastAsia="华文仿宋" w:cs="华文仿宋"/>
          <w:b w:val="0"/>
          <w:bCs w:val="0"/>
          <w:kern w:val="0"/>
          <w:sz w:val="28"/>
          <w:szCs w:val="28"/>
        </w:rPr>
      </w:pPr>
      <w:bookmarkStart w:id="48" w:name="_Toc505350013"/>
      <w:r>
        <w:rPr>
          <w:rFonts w:hint="eastAsia" w:asciiTheme="minorEastAsia" w:hAnsiTheme="minorEastAsia" w:eastAsiaTheme="minorEastAsia"/>
          <w:kern w:val="2"/>
          <w:sz w:val="28"/>
          <w:szCs w:val="28"/>
        </w:rPr>
        <w:t>3．1  成品油市场动态</w:t>
      </w:r>
      <w:bookmarkEnd w:id="43"/>
      <w:bookmarkEnd w:id="44"/>
      <w:bookmarkEnd w:id="45"/>
      <w:bookmarkEnd w:id="48"/>
    </w:p>
    <w:bookmarkEnd w:id="46"/>
    <w:bookmarkEnd w:id="47"/>
    <w:p>
      <w:pPr>
        <w:pStyle w:val="19"/>
        <w:keepNext w:val="0"/>
        <w:keepLines w:val="0"/>
        <w:widowControl/>
        <w:suppressLineNumbers w:val="0"/>
        <w:rPr>
          <w:rFonts w:hint="eastAsia" w:ascii="华文仿宋" w:hAnsi="华文仿宋" w:eastAsia="华文仿宋" w:cs="华文仿宋"/>
          <w:sz w:val="28"/>
          <w:szCs w:val="28"/>
        </w:rPr>
      </w:pPr>
      <w:bookmarkStart w:id="49" w:name="_Toc505350014"/>
      <w:bookmarkStart w:id="50" w:name="_Toc369858747"/>
      <w:bookmarkStart w:id="51" w:name="_Toc180485827"/>
      <w:bookmarkStart w:id="52" w:name="_Toc296600818"/>
      <w:bookmarkStart w:id="53" w:name="_Toc460250410"/>
      <w:bookmarkStart w:id="54" w:name="_Toc281568208"/>
      <w:bookmarkStart w:id="55" w:name="_Toc281568211"/>
      <w:bookmarkStart w:id="56" w:name="_Toc296600819"/>
      <w:r>
        <w:rPr>
          <w:rFonts w:hint="eastAsia" w:ascii="华文仿宋" w:hAnsi="华文仿宋" w:eastAsia="华文仿宋" w:cs="华文仿宋"/>
          <w:sz w:val="28"/>
          <w:szCs w:val="28"/>
        </w:rPr>
        <w:t>　</w:t>
      </w:r>
      <w:r>
        <w:rPr>
          <w:rFonts w:hint="eastAsia" w:ascii="华文仿宋" w:hAnsi="华文仿宋" w:eastAsia="华文仿宋" w:cs="华文仿宋"/>
          <w:sz w:val="28"/>
          <w:szCs w:val="28"/>
          <w:lang w:val="en-US" w:eastAsia="zh-CN"/>
        </w:rPr>
        <w:t xml:space="preserve"> </w:t>
      </w:r>
      <w:r>
        <w:rPr>
          <w:rFonts w:hint="eastAsia" w:ascii="华文仿宋" w:hAnsi="华文仿宋" w:eastAsia="华文仿宋" w:cs="华文仿宋"/>
          <w:sz w:val="28"/>
          <w:szCs w:val="28"/>
        </w:rPr>
        <w:t>本周，国际原油期货先抑后扬，国内成品油市场购销氛围清淡，各地主营单位汽柴油价格下调。与此同时，山东地炼成品油行情频频下挫，各炼厂报价频频走低且成交保持100-200元/吨优惠。具体来看出货方面：周初，受消息面持续利空打压，油市业者看跌情绪浓重，下游买家多消库观望，场内鲜有大单成交。临近周末，随着原油大幅反弹，买卖双方操作积极性提升，区内炼厂趁机推价，中下游商家购进操作增加，市场整体出货好转。进入下周，国际原油期价仍将保持震荡下跌的节奏，WTI运行区间在45-49(均值47)美元/桶之间。在消息面利好提振下，山东地区成品油行情有望稳中上行，但季节性需求不足制约油价涨幅，买卖双方理性操作，市场交投气氛温和。综上所述，预计下周山东地炼汽柴油价格稳中上涨。</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北地区主营成品油行情持续下跌后小幅反弹，成交气氛难有改善。分析来看，周内国际油价大幅度下跌，变化率负向区间加深，零售价预计下调幅度增加，市场看跌气氛不减，加之临近月底，主营单位继续追赶销售任务，区内成品油价格均有松动，其中汽油价格下跌50元/吨左右，柴油价格下跌200元/吨上下，市场价跌量淡局面延续。本周四国际油价暴涨，利好消息提振市场，局部地区汽柴价格开始反弹，但中下游用户观望心态浓郁，入市采购活动较为谨慎，市场成交量提升有限。后市而言，国际油价延续低位运行，本周五(12月28日)零售价下调窗口将开启，但市场将进入新一年度销售周期，区内主营单位销售策略不一，但鉴于终端需求难有提振，不排除主营提前追赶销量的可能，预计下周华北地区汽柴行情偏弱运行。</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南地区成品油行情继续走低，市场交投气氛清淡依然。具体来看，国际原油期货先抑后扬，零售价下调预期不减，消息方面利空油市。受此影响，山东地炼汽柴油价格大幅下跌，与此同时，下游需求疲软，业者入市操作意向淡薄，主营单位出货不畅，汽柴油价格接连下跌，市场交投气氛清淡难改。后市来看，原油期货或维持弱势震荡走势，消息方面难寻支撑。与此同时，步入1月份，主营单位或出货走量为先，预计下周华南汽柴油行情或继续下跌。</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中地区汽柴行情弱势盘整，市场交投维持清淡。具体分析如下，周内，国际原油接连下挫，变化率负向加深运行，消息面不断利空施压，主营汽柴报价稳中有跌，其中汽油价格下调100元/吨左右，且成交维持宽松优惠，部分单位因提前完成销售任务，价格相对维持坚挺。虽然周四原油收盘暴涨，但下游悲观情绪难有缓解，入市操作稀少，加上年末主营销售政策变化有限，成交价格提升不大。后市来看，国际原油或维持低位震荡走势，零售价“五连跌”即将兑现，消息面依旧偏空指引。因元旦将至，且临近年末，主营价格波动有限。故预计近期内华中地区汽柴价格将延续弱势盘整，市场购销难有提量。</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华东地区成品油行情承压走低，市场购销氛围难有改善。具体来看，国际油价仍震荡下行，变化率负向幅度继续加深，消息面对华东市场难有支撑。山东地炼汽柴行情明显回落，华东主营外采成本随之下调，故本周华东多地主营单位汽柴销售价格有所下滑，其中部分尚未完成年度计划的单位成交重心下移更为明显。不过，下游用户心态较为悲观，入市操作稀少，主营出货量清淡，市场交投行情持淡。后市而言，国际油价或仍维持低位区间震荡，零售价“五连跌”将于明日(12月28日)兑现，且后续变化率或仍维持负向，消息面仍难有利好提振。进入1月份，主营销售政策或较为积极，汽柴价格或有进一步回落的可能，不过市场“柴弱汽强”格局或进一步凸显。</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北地炼汽柴行情维持淡稳，市场成交气氛清淡。分析来看：周内国际油价跌后反弹，变化率负向区间持续延伸，下调预期强烈，消息面利空对市场打压明显。另外，进入冬季取暖季，工矿基建等用油企业开工受限，柴油需求疲软;元旦小长假临近，汽油需求略有提升，但对市场支撑力度有限。业者操作心态谨慎，消库之余按需小单补货为主，市场成交难有改善。本周五(12月28日)成品油零售价下调窗口将如期开启，届时区内汽柴行情或有一定回落。进入下周，国际油价或维持低位震荡，新一轮计价周期消息面对市场指引有限，预计下周西北地炼汽柴行情跌后趋稳。业者适量补货之后再度退市消库，市场成交或难有明显提升。</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西南地区汽柴行情稳中下行，市场成交气氛低迷。分析来看：周内国际油价跌后反弹，但变化率维持负向区间持续延伸，下调预期增强，消息面利空对市场持续施压。此外，柴油需求面较为疲软，价格下调约150元/吨，虽然元旦小长假临近，但汽油备货需求未见明显提升。业者操作意向持低，消库之余谨慎观望为主，市场成交稀少。不过，主营销售任务相继完成，且保利润影响下，多数地区价格维持稳定，仅个别地区主营仍继续赶量，成交重心略有下移。本周五成品油零售价将兑现“五连跌”，届时区内汽柴行情将有所跟跌。进入下周，国际油价或仍维持区间震荡，消息面对市场指引有限。再者，元旦小长假过后，主营单位进入新的销售周期，或降价促销。整体来看，下周西南地区汽柴行情存一定下行空间。</w:t>
      </w:r>
    </w:p>
    <w:p>
      <w:pPr>
        <w:pStyle w:val="19"/>
        <w:keepNext w:val="0"/>
        <w:keepLines w:val="0"/>
        <w:widowControl/>
        <w:suppressLineNumbers w:val="0"/>
        <w:rPr>
          <w:rFonts w:hint="eastAsia" w:ascii="华文仿宋" w:hAnsi="华文仿宋" w:eastAsia="华文仿宋" w:cs="华文仿宋"/>
          <w:sz w:val="28"/>
          <w:szCs w:val="28"/>
        </w:rPr>
      </w:pPr>
      <w:r>
        <w:rPr>
          <w:rFonts w:hint="eastAsia" w:ascii="华文仿宋" w:hAnsi="华文仿宋" w:eastAsia="华文仿宋" w:cs="华文仿宋"/>
          <w:sz w:val="28"/>
          <w:szCs w:val="28"/>
        </w:rPr>
        <w:t>　　步入下周，国际油价震荡反弹，国际原油期货价格或将出现小幅度回升。主营及地方炼厂均无新增检修炼厂，开工率无明显波动，市场资源供应量仍然充足。冬季部分工矿基建等企业开工略受影响，柴油需求较为平淡;汽油需求面波动不大，对整体行情亦无明显提振。下周山东地炼汽柴价格仍存下行压力，主营外采成本或降低，炼厂或将继续降价提振下游需求的积极性。多重利空因素影响下，国内汽柴油市场仍未出现实质性好转迹象，仍然看空为主。</w:t>
      </w:r>
    </w:p>
    <w:p>
      <w:pPr>
        <w:pStyle w:val="19"/>
        <w:keepNext w:val="0"/>
        <w:keepLines w:val="0"/>
        <w:widowControl/>
        <w:suppressLineNumbers w:val="0"/>
        <w:rPr>
          <w:rFonts w:ascii="华文仿宋" w:hAnsi="华文仿宋" w:eastAsia="华文仿宋"/>
          <w:sz w:val="28"/>
          <w:szCs w:val="28"/>
        </w:rPr>
      </w:pPr>
    </w:p>
    <w:p>
      <w:pPr>
        <w:pStyle w:val="2"/>
        <w:spacing w:line="360" w:lineRule="auto"/>
        <w:rPr>
          <w:rFonts w:hint="eastAsia" w:asciiTheme="minorEastAsia" w:hAnsiTheme="minorEastAsia" w:eastAsiaTheme="minorEastAsia"/>
          <w:kern w:val="2"/>
          <w:sz w:val="28"/>
          <w:szCs w:val="28"/>
        </w:rPr>
      </w:pPr>
      <w:r>
        <w:rPr>
          <w:rFonts w:hint="eastAsia" w:asciiTheme="minorEastAsia" w:hAnsiTheme="minorEastAsia" w:eastAsiaTheme="minorEastAsia"/>
          <w:kern w:val="2"/>
          <w:sz w:val="28"/>
          <w:szCs w:val="28"/>
        </w:rPr>
        <w:t>四、国内溶剂油市场综述</w:t>
      </w:r>
      <w:bookmarkEnd w:id="49"/>
    </w:p>
    <w:bookmarkEnd w:id="50"/>
    <w:bookmarkEnd w:id="51"/>
    <w:bookmarkEnd w:id="52"/>
    <w:bookmarkEnd w:id="53"/>
    <w:bookmarkEnd w:id="54"/>
    <w:p>
      <w:pPr>
        <w:pStyle w:val="19"/>
        <w:keepNext w:val="0"/>
        <w:keepLines w:val="0"/>
        <w:widowControl/>
        <w:suppressLineNumbers w:val="0"/>
        <w:rPr>
          <w:rFonts w:hint="eastAsia" w:ascii="华文仿宋" w:hAnsi="华文仿宋" w:eastAsia="华文仿宋" w:cs="华文仿宋"/>
          <w:sz w:val="28"/>
          <w:szCs w:val="28"/>
          <w:lang w:val="en-US" w:eastAsia="zh-CN"/>
        </w:rPr>
      </w:pPr>
      <w:bookmarkStart w:id="57" w:name="_Toc460250411"/>
      <w:bookmarkStart w:id="58" w:name="_Toc505350015"/>
      <w:r>
        <w:rPr>
          <w:sz w:val="21"/>
          <w:szCs w:val="21"/>
        </w:rPr>
        <w:t>　</w:t>
      </w:r>
      <w:r>
        <w:rPr>
          <w:rFonts w:hint="eastAsia" w:ascii="华文仿宋" w:hAnsi="华文仿宋" w:eastAsia="华文仿宋" w:cs="华文仿宋"/>
          <w:sz w:val="28"/>
          <w:szCs w:val="28"/>
          <w:lang w:eastAsia="zh-CN"/>
        </w:rPr>
        <w:t>　本</w:t>
      </w:r>
      <w:r>
        <w:rPr>
          <w:rFonts w:hint="eastAsia" w:ascii="华文仿宋" w:hAnsi="华文仿宋" w:eastAsia="华文仿宋" w:cs="华文仿宋"/>
          <w:sz w:val="28"/>
          <w:szCs w:val="28"/>
          <w:lang w:eastAsia="zh-CN"/>
        </w:rPr>
        <w:t>周</w:t>
      </w:r>
      <w:r>
        <w:rPr>
          <w:rFonts w:hint="eastAsia" w:ascii="华文仿宋" w:hAnsi="华文仿宋" w:eastAsia="华文仿宋" w:cs="华文仿宋"/>
          <w:sz w:val="28"/>
          <w:szCs w:val="28"/>
        </w:rPr>
        <w:t>市场消息面利空持续，国内溶剂油市场延续弱势，价格小幅补跌</w:t>
      </w:r>
      <w:bookmarkStart w:id="78" w:name="_GoBack"/>
      <w:bookmarkEnd w:id="78"/>
      <w:r>
        <w:rPr>
          <w:rFonts w:hint="eastAsia" w:ascii="华文仿宋" w:hAnsi="华文仿宋" w:eastAsia="华文仿宋" w:cs="华文仿宋"/>
          <w:sz w:val="28"/>
          <w:szCs w:val="28"/>
        </w:rPr>
        <w:t>。美国加息打压股市，市场风险情绪受挫，国际原油价格大幅下跌，山东地炼随势陆续下调价格，主营炼厂弱稳运行，个别炼厂有小幅下调，商谈区间略加松动，成交仍旧小单居多，行情低迷难改。后市预测：近期溶剂油市场持续低迷，价格陆续下调，最新国际原油收盘大幅上涨，虽在一定程度上提振业者信心，但后期原油走向不明确，市场观望情绪仍旧浓厚，且溶剂油下游需求仍不理想，客户拿货意愿偏弱，市场成交偏弱，需求疲弱以及供应过剩担忧情绪亟待消化。综上，预计下周溶剂油市场弱势维稳为主，商谈重心趋稳。</w:t>
      </w:r>
    </w:p>
    <w:p>
      <w:pPr>
        <w:pStyle w:val="19"/>
        <w:keepNext w:val="0"/>
        <w:keepLines w:val="0"/>
        <w:widowControl/>
        <w:suppressLineNumbers w:val="0"/>
        <w:rPr>
          <w:rFonts w:ascii="华文仿宋" w:hAnsi="华文仿宋" w:eastAsia="华文仿宋"/>
          <w:sz w:val="28"/>
          <w:szCs w:val="28"/>
        </w:rPr>
      </w:pPr>
    </w:p>
    <w:p>
      <w:pPr>
        <w:pStyle w:val="19"/>
        <w:rPr>
          <w:rFonts w:hint="eastAsia" w:ascii="黑体"/>
          <w:b/>
          <w:bCs/>
          <w:sz w:val="28"/>
          <w:szCs w:val="28"/>
        </w:rPr>
      </w:pPr>
      <w:r>
        <w:rPr>
          <w:rFonts w:hint="eastAsia" w:ascii="黑体"/>
          <w:b/>
          <w:bCs/>
          <w:sz w:val="28"/>
          <w:szCs w:val="28"/>
        </w:rPr>
        <w:t>五、本周国内炼厂溶剂油产品价格对比</w:t>
      </w:r>
      <w:bookmarkEnd w:id="55"/>
      <w:bookmarkEnd w:id="56"/>
      <w:bookmarkEnd w:id="57"/>
      <w:bookmarkEnd w:id="58"/>
    </w:p>
    <w:p>
      <w:pPr>
        <w:rPr>
          <w:rFonts w:ascii="宋体" w:hAnsi="宋体"/>
          <w:sz w:val="20"/>
          <w:szCs w:val="20"/>
        </w:rPr>
      </w:pPr>
      <w:r>
        <w:rPr>
          <w:rFonts w:hint="eastAsia" w:ascii="宋体" w:hAnsi="宋体"/>
          <w:sz w:val="20"/>
          <w:szCs w:val="20"/>
        </w:rPr>
        <w:t>单位：元/吨</w:t>
      </w:r>
    </w:p>
    <w:p>
      <w:pPr>
        <w:rPr>
          <w:rFonts w:ascii="宋体" w:hAnsi="宋体"/>
          <w:sz w:val="20"/>
          <w:szCs w:val="20"/>
        </w:rPr>
      </w:pP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7"/>
        <w:gridCol w:w="1908"/>
        <w:gridCol w:w="1068"/>
        <w:gridCol w:w="1077"/>
        <w:gridCol w:w="1068"/>
        <w:gridCol w:w="1075"/>
        <w:gridCol w:w="1256"/>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6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90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6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77"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68"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75" w:type="dxa"/>
            <w:tcBorders>
              <w:top w:val="single" w:color="000000" w:sz="4" w:space="0"/>
              <w:left w:val="single" w:color="000000" w:sz="4" w:space="0"/>
              <w:bottom w:val="single" w:color="000000" w:sz="4" w:space="0"/>
              <w:right w:val="single" w:color="000000" w:sz="4" w:space="0"/>
            </w:tcBorders>
            <w:shd w:val="clear" w:color="auto" w:fill="00B0F0"/>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2018-12-28</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5760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06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9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1077"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06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59" w:name="_Toc460250412"/>
      <w:bookmarkStart w:id="60" w:name="_Toc281568213"/>
      <w:bookmarkStart w:id="61" w:name="_Toc296600821"/>
      <w:bookmarkStart w:id="62" w:name="_Toc505350016"/>
      <w:r>
        <w:rPr>
          <w:rFonts w:hint="eastAsia" w:ascii="黑体" w:hAnsi="宋体"/>
          <w:sz w:val="28"/>
          <w:szCs w:val="28"/>
        </w:rPr>
        <w:t>六、D系列特种溶剂油</w:t>
      </w:r>
      <w:bookmarkEnd w:id="59"/>
      <w:bookmarkEnd w:id="60"/>
      <w:bookmarkEnd w:id="61"/>
      <w:bookmarkEnd w:id="6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1"/>
        <w:gridCol w:w="1228"/>
        <w:gridCol w:w="1230"/>
        <w:gridCol w:w="1229"/>
        <w:gridCol w:w="1228"/>
        <w:gridCol w:w="1403"/>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23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229"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22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2018-12-28</w:t>
            </w:r>
          </w:p>
        </w:tc>
        <w:tc>
          <w:tcPr>
            <w:tcW w:w="125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2201"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23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229"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22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7650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3" w:name="_Toc505350017"/>
      <w:bookmarkStart w:id="64" w:name="_Toc281568214"/>
      <w:bookmarkStart w:id="65" w:name="_Toc296600822"/>
      <w:bookmarkStart w:id="66" w:name="_Toc460250413"/>
      <w:r>
        <w:rPr>
          <w:rFonts w:hint="eastAsia" w:ascii="华文仿宋" w:hAnsi="华文仿宋" w:eastAsia="华文仿宋"/>
          <w:bCs w:val="0"/>
          <w:kern w:val="2"/>
          <w:sz w:val="28"/>
          <w:szCs w:val="28"/>
        </w:rPr>
        <w:t>七、重芳烃溶剂油</w:t>
      </w:r>
      <w:bookmarkEnd w:id="63"/>
      <w:bookmarkEnd w:id="64"/>
      <w:bookmarkEnd w:id="65"/>
      <w:bookmarkEnd w:id="66"/>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88"/>
        <w:gridCol w:w="1615"/>
        <w:gridCol w:w="1285"/>
        <w:gridCol w:w="1108"/>
        <w:gridCol w:w="1090"/>
        <w:gridCol w:w="1066"/>
        <w:gridCol w:w="1268"/>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61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285"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10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90"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06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268"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2018-12-28</w:t>
            </w:r>
          </w:p>
        </w:tc>
        <w:tc>
          <w:tcPr>
            <w:tcW w:w="1256"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8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6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28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108"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9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066"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2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autoSpaceDE w:val="0"/>
        <w:autoSpaceDN w:val="0"/>
        <w:adjustRightInd w:val="0"/>
        <w:ind w:firstLine="140" w:firstLineChars="50"/>
        <w:rPr>
          <w:rFonts w:ascii="华文仿宋" w:hAnsi="华文仿宋" w:eastAsia="华文仿宋"/>
          <w:sz w:val="28"/>
          <w:szCs w:val="28"/>
        </w:rPr>
      </w:pPr>
    </w:p>
    <w:p>
      <w:pPr>
        <w:widowControl/>
        <w:jc w:val="center"/>
        <w:rPr>
          <w:rFonts w:ascii="华文仿宋" w:hAnsi="华文仿宋" w:eastAsia="华文仿宋"/>
          <w:sz w:val="28"/>
          <w:szCs w:val="28"/>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67" w:name="_Toc296600823"/>
      <w:bookmarkStart w:id="68" w:name="_Toc180485835"/>
      <w:bookmarkStart w:id="69" w:name="_Toc460250414"/>
      <w:bookmarkStart w:id="70" w:name="_Toc505350018"/>
      <w:bookmarkStart w:id="71" w:name="_Toc281568215"/>
      <w:r>
        <w:rPr>
          <w:rFonts w:hint="eastAsia" w:ascii="华文仿宋" w:hAnsi="华文仿宋" w:eastAsia="华文仿宋"/>
          <w:bCs w:val="0"/>
          <w:kern w:val="2"/>
          <w:sz w:val="28"/>
          <w:szCs w:val="28"/>
        </w:rPr>
        <w:t>八、正己烷</w:t>
      </w:r>
      <w:bookmarkEnd w:id="67"/>
      <w:bookmarkEnd w:id="68"/>
      <w:bookmarkEnd w:id="69"/>
      <w:bookmarkEnd w:id="70"/>
      <w:bookmarkEnd w:id="71"/>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W w:w="97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02"/>
        <w:gridCol w:w="1903"/>
        <w:gridCol w:w="1902"/>
        <w:gridCol w:w="2167"/>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903"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2167"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2018-12-28</w:t>
            </w:r>
          </w:p>
        </w:tc>
        <w:tc>
          <w:tcPr>
            <w:tcW w:w="1902" w:type="dxa"/>
            <w:tcBorders>
              <w:top w:val="single" w:color="000000" w:sz="4" w:space="0"/>
              <w:left w:val="single" w:color="000000" w:sz="4" w:space="0"/>
              <w:bottom w:val="single" w:color="000000" w:sz="4" w:space="0"/>
              <w:right w:val="single" w:color="000000" w:sz="4" w:space="0"/>
            </w:tcBorders>
            <w:shd w:val="clear" w:color="auto" w:fill="99CCFF"/>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2018-12-21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903"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902"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21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9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hint="eastAsia" w:ascii="华文仿宋" w:hAnsi="华文仿宋" w:eastAsia="华文仿宋"/>
          <w:bCs w:val="0"/>
          <w:kern w:val="2"/>
          <w:sz w:val="28"/>
          <w:szCs w:val="28"/>
        </w:rPr>
      </w:pPr>
      <w:bookmarkStart w:id="72" w:name="_Toc505350019"/>
      <w:bookmarkStart w:id="73" w:name="_Toc281568216"/>
      <w:bookmarkStart w:id="74" w:name="_Toc296600824"/>
      <w:bookmarkStart w:id="75" w:name="_Toc460250415"/>
      <w:r>
        <w:rPr>
          <w:rFonts w:hint="eastAsia" w:ascii="华文仿宋" w:hAnsi="华文仿宋" w:eastAsia="华文仿宋"/>
          <w:bCs w:val="0"/>
          <w:kern w:val="2"/>
          <w:sz w:val="28"/>
          <w:szCs w:val="28"/>
        </w:rPr>
        <w:t>九、2018年</w:t>
      </w:r>
      <w:r>
        <w:rPr>
          <w:rFonts w:hint="eastAsia" w:ascii="华文仿宋" w:hAnsi="华文仿宋" w:eastAsia="华文仿宋"/>
          <w:bCs w:val="0"/>
          <w:kern w:val="2"/>
          <w:sz w:val="28"/>
          <w:szCs w:val="28"/>
          <w:lang w:val="en-US" w:eastAsia="zh-CN"/>
        </w:rPr>
        <w:t>11</w:t>
      </w:r>
      <w:r>
        <w:rPr>
          <w:rFonts w:hint="eastAsia" w:ascii="华文仿宋" w:hAnsi="华文仿宋" w:eastAsia="华文仿宋"/>
          <w:bCs w:val="0"/>
          <w:kern w:val="2"/>
          <w:sz w:val="28"/>
          <w:szCs w:val="28"/>
        </w:rPr>
        <w:t>月中国溶剂油进出口数据统计</w:t>
      </w:r>
      <w:bookmarkEnd w:id="72"/>
      <w:bookmarkEnd w:id="73"/>
      <w:bookmarkEnd w:id="74"/>
      <w:bookmarkEnd w:id="75"/>
    </w:p>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2018年11月份中国溶剂油进出口统计数据（按产销国分）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r>
        <w:rPr>
          <w:rFonts w:hint="eastAsia" w:ascii="华文仿宋" w:hAnsi="华文仿宋" w:eastAsia="华文仿宋" w:cs="华文仿宋"/>
          <w:sz w:val="28"/>
          <w:szCs w:val="28"/>
        </w:rPr>
        <w:t>(</w:t>
      </w:r>
      <w:r>
        <w:rPr>
          <w:rFonts w:hint="eastAsia" w:ascii="华文仿宋" w:hAnsi="华文仿宋" w:eastAsia="华文仿宋" w:cs="华文仿宋"/>
          <w:i w:val="0"/>
          <w:caps w:val="0"/>
          <w:color w:val="333333"/>
          <w:spacing w:val="0"/>
          <w:sz w:val="28"/>
          <w:szCs w:val="28"/>
          <w:shd w:val="clear" w:fill="FFFFFF"/>
        </w:rPr>
        <w:t>单位：吨；美元</w:t>
      </w:r>
      <w:r>
        <w:rPr>
          <w:rFonts w:hint="eastAsia" w:ascii="华文仿宋" w:hAnsi="华文仿宋" w:eastAsia="华文仿宋" w:cs="华文仿宋"/>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5"/>
        <w:tblW w:w="9766" w:type="dxa"/>
        <w:tblInd w:w="-10" w:type="dxa"/>
        <w:shd w:val="clear" w:color="auto" w:fill="auto"/>
        <w:tblLayout w:type="fixed"/>
        <w:tblCellMar>
          <w:top w:w="0" w:type="dxa"/>
          <w:left w:w="0" w:type="dxa"/>
          <w:bottom w:w="0" w:type="dxa"/>
          <w:right w:w="0" w:type="dxa"/>
        </w:tblCellMar>
      </w:tblPr>
      <w:tblGrid>
        <w:gridCol w:w="1065"/>
        <w:gridCol w:w="1066"/>
        <w:gridCol w:w="1065"/>
        <w:gridCol w:w="1480"/>
        <w:gridCol w:w="1361"/>
        <w:gridCol w:w="1401"/>
        <w:gridCol w:w="1263"/>
        <w:gridCol w:w="1065"/>
      </w:tblGrid>
      <w:tr>
        <w:tblPrEx>
          <w:shd w:val="clear" w:color="auto" w:fill="auto"/>
          <w:tblLayout w:type="fixed"/>
          <w:tblCellMar>
            <w:top w:w="0" w:type="dxa"/>
            <w:left w:w="0" w:type="dxa"/>
            <w:bottom w:w="0" w:type="dxa"/>
            <w:right w:w="0" w:type="dxa"/>
          </w:tblCellMar>
        </w:tblPrEx>
        <w:trPr>
          <w:trHeight w:val="270" w:hRule="atLeast"/>
        </w:trPr>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产品</w:t>
            </w:r>
          </w:p>
        </w:tc>
        <w:tc>
          <w:tcPr>
            <w:tcW w:w="1066"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年度</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月度</w:t>
            </w:r>
          </w:p>
        </w:tc>
        <w:tc>
          <w:tcPr>
            <w:tcW w:w="1480"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产销国及地区</w:t>
            </w:r>
          </w:p>
        </w:tc>
        <w:tc>
          <w:tcPr>
            <w:tcW w:w="136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进口数量</w:t>
            </w:r>
          </w:p>
        </w:tc>
        <w:tc>
          <w:tcPr>
            <w:tcW w:w="1401"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进口金额</w:t>
            </w:r>
          </w:p>
        </w:tc>
        <w:tc>
          <w:tcPr>
            <w:tcW w:w="1263"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出口数量</w:t>
            </w:r>
          </w:p>
        </w:tc>
        <w:tc>
          <w:tcPr>
            <w:tcW w:w="1065"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出口金额</w:t>
            </w:r>
          </w:p>
        </w:tc>
      </w:tr>
      <w:tr>
        <w:tblPrEx>
          <w:tblLayout w:type="fixed"/>
          <w:tblCellMar>
            <w:top w:w="0" w:type="dxa"/>
            <w:left w:w="0" w:type="dxa"/>
            <w:bottom w:w="0" w:type="dxa"/>
            <w:right w:w="0" w:type="dxa"/>
          </w:tblCellMar>
        </w:tblPrEx>
        <w:trPr>
          <w:trHeight w:val="270" w:hRule="atLeast"/>
        </w:trPr>
        <w:tc>
          <w:tcPr>
            <w:tcW w:w="106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橡胶溶剂油、油漆溶剂油、抽提溶剂油、不含有生物柴油</w:t>
            </w: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新加坡</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584</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676,913</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德国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470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525,861</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日本</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289</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389,957</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韩国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188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225,910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台湾</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38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59,916</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美国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24,848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泰国</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17,038</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1,564</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西班牙</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829</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以色列</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502</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柬埔寨</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8</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13,051</w:t>
            </w:r>
          </w:p>
        </w:tc>
      </w:tr>
      <w:tr>
        <w:tblPrEx>
          <w:tblLayout w:type="fixed"/>
          <w:tblCellMar>
            <w:top w:w="0" w:type="dxa"/>
            <w:left w:w="0" w:type="dxa"/>
            <w:bottom w:w="0" w:type="dxa"/>
            <w:right w:w="0" w:type="dxa"/>
          </w:tblCellMar>
        </w:tblPrEx>
        <w:trPr>
          <w:trHeight w:val="270" w:hRule="atLeast"/>
        </w:trPr>
        <w:tc>
          <w:tcPr>
            <w:tcW w:w="1065"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rPr>
                <w:rFonts w:hint="eastAsia" w:ascii="华文仿宋" w:hAnsi="华文仿宋" w:eastAsia="华文仿宋" w:cs="华文仿宋"/>
                <w:color w:val="000000"/>
                <w:sz w:val="28"/>
                <w:szCs w:val="28"/>
              </w:rPr>
            </w:pPr>
          </w:p>
        </w:tc>
        <w:tc>
          <w:tcPr>
            <w:tcW w:w="1066"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2018年</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11月</w:t>
            </w:r>
          </w:p>
        </w:tc>
        <w:tc>
          <w:tcPr>
            <w:tcW w:w="14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香港</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0</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124</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Fonts w:hint="eastAsia" w:ascii="华文仿宋" w:hAnsi="华文仿宋" w:eastAsia="华文仿宋" w:cs="华文仿宋"/>
                <w:color w:val="000000"/>
                <w:kern w:val="0"/>
                <w:sz w:val="28"/>
                <w:szCs w:val="28"/>
                <w:lang w:val="en-US" w:eastAsia="zh-CN" w:bidi="ar"/>
              </w:rPr>
              <w:t>93,560</w:t>
            </w:r>
          </w:p>
        </w:tc>
      </w:tr>
      <w:tr>
        <w:tblPrEx>
          <w:tblLayout w:type="fixed"/>
          <w:tblCellMar>
            <w:top w:w="0" w:type="dxa"/>
            <w:left w:w="0" w:type="dxa"/>
            <w:bottom w:w="0" w:type="dxa"/>
            <w:right w:w="0" w:type="dxa"/>
          </w:tblCellMar>
        </w:tblPrEx>
        <w:trPr>
          <w:trHeight w:val="270" w:hRule="atLeast"/>
        </w:trPr>
        <w:tc>
          <w:tcPr>
            <w:tcW w:w="4676"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2018年11月</w:t>
            </w:r>
          </w:p>
        </w:tc>
        <w:tc>
          <w:tcPr>
            <w:tcW w:w="136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1,598</w:t>
            </w:r>
          </w:p>
        </w:tc>
        <w:tc>
          <w:tcPr>
            <w:tcW w:w="14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1,921,774</w:t>
            </w:r>
          </w:p>
        </w:tc>
        <w:tc>
          <w:tcPr>
            <w:tcW w:w="126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133</w:t>
            </w:r>
          </w:p>
        </w:tc>
        <w:tc>
          <w:tcPr>
            <w:tcW w:w="1065"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left"/>
              <w:rPr>
                <w:rFonts w:hint="eastAsia" w:ascii="华文仿宋" w:hAnsi="华文仿宋" w:eastAsia="华文仿宋" w:cs="华文仿宋"/>
                <w:color w:val="000000"/>
                <w:sz w:val="28"/>
                <w:szCs w:val="28"/>
              </w:rPr>
            </w:pPr>
            <w:r>
              <w:rPr>
                <w:rStyle w:val="21"/>
                <w:rFonts w:hint="eastAsia" w:ascii="华文仿宋" w:hAnsi="华文仿宋" w:eastAsia="华文仿宋" w:cs="华文仿宋"/>
                <w:b/>
                <w:color w:val="000000"/>
                <w:kern w:val="0"/>
                <w:sz w:val="28"/>
                <w:szCs w:val="28"/>
                <w:lang w:val="en-US" w:eastAsia="zh-CN" w:bidi="ar"/>
              </w:rPr>
              <w:t>108,175</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p>
      <w:pPr>
        <w:widowControl/>
        <w:jc w:val="center"/>
        <w:rPr>
          <w:rFonts w:ascii="华文仿宋" w:hAnsi="华文仿宋" w:eastAsia="华文仿宋"/>
          <w:sz w:val="28"/>
          <w:szCs w:val="28"/>
        </w:rPr>
      </w:pPr>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roman"/>
    <w:pitch w:val="default"/>
    <w:sig w:usb0="00000000" w:usb1="00000000" w:usb2="00000016" w:usb3="00000000" w:csb0="0004001F" w:csb1="00000000"/>
  </w:font>
  <w:font w:name="MS Gothic">
    <w:panose1 w:val="020B0609070205080204"/>
    <w:charset w:val="80"/>
    <w:family w:val="auto"/>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8" w:usb3="00000000" w:csb0="000001FF" w:csb1="0000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42</w:t>
    </w:r>
    <w:r>
      <w:rPr>
        <w:b/>
        <w:bCs/>
        <w:sz w:val="24"/>
        <w:szCs w:val="24"/>
      </w:rPr>
      <w:fldChar w:fldCharType="end"/>
    </w:r>
  </w:p>
  <w:p>
    <w:pPr>
      <w:pStyle w:val="1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pP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6BECC"/>
    <w:multiLevelType w:val="singleLevel"/>
    <w:tmpl w:val="2E66BE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4CFF"/>
    <w:rsid w:val="000071C7"/>
    <w:rsid w:val="00007808"/>
    <w:rsid w:val="000121DE"/>
    <w:rsid w:val="00013FDF"/>
    <w:rsid w:val="00037E49"/>
    <w:rsid w:val="000425F6"/>
    <w:rsid w:val="000436BC"/>
    <w:rsid w:val="000516D9"/>
    <w:rsid w:val="00052A4E"/>
    <w:rsid w:val="0005567F"/>
    <w:rsid w:val="00057ECC"/>
    <w:rsid w:val="00060511"/>
    <w:rsid w:val="00061563"/>
    <w:rsid w:val="00062A8E"/>
    <w:rsid w:val="00063B35"/>
    <w:rsid w:val="00064D33"/>
    <w:rsid w:val="000654E9"/>
    <w:rsid w:val="000672ED"/>
    <w:rsid w:val="000824CA"/>
    <w:rsid w:val="000828AD"/>
    <w:rsid w:val="00085917"/>
    <w:rsid w:val="000862A0"/>
    <w:rsid w:val="00087B10"/>
    <w:rsid w:val="00096A95"/>
    <w:rsid w:val="00097DEF"/>
    <w:rsid w:val="000A0D0E"/>
    <w:rsid w:val="000B1002"/>
    <w:rsid w:val="000B1594"/>
    <w:rsid w:val="000B2483"/>
    <w:rsid w:val="000B4670"/>
    <w:rsid w:val="000C4C8D"/>
    <w:rsid w:val="000D02E6"/>
    <w:rsid w:val="000D3112"/>
    <w:rsid w:val="000D3893"/>
    <w:rsid w:val="000D6DB7"/>
    <w:rsid w:val="000D7C1F"/>
    <w:rsid w:val="000E12DD"/>
    <w:rsid w:val="000E3ED3"/>
    <w:rsid w:val="000E4486"/>
    <w:rsid w:val="000F4930"/>
    <w:rsid w:val="000F6AFC"/>
    <w:rsid w:val="00100B41"/>
    <w:rsid w:val="001028D9"/>
    <w:rsid w:val="00103D77"/>
    <w:rsid w:val="001045A7"/>
    <w:rsid w:val="00111DD8"/>
    <w:rsid w:val="00111F37"/>
    <w:rsid w:val="00113D3C"/>
    <w:rsid w:val="00114C42"/>
    <w:rsid w:val="00114D13"/>
    <w:rsid w:val="00123276"/>
    <w:rsid w:val="00130438"/>
    <w:rsid w:val="001316A0"/>
    <w:rsid w:val="001351B0"/>
    <w:rsid w:val="00137FFE"/>
    <w:rsid w:val="00147D86"/>
    <w:rsid w:val="00150B7B"/>
    <w:rsid w:val="001546FC"/>
    <w:rsid w:val="00167025"/>
    <w:rsid w:val="00174197"/>
    <w:rsid w:val="00183F2A"/>
    <w:rsid w:val="00191D80"/>
    <w:rsid w:val="00194FF2"/>
    <w:rsid w:val="00195689"/>
    <w:rsid w:val="001A3318"/>
    <w:rsid w:val="001A3BEB"/>
    <w:rsid w:val="001A58F5"/>
    <w:rsid w:val="001B0F30"/>
    <w:rsid w:val="001B2E5D"/>
    <w:rsid w:val="001B32BE"/>
    <w:rsid w:val="001B7F7D"/>
    <w:rsid w:val="001C077C"/>
    <w:rsid w:val="001C20CD"/>
    <w:rsid w:val="001C2EBD"/>
    <w:rsid w:val="001C37E2"/>
    <w:rsid w:val="001C5CC6"/>
    <w:rsid w:val="001D1279"/>
    <w:rsid w:val="001D2FA8"/>
    <w:rsid w:val="001D35A4"/>
    <w:rsid w:val="001D3943"/>
    <w:rsid w:val="001D408B"/>
    <w:rsid w:val="001D48F1"/>
    <w:rsid w:val="001E2FF2"/>
    <w:rsid w:val="001E7175"/>
    <w:rsid w:val="001F0235"/>
    <w:rsid w:val="001F24AD"/>
    <w:rsid w:val="001F325D"/>
    <w:rsid w:val="001F3557"/>
    <w:rsid w:val="00200758"/>
    <w:rsid w:val="00212A13"/>
    <w:rsid w:val="00214955"/>
    <w:rsid w:val="0021517F"/>
    <w:rsid w:val="00216D04"/>
    <w:rsid w:val="00225CE6"/>
    <w:rsid w:val="00227F5A"/>
    <w:rsid w:val="00231BFF"/>
    <w:rsid w:val="00234D42"/>
    <w:rsid w:val="002366DE"/>
    <w:rsid w:val="00237B6C"/>
    <w:rsid w:val="00240DF6"/>
    <w:rsid w:val="002447EA"/>
    <w:rsid w:val="00244F15"/>
    <w:rsid w:val="002477D4"/>
    <w:rsid w:val="002502CA"/>
    <w:rsid w:val="002517C0"/>
    <w:rsid w:val="00251F8B"/>
    <w:rsid w:val="00260BDE"/>
    <w:rsid w:val="002614B0"/>
    <w:rsid w:val="00261884"/>
    <w:rsid w:val="00262F32"/>
    <w:rsid w:val="00274D99"/>
    <w:rsid w:val="00277D2C"/>
    <w:rsid w:val="002828E1"/>
    <w:rsid w:val="00290A13"/>
    <w:rsid w:val="0029167F"/>
    <w:rsid w:val="0029698F"/>
    <w:rsid w:val="002A0B34"/>
    <w:rsid w:val="002A1698"/>
    <w:rsid w:val="002B018D"/>
    <w:rsid w:val="002B3AF4"/>
    <w:rsid w:val="002C3203"/>
    <w:rsid w:val="002D0CDE"/>
    <w:rsid w:val="002D1062"/>
    <w:rsid w:val="002D12FA"/>
    <w:rsid w:val="002D67FA"/>
    <w:rsid w:val="002E1DC1"/>
    <w:rsid w:val="002E38DB"/>
    <w:rsid w:val="002F33D8"/>
    <w:rsid w:val="002F4F0E"/>
    <w:rsid w:val="002F5234"/>
    <w:rsid w:val="002F54D8"/>
    <w:rsid w:val="00307354"/>
    <w:rsid w:val="0031365E"/>
    <w:rsid w:val="0032110B"/>
    <w:rsid w:val="003240B9"/>
    <w:rsid w:val="00324F27"/>
    <w:rsid w:val="00327FC0"/>
    <w:rsid w:val="00344452"/>
    <w:rsid w:val="003530D9"/>
    <w:rsid w:val="00355C68"/>
    <w:rsid w:val="003572B9"/>
    <w:rsid w:val="0035738C"/>
    <w:rsid w:val="0036061A"/>
    <w:rsid w:val="00361079"/>
    <w:rsid w:val="00365DE0"/>
    <w:rsid w:val="00370336"/>
    <w:rsid w:val="00370DF6"/>
    <w:rsid w:val="0037670E"/>
    <w:rsid w:val="00377F89"/>
    <w:rsid w:val="00380D44"/>
    <w:rsid w:val="00381DF6"/>
    <w:rsid w:val="00384C31"/>
    <w:rsid w:val="00387771"/>
    <w:rsid w:val="00391FCD"/>
    <w:rsid w:val="00394660"/>
    <w:rsid w:val="00394B51"/>
    <w:rsid w:val="00397D27"/>
    <w:rsid w:val="003A05B5"/>
    <w:rsid w:val="003A177D"/>
    <w:rsid w:val="003A4492"/>
    <w:rsid w:val="003B2552"/>
    <w:rsid w:val="003B4A54"/>
    <w:rsid w:val="003C090A"/>
    <w:rsid w:val="003C393A"/>
    <w:rsid w:val="003D18AF"/>
    <w:rsid w:val="003D6166"/>
    <w:rsid w:val="003D632C"/>
    <w:rsid w:val="003E2A66"/>
    <w:rsid w:val="003E6C5C"/>
    <w:rsid w:val="003F0853"/>
    <w:rsid w:val="003F15E2"/>
    <w:rsid w:val="003F26E1"/>
    <w:rsid w:val="003F30FD"/>
    <w:rsid w:val="003F5F7C"/>
    <w:rsid w:val="003F6DCC"/>
    <w:rsid w:val="003F76C3"/>
    <w:rsid w:val="00407D07"/>
    <w:rsid w:val="0041068E"/>
    <w:rsid w:val="0041230B"/>
    <w:rsid w:val="00412C3D"/>
    <w:rsid w:val="00417CA3"/>
    <w:rsid w:val="00420769"/>
    <w:rsid w:val="00421410"/>
    <w:rsid w:val="004220B2"/>
    <w:rsid w:val="00424E11"/>
    <w:rsid w:val="004326DA"/>
    <w:rsid w:val="00432A38"/>
    <w:rsid w:val="00437B9F"/>
    <w:rsid w:val="00445837"/>
    <w:rsid w:val="00447890"/>
    <w:rsid w:val="00452199"/>
    <w:rsid w:val="00452E7F"/>
    <w:rsid w:val="004535CF"/>
    <w:rsid w:val="00455FD1"/>
    <w:rsid w:val="00465A63"/>
    <w:rsid w:val="0047082D"/>
    <w:rsid w:val="00474BA0"/>
    <w:rsid w:val="00475BC4"/>
    <w:rsid w:val="00476DE0"/>
    <w:rsid w:val="00476F38"/>
    <w:rsid w:val="004774BB"/>
    <w:rsid w:val="00485005"/>
    <w:rsid w:val="0049171C"/>
    <w:rsid w:val="00491A4E"/>
    <w:rsid w:val="00494524"/>
    <w:rsid w:val="004A2527"/>
    <w:rsid w:val="004A6E28"/>
    <w:rsid w:val="004A7473"/>
    <w:rsid w:val="004A7B5F"/>
    <w:rsid w:val="004B078A"/>
    <w:rsid w:val="004B2762"/>
    <w:rsid w:val="004B4629"/>
    <w:rsid w:val="004B5ABD"/>
    <w:rsid w:val="004B72B2"/>
    <w:rsid w:val="004C0320"/>
    <w:rsid w:val="004C1F94"/>
    <w:rsid w:val="004C2578"/>
    <w:rsid w:val="004C515D"/>
    <w:rsid w:val="004D1EB5"/>
    <w:rsid w:val="004D3C9D"/>
    <w:rsid w:val="004D6F1B"/>
    <w:rsid w:val="004E0D9B"/>
    <w:rsid w:val="004E2F19"/>
    <w:rsid w:val="004F3817"/>
    <w:rsid w:val="004F491D"/>
    <w:rsid w:val="004F57CD"/>
    <w:rsid w:val="004F7B37"/>
    <w:rsid w:val="0050120B"/>
    <w:rsid w:val="00501686"/>
    <w:rsid w:val="00501DD8"/>
    <w:rsid w:val="00504E0E"/>
    <w:rsid w:val="00510901"/>
    <w:rsid w:val="0051359C"/>
    <w:rsid w:val="00515CF7"/>
    <w:rsid w:val="00517918"/>
    <w:rsid w:val="0052375A"/>
    <w:rsid w:val="00524DE5"/>
    <w:rsid w:val="00527E80"/>
    <w:rsid w:val="00530810"/>
    <w:rsid w:val="0053224A"/>
    <w:rsid w:val="00533757"/>
    <w:rsid w:val="005351E4"/>
    <w:rsid w:val="005429EE"/>
    <w:rsid w:val="00542C07"/>
    <w:rsid w:val="00547632"/>
    <w:rsid w:val="00547B9C"/>
    <w:rsid w:val="005579EC"/>
    <w:rsid w:val="00565438"/>
    <w:rsid w:val="005666EC"/>
    <w:rsid w:val="005670E7"/>
    <w:rsid w:val="005673DC"/>
    <w:rsid w:val="00581114"/>
    <w:rsid w:val="00581F9C"/>
    <w:rsid w:val="00585C56"/>
    <w:rsid w:val="00587D98"/>
    <w:rsid w:val="00595E1A"/>
    <w:rsid w:val="0059652E"/>
    <w:rsid w:val="005965F5"/>
    <w:rsid w:val="00597232"/>
    <w:rsid w:val="005A4B85"/>
    <w:rsid w:val="005B12A5"/>
    <w:rsid w:val="005B36D7"/>
    <w:rsid w:val="005B4843"/>
    <w:rsid w:val="005B5D5F"/>
    <w:rsid w:val="005B67FC"/>
    <w:rsid w:val="005C1130"/>
    <w:rsid w:val="005C1227"/>
    <w:rsid w:val="005C2613"/>
    <w:rsid w:val="005C5518"/>
    <w:rsid w:val="005C6091"/>
    <w:rsid w:val="005D7C50"/>
    <w:rsid w:val="005E01E3"/>
    <w:rsid w:val="005E1F2A"/>
    <w:rsid w:val="005E2512"/>
    <w:rsid w:val="005E5619"/>
    <w:rsid w:val="00612F43"/>
    <w:rsid w:val="006145D2"/>
    <w:rsid w:val="00616239"/>
    <w:rsid w:val="00623E59"/>
    <w:rsid w:val="00627BE6"/>
    <w:rsid w:val="00630ED3"/>
    <w:rsid w:val="0063461D"/>
    <w:rsid w:val="00640ACF"/>
    <w:rsid w:val="00650197"/>
    <w:rsid w:val="00650D2E"/>
    <w:rsid w:val="00660BE8"/>
    <w:rsid w:val="00660FA3"/>
    <w:rsid w:val="00661E23"/>
    <w:rsid w:val="00672B6D"/>
    <w:rsid w:val="00673BF4"/>
    <w:rsid w:val="00674F58"/>
    <w:rsid w:val="00677A2A"/>
    <w:rsid w:val="006813E0"/>
    <w:rsid w:val="00685F6D"/>
    <w:rsid w:val="00690DD2"/>
    <w:rsid w:val="00693C56"/>
    <w:rsid w:val="00695E69"/>
    <w:rsid w:val="006A3863"/>
    <w:rsid w:val="006A3B86"/>
    <w:rsid w:val="006B315F"/>
    <w:rsid w:val="006B389F"/>
    <w:rsid w:val="006B4454"/>
    <w:rsid w:val="006B4F5F"/>
    <w:rsid w:val="006C0BE2"/>
    <w:rsid w:val="006C745D"/>
    <w:rsid w:val="006C7D15"/>
    <w:rsid w:val="006D0372"/>
    <w:rsid w:val="006D0B7F"/>
    <w:rsid w:val="006D0C94"/>
    <w:rsid w:val="006D23A3"/>
    <w:rsid w:val="006D6ABD"/>
    <w:rsid w:val="006E195D"/>
    <w:rsid w:val="006E58D9"/>
    <w:rsid w:val="006E7999"/>
    <w:rsid w:val="006F2697"/>
    <w:rsid w:val="006F7170"/>
    <w:rsid w:val="00720A30"/>
    <w:rsid w:val="00721AE4"/>
    <w:rsid w:val="00723454"/>
    <w:rsid w:val="007271CA"/>
    <w:rsid w:val="00730BB5"/>
    <w:rsid w:val="007314A0"/>
    <w:rsid w:val="00731F5F"/>
    <w:rsid w:val="007326DF"/>
    <w:rsid w:val="00742A37"/>
    <w:rsid w:val="00754B00"/>
    <w:rsid w:val="00763F6F"/>
    <w:rsid w:val="00765F8B"/>
    <w:rsid w:val="00767C71"/>
    <w:rsid w:val="00774217"/>
    <w:rsid w:val="007752FF"/>
    <w:rsid w:val="00776D2B"/>
    <w:rsid w:val="007812FC"/>
    <w:rsid w:val="007815C0"/>
    <w:rsid w:val="00782BC6"/>
    <w:rsid w:val="00783A4E"/>
    <w:rsid w:val="00785313"/>
    <w:rsid w:val="00785EE7"/>
    <w:rsid w:val="007873C3"/>
    <w:rsid w:val="00793DD7"/>
    <w:rsid w:val="00797A26"/>
    <w:rsid w:val="007A3B57"/>
    <w:rsid w:val="007A73BE"/>
    <w:rsid w:val="007A78BE"/>
    <w:rsid w:val="007B38A5"/>
    <w:rsid w:val="007B3E0D"/>
    <w:rsid w:val="007B4C66"/>
    <w:rsid w:val="007C001C"/>
    <w:rsid w:val="007C0E95"/>
    <w:rsid w:val="007C32F6"/>
    <w:rsid w:val="007C748B"/>
    <w:rsid w:val="007D28DE"/>
    <w:rsid w:val="007E012D"/>
    <w:rsid w:val="007E52C7"/>
    <w:rsid w:val="007E6808"/>
    <w:rsid w:val="007F0394"/>
    <w:rsid w:val="007F1029"/>
    <w:rsid w:val="007F4B19"/>
    <w:rsid w:val="00806040"/>
    <w:rsid w:val="008156F9"/>
    <w:rsid w:val="008161B2"/>
    <w:rsid w:val="00832565"/>
    <w:rsid w:val="008336D0"/>
    <w:rsid w:val="00835D26"/>
    <w:rsid w:val="00836111"/>
    <w:rsid w:val="00837F73"/>
    <w:rsid w:val="00837FE5"/>
    <w:rsid w:val="008400E1"/>
    <w:rsid w:val="00844D40"/>
    <w:rsid w:val="0085080D"/>
    <w:rsid w:val="00851423"/>
    <w:rsid w:val="00851E9E"/>
    <w:rsid w:val="008526E8"/>
    <w:rsid w:val="00853E97"/>
    <w:rsid w:val="00863FA6"/>
    <w:rsid w:val="00867B6F"/>
    <w:rsid w:val="00871AD9"/>
    <w:rsid w:val="00881178"/>
    <w:rsid w:val="00881E5D"/>
    <w:rsid w:val="00884F2A"/>
    <w:rsid w:val="0088710F"/>
    <w:rsid w:val="00887728"/>
    <w:rsid w:val="00887BB7"/>
    <w:rsid w:val="00890FEA"/>
    <w:rsid w:val="00894685"/>
    <w:rsid w:val="00897839"/>
    <w:rsid w:val="008A0EA8"/>
    <w:rsid w:val="008A71DE"/>
    <w:rsid w:val="008D3798"/>
    <w:rsid w:val="008D4C33"/>
    <w:rsid w:val="008D6398"/>
    <w:rsid w:val="008E2155"/>
    <w:rsid w:val="008E2C6F"/>
    <w:rsid w:val="008E6CAE"/>
    <w:rsid w:val="008F047D"/>
    <w:rsid w:val="008F309D"/>
    <w:rsid w:val="008F4D12"/>
    <w:rsid w:val="009136FA"/>
    <w:rsid w:val="009166B6"/>
    <w:rsid w:val="00916884"/>
    <w:rsid w:val="00917A6A"/>
    <w:rsid w:val="00920F2D"/>
    <w:rsid w:val="00921A1B"/>
    <w:rsid w:val="00922FF4"/>
    <w:rsid w:val="009347F0"/>
    <w:rsid w:val="00935F33"/>
    <w:rsid w:val="0093638A"/>
    <w:rsid w:val="009378FF"/>
    <w:rsid w:val="00940506"/>
    <w:rsid w:val="00940754"/>
    <w:rsid w:val="00944A63"/>
    <w:rsid w:val="00945B4E"/>
    <w:rsid w:val="00947B06"/>
    <w:rsid w:val="00947B15"/>
    <w:rsid w:val="00952E08"/>
    <w:rsid w:val="00954B41"/>
    <w:rsid w:val="00956005"/>
    <w:rsid w:val="00956999"/>
    <w:rsid w:val="00964933"/>
    <w:rsid w:val="009717D1"/>
    <w:rsid w:val="00974FDE"/>
    <w:rsid w:val="00975BF1"/>
    <w:rsid w:val="00980E9A"/>
    <w:rsid w:val="00987DE6"/>
    <w:rsid w:val="00993180"/>
    <w:rsid w:val="009A3031"/>
    <w:rsid w:val="009A6AB7"/>
    <w:rsid w:val="009B11C6"/>
    <w:rsid w:val="009C5E0B"/>
    <w:rsid w:val="009D30D0"/>
    <w:rsid w:val="009D3DF0"/>
    <w:rsid w:val="009D4EB3"/>
    <w:rsid w:val="009F05BF"/>
    <w:rsid w:val="009F1D70"/>
    <w:rsid w:val="009F5944"/>
    <w:rsid w:val="00A0021E"/>
    <w:rsid w:val="00A0658F"/>
    <w:rsid w:val="00A13F55"/>
    <w:rsid w:val="00A140B5"/>
    <w:rsid w:val="00A154A5"/>
    <w:rsid w:val="00A2031A"/>
    <w:rsid w:val="00A20C84"/>
    <w:rsid w:val="00A26CD6"/>
    <w:rsid w:val="00A31F3B"/>
    <w:rsid w:val="00A33138"/>
    <w:rsid w:val="00A36CBA"/>
    <w:rsid w:val="00A42D38"/>
    <w:rsid w:val="00A4389F"/>
    <w:rsid w:val="00A4409F"/>
    <w:rsid w:val="00A44808"/>
    <w:rsid w:val="00A504C2"/>
    <w:rsid w:val="00A5136B"/>
    <w:rsid w:val="00A51A65"/>
    <w:rsid w:val="00A53FC4"/>
    <w:rsid w:val="00A6075D"/>
    <w:rsid w:val="00A63181"/>
    <w:rsid w:val="00A74C7D"/>
    <w:rsid w:val="00A773DA"/>
    <w:rsid w:val="00A77796"/>
    <w:rsid w:val="00A77E3A"/>
    <w:rsid w:val="00A81F35"/>
    <w:rsid w:val="00A8382F"/>
    <w:rsid w:val="00A8579A"/>
    <w:rsid w:val="00A93708"/>
    <w:rsid w:val="00AA2A31"/>
    <w:rsid w:val="00AA4211"/>
    <w:rsid w:val="00AA5F39"/>
    <w:rsid w:val="00AB0F41"/>
    <w:rsid w:val="00AB4BB0"/>
    <w:rsid w:val="00AB5344"/>
    <w:rsid w:val="00AC0BBE"/>
    <w:rsid w:val="00AC2EAE"/>
    <w:rsid w:val="00AD1F63"/>
    <w:rsid w:val="00AE6B0A"/>
    <w:rsid w:val="00AF044A"/>
    <w:rsid w:val="00AF2497"/>
    <w:rsid w:val="00AF6EDC"/>
    <w:rsid w:val="00B002B8"/>
    <w:rsid w:val="00B049AB"/>
    <w:rsid w:val="00B079E9"/>
    <w:rsid w:val="00B16FDE"/>
    <w:rsid w:val="00B1736E"/>
    <w:rsid w:val="00B2427E"/>
    <w:rsid w:val="00B26353"/>
    <w:rsid w:val="00B32F59"/>
    <w:rsid w:val="00B330CE"/>
    <w:rsid w:val="00B34DB9"/>
    <w:rsid w:val="00B3655C"/>
    <w:rsid w:val="00B36918"/>
    <w:rsid w:val="00B37BD5"/>
    <w:rsid w:val="00B4089B"/>
    <w:rsid w:val="00B41501"/>
    <w:rsid w:val="00B4252A"/>
    <w:rsid w:val="00B43FD3"/>
    <w:rsid w:val="00B46280"/>
    <w:rsid w:val="00B54753"/>
    <w:rsid w:val="00B56DAC"/>
    <w:rsid w:val="00B65C66"/>
    <w:rsid w:val="00B66525"/>
    <w:rsid w:val="00B7201D"/>
    <w:rsid w:val="00B72D56"/>
    <w:rsid w:val="00B73385"/>
    <w:rsid w:val="00B7660A"/>
    <w:rsid w:val="00B80D78"/>
    <w:rsid w:val="00B80F1F"/>
    <w:rsid w:val="00B81D14"/>
    <w:rsid w:val="00B85715"/>
    <w:rsid w:val="00B86CFA"/>
    <w:rsid w:val="00B87EBA"/>
    <w:rsid w:val="00B92B61"/>
    <w:rsid w:val="00B969D4"/>
    <w:rsid w:val="00BA230A"/>
    <w:rsid w:val="00BA7BA1"/>
    <w:rsid w:val="00BB2229"/>
    <w:rsid w:val="00BC087F"/>
    <w:rsid w:val="00BC23E1"/>
    <w:rsid w:val="00BC2882"/>
    <w:rsid w:val="00BC31D3"/>
    <w:rsid w:val="00BC3AF2"/>
    <w:rsid w:val="00BC4513"/>
    <w:rsid w:val="00BC476E"/>
    <w:rsid w:val="00BC6912"/>
    <w:rsid w:val="00BD1EE5"/>
    <w:rsid w:val="00BD3E25"/>
    <w:rsid w:val="00BE0143"/>
    <w:rsid w:val="00BE088D"/>
    <w:rsid w:val="00BE60C2"/>
    <w:rsid w:val="00BF4005"/>
    <w:rsid w:val="00BF56EB"/>
    <w:rsid w:val="00BF5FDD"/>
    <w:rsid w:val="00C010CC"/>
    <w:rsid w:val="00C04234"/>
    <w:rsid w:val="00C143F0"/>
    <w:rsid w:val="00C15280"/>
    <w:rsid w:val="00C16649"/>
    <w:rsid w:val="00C21042"/>
    <w:rsid w:val="00C22F47"/>
    <w:rsid w:val="00C25298"/>
    <w:rsid w:val="00C263DA"/>
    <w:rsid w:val="00C30738"/>
    <w:rsid w:val="00C5471C"/>
    <w:rsid w:val="00C558A1"/>
    <w:rsid w:val="00C56029"/>
    <w:rsid w:val="00C5695E"/>
    <w:rsid w:val="00C63E4A"/>
    <w:rsid w:val="00C7198C"/>
    <w:rsid w:val="00C7213E"/>
    <w:rsid w:val="00C76F2B"/>
    <w:rsid w:val="00C771C0"/>
    <w:rsid w:val="00C820FE"/>
    <w:rsid w:val="00C8580D"/>
    <w:rsid w:val="00C876BD"/>
    <w:rsid w:val="00C91326"/>
    <w:rsid w:val="00C91B70"/>
    <w:rsid w:val="00C95585"/>
    <w:rsid w:val="00CA0E82"/>
    <w:rsid w:val="00CA705C"/>
    <w:rsid w:val="00CB17C8"/>
    <w:rsid w:val="00CB2F62"/>
    <w:rsid w:val="00CB3130"/>
    <w:rsid w:val="00CB4928"/>
    <w:rsid w:val="00CD06D5"/>
    <w:rsid w:val="00CD5F66"/>
    <w:rsid w:val="00CE2915"/>
    <w:rsid w:val="00CE48BB"/>
    <w:rsid w:val="00CF1CB7"/>
    <w:rsid w:val="00CF7DD5"/>
    <w:rsid w:val="00D013C8"/>
    <w:rsid w:val="00D03E8B"/>
    <w:rsid w:val="00D06BE0"/>
    <w:rsid w:val="00D13DC7"/>
    <w:rsid w:val="00D16B1B"/>
    <w:rsid w:val="00D30499"/>
    <w:rsid w:val="00D340ED"/>
    <w:rsid w:val="00D414AB"/>
    <w:rsid w:val="00D56268"/>
    <w:rsid w:val="00D57F76"/>
    <w:rsid w:val="00D766DC"/>
    <w:rsid w:val="00D84ADA"/>
    <w:rsid w:val="00D853F5"/>
    <w:rsid w:val="00D859DE"/>
    <w:rsid w:val="00D87D5F"/>
    <w:rsid w:val="00D919D9"/>
    <w:rsid w:val="00D9238E"/>
    <w:rsid w:val="00D9776A"/>
    <w:rsid w:val="00DA4501"/>
    <w:rsid w:val="00DA4F2B"/>
    <w:rsid w:val="00DA5FEE"/>
    <w:rsid w:val="00DA6C7F"/>
    <w:rsid w:val="00DB1006"/>
    <w:rsid w:val="00DB57C9"/>
    <w:rsid w:val="00DB5F48"/>
    <w:rsid w:val="00DB79D6"/>
    <w:rsid w:val="00DC59D6"/>
    <w:rsid w:val="00DC60AC"/>
    <w:rsid w:val="00DD364C"/>
    <w:rsid w:val="00DD4EB3"/>
    <w:rsid w:val="00DD7167"/>
    <w:rsid w:val="00DD7E7D"/>
    <w:rsid w:val="00DE139B"/>
    <w:rsid w:val="00DE34F1"/>
    <w:rsid w:val="00DE40FB"/>
    <w:rsid w:val="00DF65D2"/>
    <w:rsid w:val="00E0381A"/>
    <w:rsid w:val="00E2087D"/>
    <w:rsid w:val="00E222B8"/>
    <w:rsid w:val="00E25E6A"/>
    <w:rsid w:val="00E30A09"/>
    <w:rsid w:val="00E33D32"/>
    <w:rsid w:val="00E36209"/>
    <w:rsid w:val="00E4010A"/>
    <w:rsid w:val="00E508F5"/>
    <w:rsid w:val="00E54015"/>
    <w:rsid w:val="00E57AE9"/>
    <w:rsid w:val="00E6086B"/>
    <w:rsid w:val="00E6237C"/>
    <w:rsid w:val="00E70F83"/>
    <w:rsid w:val="00E71E4A"/>
    <w:rsid w:val="00E73393"/>
    <w:rsid w:val="00E74D23"/>
    <w:rsid w:val="00E74DFA"/>
    <w:rsid w:val="00E75CFD"/>
    <w:rsid w:val="00E8370B"/>
    <w:rsid w:val="00E83EC9"/>
    <w:rsid w:val="00E87184"/>
    <w:rsid w:val="00E87533"/>
    <w:rsid w:val="00E944D7"/>
    <w:rsid w:val="00E94998"/>
    <w:rsid w:val="00EA5E30"/>
    <w:rsid w:val="00EC02F1"/>
    <w:rsid w:val="00EE47B0"/>
    <w:rsid w:val="00EE7555"/>
    <w:rsid w:val="00EE78E5"/>
    <w:rsid w:val="00EF05B9"/>
    <w:rsid w:val="00EF59C3"/>
    <w:rsid w:val="00EF749C"/>
    <w:rsid w:val="00F0222D"/>
    <w:rsid w:val="00F036AB"/>
    <w:rsid w:val="00F051D9"/>
    <w:rsid w:val="00F07784"/>
    <w:rsid w:val="00F137E6"/>
    <w:rsid w:val="00F14617"/>
    <w:rsid w:val="00F14661"/>
    <w:rsid w:val="00F22426"/>
    <w:rsid w:val="00F2698F"/>
    <w:rsid w:val="00F4011D"/>
    <w:rsid w:val="00F4237A"/>
    <w:rsid w:val="00F42600"/>
    <w:rsid w:val="00F43FF4"/>
    <w:rsid w:val="00F53EB5"/>
    <w:rsid w:val="00F54A24"/>
    <w:rsid w:val="00F54FEA"/>
    <w:rsid w:val="00F553FB"/>
    <w:rsid w:val="00F611CA"/>
    <w:rsid w:val="00F61215"/>
    <w:rsid w:val="00F61D33"/>
    <w:rsid w:val="00F6247A"/>
    <w:rsid w:val="00F656E7"/>
    <w:rsid w:val="00F6621F"/>
    <w:rsid w:val="00F66767"/>
    <w:rsid w:val="00F67AE8"/>
    <w:rsid w:val="00F72F22"/>
    <w:rsid w:val="00F733F0"/>
    <w:rsid w:val="00F80C18"/>
    <w:rsid w:val="00F8269A"/>
    <w:rsid w:val="00F87D35"/>
    <w:rsid w:val="00F9529D"/>
    <w:rsid w:val="00FA0050"/>
    <w:rsid w:val="00FA0D01"/>
    <w:rsid w:val="00FC29B1"/>
    <w:rsid w:val="00FC7592"/>
    <w:rsid w:val="00FC770F"/>
    <w:rsid w:val="00FD2679"/>
    <w:rsid w:val="00FD40EB"/>
    <w:rsid w:val="00FD46B2"/>
    <w:rsid w:val="00FD63AC"/>
    <w:rsid w:val="00FE1CDB"/>
    <w:rsid w:val="00FE2871"/>
    <w:rsid w:val="00FE2B19"/>
    <w:rsid w:val="00FE3BE9"/>
    <w:rsid w:val="00FE6042"/>
    <w:rsid w:val="00FE6C55"/>
    <w:rsid w:val="00FF269E"/>
    <w:rsid w:val="00FF3251"/>
    <w:rsid w:val="00FF3578"/>
    <w:rsid w:val="034215CC"/>
    <w:rsid w:val="034D1875"/>
    <w:rsid w:val="03A810DA"/>
    <w:rsid w:val="04793982"/>
    <w:rsid w:val="0914216F"/>
    <w:rsid w:val="09263EDE"/>
    <w:rsid w:val="099F699F"/>
    <w:rsid w:val="0BB90B94"/>
    <w:rsid w:val="0BF558B0"/>
    <w:rsid w:val="0C6F4F00"/>
    <w:rsid w:val="0CBA42B6"/>
    <w:rsid w:val="0CD07931"/>
    <w:rsid w:val="0E220EFD"/>
    <w:rsid w:val="0E300DF1"/>
    <w:rsid w:val="106000A3"/>
    <w:rsid w:val="106D2E5F"/>
    <w:rsid w:val="10C92BDE"/>
    <w:rsid w:val="11E06D1D"/>
    <w:rsid w:val="14BD6DE9"/>
    <w:rsid w:val="151B0610"/>
    <w:rsid w:val="153967D9"/>
    <w:rsid w:val="15A51265"/>
    <w:rsid w:val="1602563E"/>
    <w:rsid w:val="172042BD"/>
    <w:rsid w:val="17DF730A"/>
    <w:rsid w:val="182037F9"/>
    <w:rsid w:val="1871150E"/>
    <w:rsid w:val="193B0DD2"/>
    <w:rsid w:val="1950525E"/>
    <w:rsid w:val="19995649"/>
    <w:rsid w:val="1A4B0BD2"/>
    <w:rsid w:val="1B142ABF"/>
    <w:rsid w:val="1BB02F43"/>
    <w:rsid w:val="1C8E7E91"/>
    <w:rsid w:val="1CD92D71"/>
    <w:rsid w:val="1DA91524"/>
    <w:rsid w:val="1DBC2256"/>
    <w:rsid w:val="1F57560A"/>
    <w:rsid w:val="20DD1860"/>
    <w:rsid w:val="21416467"/>
    <w:rsid w:val="21467DDF"/>
    <w:rsid w:val="2258468B"/>
    <w:rsid w:val="24977CE4"/>
    <w:rsid w:val="250C493B"/>
    <w:rsid w:val="26E64670"/>
    <w:rsid w:val="272712C8"/>
    <w:rsid w:val="29CF7033"/>
    <w:rsid w:val="2C672FEB"/>
    <w:rsid w:val="2D12102F"/>
    <w:rsid w:val="2F3F3674"/>
    <w:rsid w:val="2F6F6534"/>
    <w:rsid w:val="2FB62CD5"/>
    <w:rsid w:val="3166404B"/>
    <w:rsid w:val="316E4BCF"/>
    <w:rsid w:val="32FB3069"/>
    <w:rsid w:val="332831C8"/>
    <w:rsid w:val="359C2633"/>
    <w:rsid w:val="35C82541"/>
    <w:rsid w:val="360A4426"/>
    <w:rsid w:val="37623BD0"/>
    <w:rsid w:val="378A2746"/>
    <w:rsid w:val="382035D9"/>
    <w:rsid w:val="390E2AE7"/>
    <w:rsid w:val="39B12B9E"/>
    <w:rsid w:val="3A2A6D06"/>
    <w:rsid w:val="3AAD4D2B"/>
    <w:rsid w:val="3BA17D0E"/>
    <w:rsid w:val="3C7F4653"/>
    <w:rsid w:val="3D5C793D"/>
    <w:rsid w:val="3DFD6225"/>
    <w:rsid w:val="3E0B15BA"/>
    <w:rsid w:val="3EC639AA"/>
    <w:rsid w:val="3FE24704"/>
    <w:rsid w:val="40C10AD3"/>
    <w:rsid w:val="427631AB"/>
    <w:rsid w:val="43A8211E"/>
    <w:rsid w:val="4464587F"/>
    <w:rsid w:val="45455C37"/>
    <w:rsid w:val="47C07043"/>
    <w:rsid w:val="4B3A5EC6"/>
    <w:rsid w:val="4D722D5E"/>
    <w:rsid w:val="4DEE463E"/>
    <w:rsid w:val="50A4483B"/>
    <w:rsid w:val="50D54E3C"/>
    <w:rsid w:val="51AF26D5"/>
    <w:rsid w:val="532F052B"/>
    <w:rsid w:val="53CB1533"/>
    <w:rsid w:val="54A90501"/>
    <w:rsid w:val="552402CA"/>
    <w:rsid w:val="55434855"/>
    <w:rsid w:val="56490C7C"/>
    <w:rsid w:val="58343EAC"/>
    <w:rsid w:val="58F33E0F"/>
    <w:rsid w:val="597E6C17"/>
    <w:rsid w:val="5B920EBC"/>
    <w:rsid w:val="5BFA6CAE"/>
    <w:rsid w:val="5D0D24D3"/>
    <w:rsid w:val="5D654113"/>
    <w:rsid w:val="5D676170"/>
    <w:rsid w:val="5DB45A4D"/>
    <w:rsid w:val="5E2A7A6D"/>
    <w:rsid w:val="5E3D22F6"/>
    <w:rsid w:val="5E9E5CF6"/>
    <w:rsid w:val="5F5A3274"/>
    <w:rsid w:val="5F5C54EB"/>
    <w:rsid w:val="5FB62CE4"/>
    <w:rsid w:val="5FDC66AB"/>
    <w:rsid w:val="60886E86"/>
    <w:rsid w:val="61426FC7"/>
    <w:rsid w:val="635A6060"/>
    <w:rsid w:val="64440A64"/>
    <w:rsid w:val="659D1EC8"/>
    <w:rsid w:val="65C42961"/>
    <w:rsid w:val="66AD6F06"/>
    <w:rsid w:val="67F355EF"/>
    <w:rsid w:val="68727AEB"/>
    <w:rsid w:val="68CB2404"/>
    <w:rsid w:val="6B353E8E"/>
    <w:rsid w:val="6B7A4196"/>
    <w:rsid w:val="6BC94628"/>
    <w:rsid w:val="6D082DCE"/>
    <w:rsid w:val="6DD964A3"/>
    <w:rsid w:val="6F514B5B"/>
    <w:rsid w:val="6FE46FB1"/>
    <w:rsid w:val="70071414"/>
    <w:rsid w:val="712C720C"/>
    <w:rsid w:val="74605603"/>
    <w:rsid w:val="74EA6BF5"/>
    <w:rsid w:val="75903C84"/>
    <w:rsid w:val="766E0138"/>
    <w:rsid w:val="76DA4E14"/>
    <w:rsid w:val="78C05101"/>
    <w:rsid w:val="79273F04"/>
    <w:rsid w:val="7A0850E0"/>
    <w:rsid w:val="7BAB2825"/>
    <w:rsid w:val="7C4A2B81"/>
    <w:rsid w:val="7C754D92"/>
    <w:rsid w:val="7FAA3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31"/>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179"/>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7"/>
    <w:unhideWhenUsed/>
    <w:qFormat/>
    <w:uiPriority w:val="99"/>
    <w:rPr>
      <w:kern w:val="0"/>
      <w:sz w:val="18"/>
      <w:szCs w:val="18"/>
    </w:rPr>
  </w:style>
  <w:style w:type="paragraph" w:styleId="12">
    <w:name w:val="footer"/>
    <w:basedOn w:val="1"/>
    <w:link w:val="35"/>
    <w:unhideWhenUsed/>
    <w:qFormat/>
    <w:uiPriority w:val="99"/>
    <w:pPr>
      <w:tabs>
        <w:tab w:val="center" w:pos="4153"/>
        <w:tab w:val="right" w:pos="8306"/>
      </w:tabs>
      <w:snapToGrid w:val="0"/>
      <w:jc w:val="left"/>
    </w:pPr>
    <w:rPr>
      <w:kern w:val="0"/>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21">
    <w:name w:val="Strong"/>
    <w:basedOn w:val="20"/>
    <w:qFormat/>
    <w:uiPriority w:val="0"/>
    <w:rPr>
      <w:b/>
      <w:bCs/>
    </w:rPr>
  </w:style>
  <w:style w:type="character" w:styleId="22">
    <w:name w:val="page number"/>
    <w:basedOn w:val="20"/>
    <w:qFormat/>
    <w:uiPriority w:val="0"/>
  </w:style>
  <w:style w:type="character" w:styleId="23">
    <w:name w:val="FollowedHyperlink"/>
    <w:qFormat/>
    <w:uiPriority w:val="99"/>
    <w:rPr>
      <w:color w:val="800080"/>
      <w:u w:val="single"/>
    </w:rPr>
  </w:style>
  <w:style w:type="character" w:styleId="24">
    <w:name w:val="Hyperlink"/>
    <w:qFormat/>
    <w:uiPriority w:val="99"/>
    <w:rPr>
      <w:color w:val="0000FF"/>
      <w:u w:val="single"/>
    </w:rPr>
  </w:style>
  <w:style w:type="table" w:styleId="26">
    <w:name w:val="Table Grid"/>
    <w:basedOn w:val="25"/>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27">
    <w:name w:val="Table Theme"/>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8">
    <w:name w:val="标题 3 Char"/>
    <w:qFormat/>
    <w:uiPriority w:val="0"/>
    <w:rPr>
      <w:rFonts w:eastAsia="宋体"/>
      <w:b/>
      <w:bCs/>
      <w:kern w:val="2"/>
      <w:sz w:val="32"/>
      <w:szCs w:val="32"/>
      <w:lang w:val="en-US" w:eastAsia="zh-CN" w:bidi="ar-SA"/>
    </w:rPr>
  </w:style>
  <w:style w:type="character" w:customStyle="1" w:styleId="29">
    <w:name w:val="页眉 Char"/>
    <w:link w:val="13"/>
    <w:qFormat/>
    <w:uiPriority w:val="99"/>
    <w:rPr>
      <w:sz w:val="18"/>
      <w:szCs w:val="18"/>
    </w:rPr>
  </w:style>
  <w:style w:type="character" w:customStyle="1" w:styleId="30">
    <w:name w:val="showtext"/>
    <w:basedOn w:val="20"/>
    <w:qFormat/>
    <w:uiPriority w:val="0"/>
  </w:style>
  <w:style w:type="character" w:customStyle="1" w:styleId="31">
    <w:name w:val="标题 2 Char1"/>
    <w:link w:val="3"/>
    <w:qFormat/>
    <w:uiPriority w:val="9"/>
    <w:rPr>
      <w:rFonts w:ascii="Cambria" w:hAnsi="Cambria"/>
      <w:b/>
      <w:bCs/>
      <w:kern w:val="2"/>
      <w:sz w:val="28"/>
      <w:szCs w:val="32"/>
    </w:rPr>
  </w:style>
  <w:style w:type="character" w:customStyle="1" w:styleId="32">
    <w:name w:val="普通 (Web) Char Char2"/>
    <w:qFormat/>
    <w:locked/>
    <w:uiPriority w:val="0"/>
    <w:rPr>
      <w:rFonts w:ascii="宋体" w:hAnsi="宋体" w:eastAsia="宋体" w:cs="宋体"/>
      <w:sz w:val="24"/>
      <w:szCs w:val="24"/>
      <w:lang w:val="en-US" w:eastAsia="zh-CN" w:bidi="ar-SA"/>
    </w:rPr>
  </w:style>
  <w:style w:type="character" w:customStyle="1" w:styleId="33">
    <w:name w:val="apple-converted-space"/>
    <w:basedOn w:val="20"/>
    <w:qFormat/>
    <w:uiPriority w:val="0"/>
  </w:style>
  <w:style w:type="character" w:customStyle="1" w:styleId="34">
    <w:name w:val="标题 1 Char"/>
    <w:link w:val="2"/>
    <w:qFormat/>
    <w:uiPriority w:val="9"/>
    <w:rPr>
      <w:rFonts w:eastAsia="黑体"/>
      <w:b/>
      <w:bCs/>
      <w:kern w:val="44"/>
      <w:sz w:val="32"/>
      <w:szCs w:val="44"/>
    </w:rPr>
  </w:style>
  <w:style w:type="character" w:customStyle="1" w:styleId="35">
    <w:name w:val="页脚 Char"/>
    <w:link w:val="12"/>
    <w:qFormat/>
    <w:uiPriority w:val="99"/>
    <w:rPr>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批注框文本 Char"/>
    <w:link w:val="11"/>
    <w:semiHidden/>
    <w:qFormat/>
    <w:uiPriority w:val="99"/>
    <w:rPr>
      <w:sz w:val="18"/>
      <w:szCs w:val="18"/>
    </w:rPr>
  </w:style>
  <w:style w:type="character" w:customStyle="1" w:styleId="38">
    <w:name w:val="style11"/>
    <w:qFormat/>
    <w:uiPriority w:val="0"/>
    <w:rPr>
      <w:color w:val="999999"/>
      <w:sz w:val="18"/>
      <w:szCs w:val="18"/>
    </w:rPr>
  </w:style>
  <w:style w:type="character" w:customStyle="1" w:styleId="39">
    <w:name w:val="副标题 Char"/>
    <w:link w:val="15"/>
    <w:qFormat/>
    <w:uiPriority w:val="11"/>
    <w:rPr>
      <w:rFonts w:ascii="Cambria" w:hAnsi="Cambria" w:cs="Times New Roman"/>
      <w:b/>
      <w:bCs/>
      <w:kern w:val="28"/>
      <w:sz w:val="32"/>
      <w:szCs w:val="32"/>
    </w:rPr>
  </w:style>
  <w:style w:type="character" w:customStyle="1" w:styleId="40">
    <w:name w:val="标题 2 Char"/>
    <w:qFormat/>
    <w:uiPriority w:val="0"/>
    <w:rPr>
      <w:rFonts w:ascii="Arial" w:hAnsi="Arial" w:eastAsia="黑体"/>
      <w:b/>
      <w:bCs/>
      <w:kern w:val="2"/>
      <w:sz w:val="32"/>
      <w:szCs w:val="32"/>
      <w:lang w:val="en-US" w:eastAsia="zh-CN" w:bidi="ar-SA"/>
    </w:rPr>
  </w:style>
  <w:style w:type="character" w:customStyle="1" w:styleId="41">
    <w:name w:val="style171"/>
    <w:qFormat/>
    <w:uiPriority w:val="0"/>
    <w:rPr>
      <w:sz w:val="21"/>
      <w:szCs w:val="21"/>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style61"/>
    <w:qFormat/>
    <w:uiPriority w:val="0"/>
    <w:rPr>
      <w:b/>
      <w:bCs/>
      <w:color w:val="3399FF"/>
      <w:sz w:val="24"/>
      <w:szCs w:val="24"/>
    </w:rPr>
  </w:style>
  <w:style w:type="character" w:customStyle="1" w:styleId="44">
    <w:name w:val="f41"/>
    <w:qFormat/>
    <w:uiPriority w:val="0"/>
    <w:rPr>
      <w:rFonts w:hint="eastAsia" w:ascii="宋体" w:hAnsi="宋体" w:eastAsia="宋体"/>
      <w:sz w:val="18"/>
      <w:szCs w:val="18"/>
    </w:rPr>
  </w:style>
  <w:style w:type="character" w:customStyle="1" w:styleId="45">
    <w:name w:val="标题 3 Char1"/>
    <w:qFormat/>
    <w:uiPriority w:val="0"/>
    <w:rPr>
      <w:rFonts w:eastAsia="宋体"/>
      <w:b/>
      <w:bCs/>
      <w:kern w:val="2"/>
      <w:sz w:val="32"/>
      <w:szCs w:val="32"/>
      <w:lang w:val="en-US" w:eastAsia="zh-CN" w:bidi="ar-SA"/>
    </w:rPr>
  </w:style>
  <w:style w:type="character" w:customStyle="1" w:styleId="46">
    <w:name w:val="style161"/>
    <w:qFormat/>
    <w:uiPriority w:val="0"/>
    <w:rPr>
      <w:sz w:val="24"/>
      <w:szCs w:val="24"/>
    </w:rPr>
  </w:style>
  <w:style w:type="character" w:customStyle="1" w:styleId="47">
    <w:name w:val="f31"/>
    <w:qFormat/>
    <w:uiPriority w:val="0"/>
    <w:rPr>
      <w:rFonts w:hint="default" w:ascii="ˎ̥" w:hAnsi="ˎ̥"/>
      <w:color w:val="999999"/>
      <w:sz w:val="16"/>
      <w:szCs w:val="16"/>
    </w:rPr>
  </w:style>
  <w:style w:type="paragraph" w:customStyle="1" w:styleId="4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49">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3">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4">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5">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6">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7">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5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3">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6">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9">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0">
    <w:name w:val="为440"/>
    <w:basedOn w:val="1"/>
    <w:qFormat/>
    <w:uiPriority w:val="0"/>
    <w:pPr>
      <w:adjustRightInd w:val="0"/>
      <w:spacing w:line="360" w:lineRule="atLeast"/>
      <w:jc w:val="left"/>
      <w:textAlignment w:val="baseline"/>
    </w:pPr>
    <w:rPr>
      <w:kern w:val="0"/>
      <w:sz w:val="24"/>
      <w:szCs w:val="20"/>
    </w:rPr>
  </w:style>
  <w:style w:type="paragraph" w:customStyle="1" w:styleId="71">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2">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4">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5">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6">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78">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0">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2">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3">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8">
    <w:name w:val="font9"/>
    <w:basedOn w:val="1"/>
    <w:qFormat/>
    <w:uiPriority w:val="0"/>
    <w:pPr>
      <w:widowControl/>
      <w:spacing w:before="100" w:beforeAutospacing="1" w:after="100" w:afterAutospacing="1"/>
      <w:jc w:val="left"/>
    </w:pPr>
    <w:rPr>
      <w:kern w:val="0"/>
      <w:sz w:val="20"/>
      <w:szCs w:val="20"/>
    </w:rPr>
  </w:style>
  <w:style w:type="paragraph" w:customStyle="1" w:styleId="89">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0">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1">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3">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4">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5">
    <w:name w:val="unnamed1"/>
    <w:basedOn w:val="1"/>
    <w:qFormat/>
    <w:uiPriority w:val="0"/>
    <w:pPr>
      <w:widowControl/>
      <w:spacing w:line="330" w:lineRule="atLeast"/>
      <w:jc w:val="left"/>
    </w:pPr>
    <w:rPr>
      <w:rFonts w:ascii="宋体" w:hAnsi="宋体" w:cs="宋体"/>
      <w:kern w:val="0"/>
      <w:szCs w:val="21"/>
    </w:rPr>
  </w:style>
  <w:style w:type="paragraph" w:customStyle="1" w:styleId="96">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8">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9">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0">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1">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2">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3">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5">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7">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09">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2">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4">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5">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6">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7">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8">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1">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3">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4">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5">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7">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2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0">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2">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6">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7">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39">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0">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1">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2">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4">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5">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6">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7">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8">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9">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0">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1">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4">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5">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6">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0">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1">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4">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5">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1">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6">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7">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7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character" w:customStyle="1" w:styleId="179">
    <w:name w:val="文档结构图 Char"/>
    <w:basedOn w:val="20"/>
    <w:link w:val="6"/>
    <w:semiHidden/>
    <w:qFormat/>
    <w:uiPriority w:val="99"/>
    <w:rPr>
      <w:rFonts w:ascii="宋体"/>
      <w:kern w:val="2"/>
      <w:sz w:val="18"/>
      <w:szCs w:val="18"/>
    </w:rPr>
  </w:style>
  <w:style w:type="paragraph" w:styleId="180">
    <w:name w:val="List Paragraph"/>
    <w:basedOn w:val="1"/>
    <w:qFormat/>
    <w:uiPriority w:val="99"/>
    <w:pPr>
      <w:ind w:firstLine="420" w:firstLineChars="200"/>
    </w:pPr>
  </w:style>
  <w:style w:type="character" w:customStyle="1" w:styleId="181">
    <w:name w:val="font41"/>
    <w:basedOn w:val="20"/>
    <w:qFormat/>
    <w:uiPriority w:val="0"/>
    <w:rPr>
      <w:rFonts w:ascii="MS Gothic" w:hAnsi="MS Gothic" w:eastAsia="MS Gothic" w:cs="MS Gothic"/>
      <w:color w:val="000000"/>
      <w:sz w:val="20"/>
      <w:szCs w:val="20"/>
      <w:u w:val="none"/>
    </w:rPr>
  </w:style>
  <w:style w:type="character" w:customStyle="1" w:styleId="182">
    <w:name w:val="font31"/>
    <w:basedOn w:val="20"/>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26700;&#38754;\&#21407;&#27833;\&#21608;&#25253;&#12289;&#26376;&#25253;\&#26368;&#26032;&#28342;&#21058;&#27833;&#21608;&#25253;&#65306;&#23665;&#19996;&#22320;&#28860;&#30707;&#33041;&#27833;&#20215;&#26684;&#36208;&#21183;&#22270;12.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t>山东地炼石脑油价格走势图</a:t>
            </a:r>
            <a:endParaRPr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50511875670714"/>
          <c:y val="0.0288483151015519"/>
        </c:manualLayout>
      </c:layout>
      <c:overlay val="0"/>
    </c:title>
    <c:autoTitleDeleted val="0"/>
    <c:plotArea>
      <c:layout>
        <c:manualLayout>
          <c:layoutTarget val="inner"/>
          <c:xMode val="edge"/>
          <c:yMode val="edge"/>
          <c:x val="0.0825420823676333"/>
          <c:y val="0.142857210012928"/>
          <c:w val="0.858347386172007"/>
          <c:h val="0.591837324455242"/>
        </c:manualLayout>
      </c:layout>
      <c:lineChart>
        <c:grouping val="standard"/>
        <c:varyColors val="0"/>
        <c:ser>
          <c:idx val="8"/>
          <c:order val="0"/>
          <c:tx>
            <c:strRef>
              <c:f>'[最新溶剂油周报：山东地炼石脑油价格走势图12.21.xls]溶剂油周报-石脑油价格走势图表'!$D$178</c:f>
              <c:strCache>
                <c:ptCount val="1"/>
                <c:pt idx="0">
                  <c:v>鑫泰石化</c:v>
                </c:pt>
              </c:strCache>
            </c:strRef>
          </c:tx>
          <c:spPr>
            <a:ln w="38100" cap="rnd" cmpd="sng" algn="ctr">
              <a:solidFill>
                <a:srgbClr val="000000">
                  <a:alpha val="100000"/>
                </a:srgbClr>
              </a:solidFill>
              <a:prstDash val="solid"/>
              <a:round/>
            </a:ln>
          </c:spPr>
          <c:marker>
            <c:symbol val="none"/>
          </c:marker>
          <c:dLbls>
            <c:delete val="1"/>
          </c:dLbls>
          <c:cat>
            <c:numRef>
              <c:f>'[最新溶剂油周报：山东地炼石脑油价格走势图12.21.xls]溶剂油周报-石脑油价格走势图表'!$A$179:$C$349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numCache>
            </c:numRef>
          </c:cat>
          <c:val>
            <c:numRef>
              <c:f>'[最新溶剂油周报：山东地炼石脑油价格走势图12.21.xls]溶剂油周报-石脑油价格走势图表'!$D$179:$D$349</c:f>
              <c:numCache>
                <c:formatCode>@</c:formatCode>
                <c:ptCount val="171"/>
                <c:pt idx="0">
                  <c:v>5250</c:v>
                </c:pt>
                <c:pt idx="1">
                  <c:v>5250</c:v>
                </c:pt>
                <c:pt idx="2">
                  <c:v>5250</c:v>
                </c:pt>
                <c:pt idx="3">
                  <c:v>5250</c:v>
                </c:pt>
                <c:pt idx="4">
                  <c:v>5250</c:v>
                </c:pt>
                <c:pt idx="5">
                  <c:v>5250</c:v>
                </c:pt>
                <c:pt idx="6">
                  <c:v>5250</c:v>
                </c:pt>
                <c:pt idx="7">
                  <c:v>5250</c:v>
                </c:pt>
                <c:pt idx="8">
                  <c:v>5250</c:v>
                </c:pt>
                <c:pt idx="9">
                  <c:v>5250</c:v>
                </c:pt>
                <c:pt idx="10">
                  <c:v>4980</c:v>
                </c:pt>
                <c:pt idx="11">
                  <c:v>4980</c:v>
                </c:pt>
                <c:pt idx="12">
                  <c:v>4980</c:v>
                </c:pt>
                <c:pt idx="13">
                  <c:v>4800</c:v>
                </c:pt>
                <c:pt idx="14">
                  <c:v>4800</c:v>
                </c:pt>
                <c:pt idx="15">
                  <c:v>4800</c:v>
                </c:pt>
                <c:pt idx="16">
                  <c:v>4800</c:v>
                </c:pt>
                <c:pt idx="17">
                  <c:v>5500</c:v>
                </c:pt>
                <c:pt idx="18">
                  <c:v>5500</c:v>
                </c:pt>
                <c:pt idx="19">
                  <c:v>5500</c:v>
                </c:pt>
                <c:pt idx="20">
                  <c:v>5500</c:v>
                </c:pt>
                <c:pt idx="21">
                  <c:v>5500</c:v>
                </c:pt>
                <c:pt idx="22">
                  <c:v>3700</c:v>
                </c:pt>
                <c:pt idx="23">
                  <c:v>3700</c:v>
                </c:pt>
                <c:pt idx="24">
                  <c:v>3700</c:v>
                </c:pt>
                <c:pt idx="25">
                  <c:v>4200</c:v>
                </c:pt>
                <c:pt idx="26">
                  <c:v>4400</c:v>
                </c:pt>
                <c:pt idx="27">
                  <c:v>4400</c:v>
                </c:pt>
                <c:pt idx="28">
                  <c:v>4000</c:v>
                </c:pt>
                <c:pt idx="29">
                  <c:v>4000</c:v>
                </c:pt>
                <c:pt idx="30">
                  <c:v>4000</c:v>
                </c:pt>
                <c:pt idx="31">
                  <c:v>4000</c:v>
                </c:pt>
                <c:pt idx="32">
                  <c:v>4000</c:v>
                </c:pt>
                <c:pt idx="33">
                  <c:v>4000</c:v>
                </c:pt>
                <c:pt idx="34">
                  <c:v>4000</c:v>
                </c:pt>
                <c:pt idx="35">
                  <c:v>4500</c:v>
                </c:pt>
                <c:pt idx="36">
                  <c:v>4500</c:v>
                </c:pt>
                <c:pt idx="37">
                  <c:v>4500</c:v>
                </c:pt>
                <c:pt idx="38">
                  <c:v>4500</c:v>
                </c:pt>
                <c:pt idx="39">
                  <c:v>4500</c:v>
                </c:pt>
                <c:pt idx="40">
                  <c:v>4100</c:v>
                </c:pt>
                <c:pt idx="41">
                  <c:v>4100</c:v>
                </c:pt>
                <c:pt idx="42">
                  <c:v>4100</c:v>
                </c:pt>
                <c:pt idx="43">
                  <c:v>4100</c:v>
                </c:pt>
                <c:pt idx="44">
                  <c:v>4100</c:v>
                </c:pt>
                <c:pt idx="45">
                  <c:v>4100</c:v>
                </c:pt>
                <c:pt idx="46">
                  <c:v>4100</c:v>
                </c:pt>
                <c:pt idx="47">
                  <c:v>4100</c:v>
                </c:pt>
                <c:pt idx="48">
                  <c:v>4100</c:v>
                </c:pt>
                <c:pt idx="49">
                  <c:v>4100</c:v>
                </c:pt>
                <c:pt idx="50">
                  <c:v>4100</c:v>
                </c:pt>
                <c:pt idx="51">
                  <c:v>4100</c:v>
                </c:pt>
                <c:pt idx="52">
                  <c:v>4100</c:v>
                </c:pt>
                <c:pt idx="53" c:formatCode="General">
                  <c:v>4000</c:v>
                </c:pt>
                <c:pt idx="54" c:formatCode="General">
                  <c:v>4000</c:v>
                </c:pt>
                <c:pt idx="55" c:formatCode="General">
                  <c:v>4100</c:v>
                </c:pt>
                <c:pt idx="56" c:formatCode="General">
                  <c:v>4100</c:v>
                </c:pt>
                <c:pt idx="57" c:formatCode="General">
                  <c:v>4100</c:v>
                </c:pt>
                <c:pt idx="58" c:formatCode="General">
                  <c:v>4100</c:v>
                </c:pt>
                <c:pt idx="59" c:formatCode="General">
                  <c:v>4100</c:v>
                </c:pt>
                <c:pt idx="60" c:formatCode="General">
                  <c:v>4150</c:v>
                </c:pt>
                <c:pt idx="61" c:formatCode="General">
                  <c:v>4150</c:v>
                </c:pt>
                <c:pt idx="62" c:formatCode="General">
                  <c:v>4150</c:v>
                </c:pt>
                <c:pt idx="63" c:formatCode="General">
                  <c:v>4500</c:v>
                </c:pt>
                <c:pt idx="64" c:formatCode="General">
                  <c:v>4500</c:v>
                </c:pt>
                <c:pt idx="65" c:formatCode="General">
                  <c:v>4500</c:v>
                </c:pt>
                <c:pt idx="66" c:formatCode="General">
                  <c:v>4500</c:v>
                </c:pt>
                <c:pt idx="67" c:formatCode="General">
                  <c:v>4500</c:v>
                </c:pt>
                <c:pt idx="68" c:formatCode="General">
                  <c:v>4500</c:v>
                </c:pt>
                <c:pt idx="69" c:formatCode="General">
                  <c:v>4500</c:v>
                </c:pt>
                <c:pt idx="70" c:formatCode="General">
                  <c:v>4500</c:v>
                </c:pt>
                <c:pt idx="71" c:formatCode="General">
                  <c:v>4500</c:v>
                </c:pt>
                <c:pt idx="72" c:formatCode="General">
                  <c:v>4500</c:v>
                </c:pt>
                <c:pt idx="73" c:formatCode="General">
                  <c:v>4500</c:v>
                </c:pt>
                <c:pt idx="74" c:formatCode="General">
                  <c:v>4500</c:v>
                </c:pt>
                <c:pt idx="75" c:formatCode="General">
                  <c:v>4500</c:v>
                </c:pt>
                <c:pt idx="76" c:formatCode="General">
                  <c:v>4500</c:v>
                </c:pt>
                <c:pt idx="77" c:formatCode="General">
                  <c:v>4500</c:v>
                </c:pt>
                <c:pt idx="78" c:formatCode="General">
                  <c:v>4500</c:v>
                </c:pt>
                <c:pt idx="79" c:formatCode="General">
                  <c:v>5000</c:v>
                </c:pt>
                <c:pt idx="80" c:formatCode="General">
                  <c:v>5000</c:v>
                </c:pt>
                <c:pt idx="81" c:formatCode="General">
                  <c:v>5000</c:v>
                </c:pt>
                <c:pt idx="82" c:formatCode="General">
                  <c:v>5000</c:v>
                </c:pt>
                <c:pt idx="83" c:formatCode="General">
                  <c:v>5000</c:v>
                </c:pt>
                <c:pt idx="84" c:formatCode="General">
                  <c:v>5400</c:v>
                </c:pt>
                <c:pt idx="85" c:formatCode="General">
                  <c:v>5400</c:v>
                </c:pt>
                <c:pt idx="86" c:formatCode="General">
                  <c:v>5400</c:v>
                </c:pt>
                <c:pt idx="87" c:formatCode="General">
                  <c:v>5400</c:v>
                </c:pt>
                <c:pt idx="88" c:formatCode="General">
                  <c:v>5400</c:v>
                </c:pt>
                <c:pt idx="89" c:formatCode="General">
                  <c:v>5400</c:v>
                </c:pt>
                <c:pt idx="90" c:formatCode="General">
                  <c:v>5400</c:v>
                </c:pt>
                <c:pt idx="91" c:formatCode="General">
                  <c:v>5400</c:v>
                </c:pt>
                <c:pt idx="92" c:formatCode="General">
                  <c:v>5400</c:v>
                </c:pt>
                <c:pt idx="93" c:formatCode="General">
                  <c:v>5400</c:v>
                </c:pt>
                <c:pt idx="94" c:formatCode="General">
                  <c:v>5400</c:v>
                </c:pt>
                <c:pt idx="95" c:formatCode="General">
                  <c:v>5400</c:v>
                </c:pt>
                <c:pt idx="96" c:formatCode="General">
                  <c:v>4900</c:v>
                </c:pt>
                <c:pt idx="97" c:formatCode="General">
                  <c:v>5000</c:v>
                </c:pt>
                <c:pt idx="98" c:formatCode="General">
                  <c:v>5000</c:v>
                </c:pt>
                <c:pt idx="99" c:formatCode="General">
                  <c:v>5000</c:v>
                </c:pt>
                <c:pt idx="100" c:formatCode="General">
                  <c:v>5000</c:v>
                </c:pt>
                <c:pt idx="103" c:formatCode="General">
                  <c:v>0</c:v>
                </c:pt>
                <c:pt idx="104" c:formatCode="General">
                  <c:v>5000</c:v>
                </c:pt>
                <c:pt idx="105" c:formatCode="General">
                  <c:v>5000</c:v>
                </c:pt>
                <c:pt idx="106" c:formatCode="General">
                  <c:v>5000</c:v>
                </c:pt>
                <c:pt idx="107" c:formatCode="General">
                  <c:v>5000</c:v>
                </c:pt>
                <c:pt idx="108" c:formatCode="General">
                  <c:v>5000</c:v>
                </c:pt>
                <c:pt idx="109" c:formatCode="General">
                  <c:v>5000</c:v>
                </c:pt>
                <c:pt idx="110" c:formatCode="General">
                  <c:v>5000</c:v>
                </c:pt>
                <c:pt idx="111" c:formatCode="General">
                  <c:v>5000</c:v>
                </c:pt>
                <c:pt idx="112" c:formatCode="General">
                  <c:v>5000</c:v>
                </c:pt>
                <c:pt idx="113" c:formatCode="General">
                  <c:v>5000</c:v>
                </c:pt>
                <c:pt idx="114" c:formatCode="General">
                  <c:v>5000</c:v>
                </c:pt>
                <c:pt idx="115" c:formatCode="General">
                  <c:v>6150</c:v>
                </c:pt>
                <c:pt idx="116" c:formatCode="General">
                  <c:v>6100</c:v>
                </c:pt>
                <c:pt idx="117" c:formatCode="General">
                  <c:v>5950</c:v>
                </c:pt>
                <c:pt idx="118" c:formatCode="General">
                  <c:v>6100</c:v>
                </c:pt>
                <c:pt idx="119" c:formatCode="General">
                  <c:v>6150</c:v>
                </c:pt>
                <c:pt idx="120" c:formatCode="General">
                  <c:v>6300</c:v>
                </c:pt>
                <c:pt idx="121" c:formatCode="General">
                  <c:v>6300</c:v>
                </c:pt>
                <c:pt idx="122" c:formatCode="General">
                  <c:v>6300</c:v>
                </c:pt>
                <c:pt idx="123" c:formatCode="General">
                  <c:v>6250</c:v>
                </c:pt>
                <c:pt idx="124" c:formatCode="General">
                  <c:v>6150</c:v>
                </c:pt>
                <c:pt idx="125" c:formatCode="General">
                  <c:v>6300</c:v>
                </c:pt>
                <c:pt idx="126" c:formatCode="General">
                  <c:v>6150</c:v>
                </c:pt>
                <c:pt idx="127" c:formatCode="General">
                  <c:v>6150</c:v>
                </c:pt>
                <c:pt idx="128" c:formatCode="General">
                  <c:v>6150</c:v>
                </c:pt>
                <c:pt idx="129" c:formatCode="General">
                  <c:v>6150</c:v>
                </c:pt>
                <c:pt idx="130" c:formatCode="General">
                  <c:v>6150</c:v>
                </c:pt>
                <c:pt idx="131" c:formatCode="General">
                  <c:v>6350</c:v>
                </c:pt>
                <c:pt idx="132" c:formatCode="General">
                  <c:v>6250</c:v>
                </c:pt>
                <c:pt idx="133" c:formatCode="General">
                  <c:v>6250</c:v>
                </c:pt>
                <c:pt idx="134" c:formatCode="General">
                  <c:v>6300</c:v>
                </c:pt>
                <c:pt idx="135" c:formatCode="General">
                  <c:v>6350</c:v>
                </c:pt>
                <c:pt idx="136" c:formatCode="General">
                  <c:v>6600</c:v>
                </c:pt>
                <c:pt idx="137" c:formatCode="General">
                  <c:v>6650</c:v>
                </c:pt>
                <c:pt idx="138" c:formatCode="General">
                  <c:v>6650</c:v>
                </c:pt>
                <c:pt idx="139" c:formatCode="General">
                  <c:v>6450</c:v>
                </c:pt>
                <c:pt idx="140" c:formatCode="General">
                  <c:v>6450</c:v>
                </c:pt>
                <c:pt idx="141" c:formatCode="General">
                  <c:v>6450</c:v>
                </c:pt>
                <c:pt idx="142" c:formatCode="General">
                  <c:v>6400</c:v>
                </c:pt>
                <c:pt idx="143" c:formatCode="General">
                  <c:v>6400</c:v>
                </c:pt>
                <c:pt idx="144" c:formatCode="General">
                  <c:v>6650</c:v>
                </c:pt>
                <c:pt idx="145" c:formatCode="General">
                  <c:v>6600</c:v>
                </c:pt>
                <c:pt idx="146" c:formatCode="General">
                  <c:v>6600</c:v>
                </c:pt>
                <c:pt idx="147" c:formatCode="General">
                  <c:v>6800</c:v>
                </c:pt>
                <c:pt idx="148" c:formatCode="General">
                  <c:v>6800</c:v>
                </c:pt>
                <c:pt idx="149" c:formatCode="General">
                  <c:v>7200</c:v>
                </c:pt>
                <c:pt idx="150" c:formatCode="General">
                  <c:v>7200</c:v>
                </c:pt>
                <c:pt idx="151" c:formatCode="General">
                  <c:v>7200</c:v>
                </c:pt>
                <c:pt idx="152" c:formatCode="General">
                  <c:v>7650</c:v>
                </c:pt>
                <c:pt idx="153" c:formatCode="General">
                  <c:v>7950</c:v>
                </c:pt>
                <c:pt idx="154" c:formatCode="General">
                  <c:v>7700</c:v>
                </c:pt>
                <c:pt idx="155" c:formatCode="General">
                  <c:v>7750</c:v>
                </c:pt>
                <c:pt idx="156" c:formatCode="General">
                  <c:v>7900</c:v>
                </c:pt>
                <c:pt idx="157" c:formatCode="General">
                  <c:v>0</c:v>
                </c:pt>
                <c:pt idx="158" c:formatCode="General">
                  <c:v>7850</c:v>
                </c:pt>
                <c:pt idx="159" c:formatCode="General">
                  <c:v>7500</c:v>
                </c:pt>
                <c:pt idx="160" c:formatCode="General">
                  <c:v>7300</c:v>
                </c:pt>
                <c:pt idx="161" c:formatCode="General">
                  <c:v>7300</c:v>
                </c:pt>
                <c:pt idx="162" c:formatCode="General">
                  <c:v>6700</c:v>
                </c:pt>
                <c:pt idx="163" c:formatCode="General">
                  <c:v>6300</c:v>
                </c:pt>
                <c:pt idx="164" c:formatCode="General">
                  <c:v>6500</c:v>
                </c:pt>
                <c:pt idx="165" c:formatCode="General">
                  <c:v>6550</c:v>
                </c:pt>
                <c:pt idx="166" c:formatCode="General">
                  <c:v>6200</c:v>
                </c:pt>
                <c:pt idx="167" c:formatCode="General">
                  <c:v>5800</c:v>
                </c:pt>
              </c:numCache>
            </c:numRef>
          </c:val>
          <c:smooth val="0"/>
        </c:ser>
        <c:ser>
          <c:idx val="10"/>
          <c:order val="1"/>
          <c:tx>
            <c:strRef>
              <c:f>'[最新溶剂油周报：山东地炼石脑油价格走势图12.21.xls]溶剂油周报-石脑油价格走势图表'!$E$178</c:f>
              <c:strCache>
                <c:ptCount val="1"/>
                <c:pt idx="0">
                  <c:v>利津石化</c:v>
                </c:pt>
              </c:strCache>
            </c:strRef>
          </c:tx>
          <c:spPr>
            <a:ln w="38100" cap="rnd" cmpd="sng" algn="ctr">
              <a:solidFill>
                <a:srgbClr val="00B050"/>
              </a:solidFill>
              <a:prstDash val="solid"/>
              <a:round/>
            </a:ln>
          </c:spPr>
          <c:marker>
            <c:symbol val="none"/>
          </c:marker>
          <c:dLbls>
            <c:delete val="1"/>
          </c:dLbls>
          <c:cat>
            <c:numRef>
              <c:f>'[最新溶剂油周报：山东地炼石脑油价格走势图12.21.xls]溶剂油周报-石脑油价格走势图表'!$A$179:$C$349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numCache>
            </c:numRef>
          </c:cat>
          <c:val>
            <c:numRef>
              <c:f>'[最新溶剂油周报：山东地炼石脑油价格走势图12.21.xls]溶剂油周报-石脑油价格走势图表'!$E$179:$E$349</c:f>
              <c:numCache>
                <c:formatCode>@</c:formatCode>
                <c:ptCount val="171"/>
                <c:pt idx="0">
                  <c:v>4250</c:v>
                </c:pt>
                <c:pt idx="1">
                  <c:v>4050</c:v>
                </c:pt>
                <c:pt idx="2">
                  <c:v>4300</c:v>
                </c:pt>
                <c:pt idx="3">
                  <c:v>4500</c:v>
                </c:pt>
                <c:pt idx="4">
                  <c:v>4580</c:v>
                </c:pt>
                <c:pt idx="5">
                  <c:v>4580</c:v>
                </c:pt>
                <c:pt idx="6">
                  <c:v>4580</c:v>
                </c:pt>
                <c:pt idx="11">
                  <c:v>4150</c:v>
                </c:pt>
                <c:pt idx="12">
                  <c:v>4100</c:v>
                </c:pt>
                <c:pt idx="13">
                  <c:v>4030</c:v>
                </c:pt>
                <c:pt idx="14">
                  <c:v>3850</c:v>
                </c:pt>
                <c:pt idx="15">
                  <c:v>3550</c:v>
                </c:pt>
                <c:pt idx="16">
                  <c:v>3950</c:v>
                </c:pt>
                <c:pt idx="17">
                  <c:v>3850</c:v>
                </c:pt>
                <c:pt idx="18">
                  <c:v>3650</c:v>
                </c:pt>
                <c:pt idx="19">
                  <c:v>2800</c:v>
                </c:pt>
                <c:pt idx="20">
                  <c:v>2300</c:v>
                </c:pt>
                <c:pt idx="21">
                  <c:v>2800</c:v>
                </c:pt>
                <c:pt idx="22">
                  <c:v>2650</c:v>
                </c:pt>
                <c:pt idx="23">
                  <c:v>2650</c:v>
                </c:pt>
                <c:pt idx="24">
                  <c:v>2900</c:v>
                </c:pt>
                <c:pt idx="25">
                  <c:v>3300</c:v>
                </c:pt>
                <c:pt idx="26">
                  <c:v>3200</c:v>
                </c:pt>
                <c:pt idx="27">
                  <c:v>3400</c:v>
                </c:pt>
                <c:pt idx="28">
                  <c:v>3350</c:v>
                </c:pt>
                <c:pt idx="29">
                  <c:v>3000</c:v>
                </c:pt>
                <c:pt idx="30">
                  <c:v>3250</c:v>
                </c:pt>
                <c:pt idx="31">
                  <c:v>3250</c:v>
                </c:pt>
                <c:pt idx="32">
                  <c:v>3380</c:v>
                </c:pt>
                <c:pt idx="33">
                  <c:v>3430</c:v>
                </c:pt>
                <c:pt idx="34">
                  <c:v>3430</c:v>
                </c:pt>
                <c:pt idx="35">
                  <c:v>3480</c:v>
                </c:pt>
                <c:pt idx="36">
                  <c:v>3480</c:v>
                </c:pt>
                <c:pt idx="37">
                  <c:v>3380</c:v>
                </c:pt>
                <c:pt idx="38">
                  <c:v>3300</c:v>
                </c:pt>
                <c:pt idx="39">
                  <c:v>3050</c:v>
                </c:pt>
                <c:pt idx="40">
                  <c:v>3050</c:v>
                </c:pt>
                <c:pt idx="41">
                  <c:v>3050</c:v>
                </c:pt>
                <c:pt idx="42">
                  <c:v>3050</c:v>
                </c:pt>
                <c:pt idx="43">
                  <c:v>3050</c:v>
                </c:pt>
                <c:pt idx="44">
                  <c:v>3050</c:v>
                </c:pt>
                <c:pt idx="45">
                  <c:v>3050</c:v>
                </c:pt>
                <c:pt idx="46">
                  <c:v>3050</c:v>
                </c:pt>
                <c:pt idx="47">
                  <c:v>3050</c:v>
                </c:pt>
                <c:pt idx="48">
                  <c:v>3050</c:v>
                </c:pt>
                <c:pt idx="49">
                  <c:v>3050</c:v>
                </c:pt>
                <c:pt idx="50">
                  <c:v>3050</c:v>
                </c:pt>
                <c:pt idx="51" c:formatCode="General">
                  <c:v>3450</c:v>
                </c:pt>
                <c:pt idx="52" c:formatCode="General">
                  <c:v>3450</c:v>
                </c:pt>
                <c:pt idx="53" c:formatCode="General">
                  <c:v>3450</c:v>
                </c:pt>
                <c:pt idx="54" c:formatCode="General">
                  <c:v>3450</c:v>
                </c:pt>
                <c:pt idx="55" c:formatCode="General">
                  <c:v>3800</c:v>
                </c:pt>
                <c:pt idx="56" c:formatCode="General">
                  <c:v>4000</c:v>
                </c:pt>
                <c:pt idx="57" c:formatCode="General">
                  <c:v>3900</c:v>
                </c:pt>
                <c:pt idx="58" c:formatCode="General">
                  <c:v>3650</c:v>
                </c:pt>
                <c:pt idx="59" c:formatCode="General">
                  <c:v>3900</c:v>
                </c:pt>
                <c:pt idx="60" c:formatCode="General">
                  <c:v>4000</c:v>
                </c:pt>
                <c:pt idx="61" c:formatCode="General">
                  <c:v>4050</c:v>
                </c:pt>
                <c:pt idx="62" c:formatCode="General">
                  <c:v>4000</c:v>
                </c:pt>
                <c:pt idx="63" c:formatCode="General">
                  <c:v>4150</c:v>
                </c:pt>
                <c:pt idx="64" c:formatCode="General">
                  <c:v>4450</c:v>
                </c:pt>
                <c:pt idx="65" c:formatCode="General">
                  <c:v>4350</c:v>
                </c:pt>
                <c:pt idx="66" c:formatCode="General">
                  <c:v>4000</c:v>
                </c:pt>
                <c:pt idx="67" c:formatCode="General">
                  <c:v>4150</c:v>
                </c:pt>
                <c:pt idx="68" c:formatCode="General">
                  <c:v>4200</c:v>
                </c:pt>
                <c:pt idx="69" c:formatCode="General">
                  <c:v>4250</c:v>
                </c:pt>
                <c:pt idx="70" c:formatCode="General">
                  <c:v>4250</c:v>
                </c:pt>
                <c:pt idx="71" c:formatCode="General">
                  <c:v>4200</c:v>
                </c:pt>
                <c:pt idx="72" c:formatCode="General">
                  <c:v>4500</c:v>
                </c:pt>
                <c:pt idx="73" c:formatCode="General">
                  <c:v>4450</c:v>
                </c:pt>
                <c:pt idx="74" c:formatCode="General">
                  <c:v>4250</c:v>
                </c:pt>
                <c:pt idx="75" c:formatCode="General">
                  <c:v>4100</c:v>
                </c:pt>
                <c:pt idx="76" c:formatCode="General">
                  <c:v>4250</c:v>
                </c:pt>
                <c:pt idx="77" c:formatCode="General">
                  <c:v>4150</c:v>
                </c:pt>
                <c:pt idx="78" c:formatCode="General">
                  <c:v>4100</c:v>
                </c:pt>
                <c:pt idx="79" c:formatCode="General">
                  <c:v>4400</c:v>
                </c:pt>
                <c:pt idx="80" c:formatCode="General">
                  <c:v>4200</c:v>
                </c:pt>
                <c:pt idx="81" c:formatCode="General">
                  <c:v>4230</c:v>
                </c:pt>
                <c:pt idx="82" c:formatCode="General">
                  <c:v>4230</c:v>
                </c:pt>
                <c:pt idx="83" c:formatCode="General">
                  <c:v>4230</c:v>
                </c:pt>
                <c:pt idx="84" c:formatCode="General">
                  <c:v>4230</c:v>
                </c:pt>
                <c:pt idx="85" c:formatCode="General">
                  <c:v>4230</c:v>
                </c:pt>
                <c:pt idx="86" c:formatCode="General">
                  <c:v>4230</c:v>
                </c:pt>
                <c:pt idx="87" c:formatCode="General">
                  <c:v>4230</c:v>
                </c:pt>
                <c:pt idx="88" c:formatCode="General">
                  <c:v>0</c:v>
                </c:pt>
                <c:pt idx="89" c:formatCode="General">
                  <c:v>0</c:v>
                </c:pt>
                <c:pt idx="90" c:formatCode="General">
                  <c:v>0</c:v>
                </c:pt>
                <c:pt idx="91" c:formatCode="General">
                  <c:v>0</c:v>
                </c:pt>
                <c:pt idx="92" c:formatCode="General">
                  <c:v>0</c:v>
                </c:pt>
                <c:pt idx="93" c:formatCode="General">
                  <c:v>0</c:v>
                </c:pt>
                <c:pt idx="94" c:formatCode="General">
                  <c:v>0</c:v>
                </c:pt>
                <c:pt idx="95" c:formatCode="General">
                  <c:v>0</c:v>
                </c:pt>
                <c:pt idx="96" c:formatCode="General">
                  <c:v>0</c:v>
                </c:pt>
                <c:pt idx="97" c:formatCode="General">
                  <c:v>0</c:v>
                </c:pt>
                <c:pt idx="98" c:formatCode="General">
                  <c:v>0</c:v>
                </c:pt>
                <c:pt idx="99" c:formatCode="General">
                  <c:v>0</c:v>
                </c:pt>
                <c:pt idx="100" c:formatCode="General">
                  <c:v>0</c:v>
                </c:pt>
                <c:pt idx="103" c:formatCode="General">
                  <c:v>0</c:v>
                </c:pt>
                <c:pt idx="104" c:formatCode="General">
                  <c:v>0</c:v>
                </c:pt>
                <c:pt idx="105" c:formatCode="General">
                  <c:v>0</c:v>
                </c:pt>
                <c:pt idx="106" c:formatCode="General">
                  <c:v>0</c:v>
                </c:pt>
                <c:pt idx="107" c:formatCode="General">
                  <c:v>0</c:v>
                </c:pt>
                <c:pt idx="108" c:formatCode="General">
                  <c:v>0</c:v>
                </c:pt>
                <c:pt idx="109" c:formatCode="General">
                  <c:v>0</c:v>
                </c:pt>
                <c:pt idx="110" c:formatCode="General">
                  <c:v>0</c:v>
                </c:pt>
                <c:pt idx="111" c:formatCode="General">
                  <c:v>0</c:v>
                </c:pt>
                <c:pt idx="112" c:formatCode="General">
                  <c:v>0</c:v>
                </c:pt>
                <c:pt idx="113" c:formatCode="General">
                  <c:v>0</c:v>
                </c:pt>
                <c:pt idx="114" c:formatCode="General">
                  <c:v>0</c:v>
                </c:pt>
                <c:pt idx="115" c:formatCode="General">
                  <c:v>0</c:v>
                </c:pt>
                <c:pt idx="116" c:formatCode="General">
                  <c:v>0</c:v>
                </c:pt>
                <c:pt idx="117" c:formatCode="General">
                  <c:v>0</c:v>
                </c:pt>
                <c:pt idx="118" c:formatCode="General">
                  <c:v>0</c:v>
                </c:pt>
                <c:pt idx="119" c:formatCode="General">
                  <c:v>0</c:v>
                </c:pt>
                <c:pt idx="120" c:formatCode="General">
                  <c:v>0</c:v>
                </c:pt>
                <c:pt idx="121" c:formatCode="General">
                  <c:v>0</c:v>
                </c:pt>
                <c:pt idx="122" c:formatCode="General">
                  <c:v>0</c:v>
                </c:pt>
                <c:pt idx="123" c:formatCode="General">
                  <c:v>0</c:v>
                </c:pt>
                <c:pt idx="124" c:formatCode="General">
                  <c:v>0</c:v>
                </c:pt>
                <c:pt idx="125" c:formatCode="General">
                  <c:v>0</c:v>
                </c:pt>
                <c:pt idx="126" c:formatCode="General">
                  <c:v>0</c:v>
                </c:pt>
                <c:pt idx="127" c:formatCode="General">
                  <c:v>0</c:v>
                </c:pt>
                <c:pt idx="128" c:formatCode="General">
                  <c:v>0</c:v>
                </c:pt>
                <c:pt idx="129" c:formatCode="General">
                  <c:v>0</c:v>
                </c:pt>
                <c:pt idx="130" c:formatCode="General">
                  <c:v>0</c:v>
                </c:pt>
                <c:pt idx="131" c:formatCode="General">
                  <c:v>0</c:v>
                </c:pt>
                <c:pt idx="132" c:formatCode="General">
                  <c:v>0</c:v>
                </c:pt>
                <c:pt idx="133" c:formatCode="General">
                  <c:v>0</c:v>
                </c:pt>
                <c:pt idx="134" c:formatCode="General">
                  <c:v>0</c:v>
                </c:pt>
                <c:pt idx="135" c:formatCode="General">
                  <c:v>0</c:v>
                </c:pt>
                <c:pt idx="136" c:formatCode="General">
                  <c:v>0</c:v>
                </c:pt>
                <c:pt idx="137" c:formatCode="General">
                  <c:v>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0</c:v>
                </c:pt>
                <c:pt idx="152" c:formatCode="General">
                  <c:v>0</c:v>
                </c:pt>
                <c:pt idx="153" c:formatCode="General">
                  <c:v>0</c:v>
                </c:pt>
                <c:pt idx="154" c:formatCode="General">
                  <c:v>0</c:v>
                </c:pt>
                <c:pt idx="155" c:formatCode="General">
                  <c:v>0</c:v>
                </c:pt>
                <c:pt idx="156" c:formatCode="General">
                  <c:v>0</c:v>
                </c:pt>
                <c:pt idx="157" c:formatCode="General">
                  <c:v>0</c:v>
                </c:pt>
                <c:pt idx="158" c:formatCode="General">
                  <c:v>0</c:v>
                </c:pt>
                <c:pt idx="159" c:formatCode="General">
                  <c:v>0</c:v>
                </c:pt>
                <c:pt idx="160" c:formatCode="General">
                  <c:v>0</c:v>
                </c:pt>
                <c:pt idx="161" c:formatCode="General">
                  <c:v>0</c:v>
                </c:pt>
                <c:pt idx="162" c:formatCode="General">
                  <c:v>0</c:v>
                </c:pt>
                <c:pt idx="163" c:formatCode="General">
                  <c:v>0</c:v>
                </c:pt>
                <c:pt idx="164" c:formatCode="General">
                  <c:v>0</c:v>
                </c:pt>
                <c:pt idx="165" c:formatCode="General">
                  <c:v>0</c:v>
                </c:pt>
                <c:pt idx="166" c:formatCode="General">
                  <c:v>0</c:v>
                </c:pt>
                <c:pt idx="167" c:formatCode="General">
                  <c:v>0</c:v>
                </c:pt>
              </c:numCache>
            </c:numRef>
          </c:val>
          <c:smooth val="0"/>
        </c:ser>
        <c:ser>
          <c:idx val="1"/>
          <c:order val="2"/>
          <c:tx>
            <c:strRef>
              <c:f>'[最新溶剂油周报：山东地炼石脑油价格走势图12.21.xls]溶剂油周报-石脑油价格走势图表'!$F$178</c:f>
              <c:strCache>
                <c:ptCount val="1"/>
                <c:pt idx="0">
                  <c:v>安邦石化</c:v>
                </c:pt>
              </c:strCache>
            </c:strRef>
          </c:tx>
          <c:spPr>
            <a:ln w="38100" cap="rnd" cmpd="sng" algn="ctr">
              <a:solidFill>
                <a:srgbClr val="FF00FF">
                  <a:alpha val="100000"/>
                </a:srgbClr>
              </a:solidFill>
              <a:prstDash val="solid"/>
              <a:round/>
            </a:ln>
          </c:spPr>
          <c:marker>
            <c:symbol val="none"/>
          </c:marker>
          <c:dLbls>
            <c:delete val="1"/>
          </c:dLbls>
          <c:cat>
            <c:numRef>
              <c:f>'[最新溶剂油周报：山东地炼石脑油价格走势图12.21.xls]溶剂油周报-石脑油价格走势图表'!$A$179:$C$349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numCache>
            </c:numRef>
          </c:cat>
          <c:val>
            <c:numRef>
              <c:f>'[最新溶剂油周报：山东地炼石脑油价格走势图12.21.xls]溶剂油周报-石脑油价格走势图表'!$F$179:$F$349</c:f>
              <c:numCache>
                <c:formatCode>@</c:formatCode>
                <c:ptCount val="171"/>
                <c:pt idx="0">
                  <c:v>4570</c:v>
                </c:pt>
                <c:pt idx="1">
                  <c:v>4570</c:v>
                </c:pt>
                <c:pt idx="2">
                  <c:v>4650</c:v>
                </c:pt>
                <c:pt idx="3">
                  <c:v>4700</c:v>
                </c:pt>
                <c:pt idx="4">
                  <c:v>4700</c:v>
                </c:pt>
                <c:pt idx="5">
                  <c:v>4700</c:v>
                </c:pt>
                <c:pt idx="6">
                  <c:v>4700</c:v>
                </c:pt>
                <c:pt idx="7">
                  <c:v>4530</c:v>
                </c:pt>
                <c:pt idx="8">
                  <c:v>4530</c:v>
                </c:pt>
                <c:pt idx="9">
                  <c:v>4530</c:v>
                </c:pt>
                <c:pt idx="10">
                  <c:v>4530</c:v>
                </c:pt>
                <c:pt idx="11">
                  <c:v>4530</c:v>
                </c:pt>
                <c:pt idx="12">
                  <c:v>4200</c:v>
                </c:pt>
                <c:pt idx="13">
                  <c:v>4200</c:v>
                </c:pt>
                <c:pt idx="14">
                  <c:v>4000</c:v>
                </c:pt>
                <c:pt idx="15">
                  <c:v>3900</c:v>
                </c:pt>
                <c:pt idx="16">
                  <c:v>3900</c:v>
                </c:pt>
                <c:pt idx="17">
                  <c:v>3800</c:v>
                </c:pt>
                <c:pt idx="18">
                  <c:v>3800</c:v>
                </c:pt>
                <c:pt idx="19">
                  <c:v>3500</c:v>
                </c:pt>
                <c:pt idx="20">
                  <c:v>3500</c:v>
                </c:pt>
                <c:pt idx="21">
                  <c:v>3500</c:v>
                </c:pt>
                <c:pt idx="22">
                  <c:v>3500</c:v>
                </c:pt>
                <c:pt idx="23">
                  <c:v>2800</c:v>
                </c:pt>
                <c:pt idx="24">
                  <c:v>3100</c:v>
                </c:pt>
                <c:pt idx="25">
                  <c:v>3600</c:v>
                </c:pt>
                <c:pt idx="26">
                  <c:v>3600</c:v>
                </c:pt>
                <c:pt idx="27">
                  <c:v>3500</c:v>
                </c:pt>
                <c:pt idx="28">
                  <c:v>3500</c:v>
                </c:pt>
                <c:pt idx="29">
                  <c:v>3250</c:v>
                </c:pt>
                <c:pt idx="30">
                  <c:v>3250</c:v>
                </c:pt>
                <c:pt idx="31">
                  <c:v>3200</c:v>
                </c:pt>
                <c:pt idx="32">
                  <c:v>3200</c:v>
                </c:pt>
                <c:pt idx="33">
                  <c:v>3350</c:v>
                </c:pt>
                <c:pt idx="34">
                  <c:v>3530</c:v>
                </c:pt>
                <c:pt idx="35">
                  <c:v>3530</c:v>
                </c:pt>
                <c:pt idx="36">
                  <c:v>3530</c:v>
                </c:pt>
                <c:pt idx="37">
                  <c:v>3400</c:v>
                </c:pt>
                <c:pt idx="38">
                  <c:v>3300</c:v>
                </c:pt>
                <c:pt idx="39">
                  <c:v>3300</c:v>
                </c:pt>
                <c:pt idx="40">
                  <c:v>3400</c:v>
                </c:pt>
                <c:pt idx="41">
                  <c:v>3300</c:v>
                </c:pt>
                <c:pt idx="42">
                  <c:v>3300</c:v>
                </c:pt>
                <c:pt idx="43">
                  <c:v>3300</c:v>
                </c:pt>
                <c:pt idx="44">
                  <c:v>3300</c:v>
                </c:pt>
                <c:pt idx="45">
                  <c:v>3300</c:v>
                </c:pt>
                <c:pt idx="46">
                  <c:v>3300</c:v>
                </c:pt>
                <c:pt idx="47" c:formatCode="General">
                  <c:v>3200</c:v>
                </c:pt>
                <c:pt idx="48" c:formatCode="General">
                  <c:v>3550</c:v>
                </c:pt>
                <c:pt idx="49" c:formatCode="General">
                  <c:v>3600</c:v>
                </c:pt>
                <c:pt idx="50" c:formatCode="General">
                  <c:v>3600</c:v>
                </c:pt>
                <c:pt idx="51" c:formatCode="General">
                  <c:v>3350</c:v>
                </c:pt>
                <c:pt idx="52" c:formatCode="General">
                  <c:v>3550</c:v>
                </c:pt>
                <c:pt idx="53" c:formatCode="General">
                  <c:v>3500</c:v>
                </c:pt>
                <c:pt idx="54" c:formatCode="General">
                  <c:v>3500</c:v>
                </c:pt>
                <c:pt idx="55" c:formatCode="General">
                  <c:v>3800</c:v>
                </c:pt>
                <c:pt idx="56" c:formatCode="General">
                  <c:v>4000</c:v>
                </c:pt>
                <c:pt idx="57" c:formatCode="General">
                  <c:v>4000</c:v>
                </c:pt>
                <c:pt idx="58" c:formatCode="General">
                  <c:v>3900</c:v>
                </c:pt>
                <c:pt idx="59" c:formatCode="General">
                  <c:v>3800</c:v>
                </c:pt>
                <c:pt idx="60" c:formatCode="General">
                  <c:v>3950</c:v>
                </c:pt>
                <c:pt idx="61" c:formatCode="General">
                  <c:v>4000</c:v>
                </c:pt>
                <c:pt idx="62" c:formatCode="General">
                  <c:v>4000</c:v>
                </c:pt>
                <c:pt idx="63" c:formatCode="General">
                  <c:v>4150</c:v>
                </c:pt>
                <c:pt idx="64" c:formatCode="General">
                  <c:v>4500</c:v>
                </c:pt>
                <c:pt idx="65" c:formatCode="General">
                  <c:v>4500</c:v>
                </c:pt>
                <c:pt idx="66" c:formatCode="General">
                  <c:v>4300</c:v>
                </c:pt>
                <c:pt idx="67" c:formatCode="General">
                  <c:v>4300</c:v>
                </c:pt>
                <c:pt idx="68" c:formatCode="General">
                  <c:v>4400</c:v>
                </c:pt>
                <c:pt idx="69" c:formatCode="General">
                  <c:v>4400</c:v>
                </c:pt>
                <c:pt idx="70" c:formatCode="General">
                  <c:v>4400</c:v>
                </c:pt>
                <c:pt idx="71" c:formatCode="General">
                  <c:v>4400</c:v>
                </c:pt>
                <c:pt idx="72" c:formatCode="General">
                  <c:v>4750</c:v>
                </c:pt>
                <c:pt idx="73" c:formatCode="General">
                  <c:v>4800</c:v>
                </c:pt>
                <c:pt idx="74" c:formatCode="General">
                  <c:v>4720</c:v>
                </c:pt>
                <c:pt idx="75" c:formatCode="General">
                  <c:v>4500</c:v>
                </c:pt>
                <c:pt idx="76" c:formatCode="General">
                  <c:v>4600</c:v>
                </c:pt>
                <c:pt idx="77" c:formatCode="General">
                  <c:v>4600</c:v>
                </c:pt>
                <c:pt idx="78" c:formatCode="General">
                  <c:v>4600</c:v>
                </c:pt>
                <c:pt idx="79" c:formatCode="General">
                  <c:v>4650</c:v>
                </c:pt>
                <c:pt idx="80" c:formatCode="General">
                  <c:v>4650</c:v>
                </c:pt>
                <c:pt idx="81" c:formatCode="General">
                  <c:v>4500</c:v>
                </c:pt>
                <c:pt idx="82" c:formatCode="General">
                  <c:v>4500</c:v>
                </c:pt>
                <c:pt idx="83" c:formatCode="General">
                  <c:v>4500</c:v>
                </c:pt>
                <c:pt idx="84" c:formatCode="General">
                  <c:v>4700</c:v>
                </c:pt>
                <c:pt idx="85" c:formatCode="General">
                  <c:v>4750</c:v>
                </c:pt>
                <c:pt idx="86" c:formatCode="General">
                  <c:v>4750</c:v>
                </c:pt>
                <c:pt idx="87" c:formatCode="General">
                  <c:v>4750</c:v>
                </c:pt>
                <c:pt idx="88" c:formatCode="General">
                  <c:v>4850</c:v>
                </c:pt>
                <c:pt idx="89" c:formatCode="General">
                  <c:v>4750</c:v>
                </c:pt>
                <c:pt idx="90" c:formatCode="General">
                  <c:v>4550</c:v>
                </c:pt>
                <c:pt idx="91" c:formatCode="General">
                  <c:v>4600</c:v>
                </c:pt>
                <c:pt idx="92" c:formatCode="General">
                  <c:v>4500</c:v>
                </c:pt>
                <c:pt idx="93" c:formatCode="General">
                  <c:v>4500</c:v>
                </c:pt>
                <c:pt idx="94" c:formatCode="General">
                  <c:v>4600</c:v>
                </c:pt>
                <c:pt idx="95" c:formatCode="General">
                  <c:v>4600</c:v>
                </c:pt>
                <c:pt idx="96" c:formatCode="General">
                  <c:v>4550</c:v>
                </c:pt>
                <c:pt idx="97" c:formatCode="General">
                  <c:v>4660</c:v>
                </c:pt>
                <c:pt idx="98" c:formatCode="General">
                  <c:v>4730</c:v>
                </c:pt>
                <c:pt idx="99" c:formatCode="General">
                  <c:v>4780</c:v>
                </c:pt>
                <c:pt idx="100" c:formatCode="General">
                  <c:v>4840</c:v>
                </c:pt>
                <c:pt idx="103" c:formatCode="General">
                  <c:v>0</c:v>
                </c:pt>
                <c:pt idx="104" c:formatCode="General">
                  <c:v>4900</c:v>
                </c:pt>
                <c:pt idx="105" c:formatCode="General">
                  <c:v>4980</c:v>
                </c:pt>
                <c:pt idx="106" c:formatCode="General">
                  <c:v>5050</c:v>
                </c:pt>
                <c:pt idx="107" c:formatCode="General">
                  <c:v>5160</c:v>
                </c:pt>
                <c:pt idx="108" c:formatCode="General">
                  <c:v>5240</c:v>
                </c:pt>
                <c:pt idx="109" c:formatCode="General">
                  <c:v>5300</c:v>
                </c:pt>
                <c:pt idx="110" c:formatCode="General">
                  <c:v>5530</c:v>
                </c:pt>
                <c:pt idx="111" c:formatCode="General">
                  <c:v>6200</c:v>
                </c:pt>
                <c:pt idx="112" c:formatCode="General">
                  <c:v>6050</c:v>
                </c:pt>
                <c:pt idx="113" c:formatCode="General">
                  <c:v>6150</c:v>
                </c:pt>
                <c:pt idx="114" c:formatCode="General">
                  <c:v>6180</c:v>
                </c:pt>
                <c:pt idx="115" c:formatCode="General">
                  <c:v>6180</c:v>
                </c:pt>
                <c:pt idx="116" c:formatCode="General">
                  <c:v>5900</c:v>
                </c:pt>
                <c:pt idx="117" c:formatCode="General">
                  <c:v>5830</c:v>
                </c:pt>
                <c:pt idx="118" c:formatCode="General">
                  <c:v>6000</c:v>
                </c:pt>
                <c:pt idx="119" c:formatCode="General">
                  <c:v>5960</c:v>
                </c:pt>
                <c:pt idx="120" c:formatCode="General">
                  <c:v>6400</c:v>
                </c:pt>
                <c:pt idx="121" c:formatCode="General">
                  <c:v>6250</c:v>
                </c:pt>
                <c:pt idx="122" c:formatCode="General">
                  <c:v>6200</c:v>
                </c:pt>
                <c:pt idx="123" c:formatCode="General">
                  <c:v>5990</c:v>
                </c:pt>
                <c:pt idx="124" c:formatCode="General">
                  <c:v>5840</c:v>
                </c:pt>
                <c:pt idx="125" c:formatCode="General">
                  <c:v>5950</c:v>
                </c:pt>
                <c:pt idx="126" c:formatCode="General">
                  <c:v>5950</c:v>
                </c:pt>
                <c:pt idx="127" c:formatCode="General">
                  <c:v>5900</c:v>
                </c:pt>
                <c:pt idx="128" c:formatCode="General">
                  <c:v>5920</c:v>
                </c:pt>
                <c:pt idx="129" c:formatCode="General">
                  <c:v>6000</c:v>
                </c:pt>
                <c:pt idx="130" c:formatCode="General">
                  <c:v>6080</c:v>
                </c:pt>
                <c:pt idx="131" c:formatCode="General">
                  <c:v>6130</c:v>
                </c:pt>
                <c:pt idx="132" c:formatCode="General">
                  <c:v>6150</c:v>
                </c:pt>
                <c:pt idx="133" c:formatCode="General">
                  <c:v>6250</c:v>
                </c:pt>
                <c:pt idx="134" c:formatCode="General">
                  <c:v>6150</c:v>
                </c:pt>
                <c:pt idx="135" c:formatCode="General">
                  <c:v>6450</c:v>
                </c:pt>
                <c:pt idx="136" c:formatCode="General">
                  <c:v>6600</c:v>
                </c:pt>
                <c:pt idx="137" c:formatCode="General">
                  <c:v>6650</c:v>
                </c:pt>
                <c:pt idx="138" c:formatCode="General">
                  <c:v>0</c:v>
                </c:pt>
                <c:pt idx="139" c:formatCode="General">
                  <c:v>0</c:v>
                </c:pt>
                <c:pt idx="140" c:formatCode="General">
                  <c:v>0</c:v>
                </c:pt>
                <c:pt idx="141" c:formatCode="General">
                  <c:v>0</c:v>
                </c:pt>
                <c:pt idx="142" c:formatCode="General">
                  <c:v>0</c:v>
                </c:pt>
                <c:pt idx="143" c:formatCode="General">
                  <c:v>0</c:v>
                </c:pt>
                <c:pt idx="144" c:formatCode="General">
                  <c:v>0</c:v>
                </c:pt>
                <c:pt idx="145" c:formatCode="General">
                  <c:v>0</c:v>
                </c:pt>
                <c:pt idx="146" c:formatCode="General">
                  <c:v>0</c:v>
                </c:pt>
                <c:pt idx="147" c:formatCode="General">
                  <c:v>0</c:v>
                </c:pt>
                <c:pt idx="148" c:formatCode="General">
                  <c:v>0</c:v>
                </c:pt>
                <c:pt idx="149" c:formatCode="General">
                  <c:v>0</c:v>
                </c:pt>
                <c:pt idx="150" c:formatCode="General">
                  <c:v>0</c:v>
                </c:pt>
                <c:pt idx="151" c:formatCode="General">
                  <c:v>7600</c:v>
                </c:pt>
                <c:pt idx="152" c:formatCode="General">
                  <c:v>7500</c:v>
                </c:pt>
                <c:pt idx="153" c:formatCode="General">
                  <c:v>7730</c:v>
                </c:pt>
                <c:pt idx="154" c:formatCode="General">
                  <c:v>7630</c:v>
                </c:pt>
                <c:pt idx="155" c:formatCode="General">
                  <c:v>7580</c:v>
                </c:pt>
                <c:pt idx="156" c:formatCode="General">
                  <c:v>7500</c:v>
                </c:pt>
                <c:pt idx="157" c:formatCode="General">
                  <c:v>7500</c:v>
                </c:pt>
                <c:pt idx="158" c:formatCode="General">
                  <c:v>7450</c:v>
                </c:pt>
                <c:pt idx="159" c:formatCode="General">
                  <c:v>7500</c:v>
                </c:pt>
                <c:pt idx="160" c:formatCode="General">
                  <c:v>7500</c:v>
                </c:pt>
                <c:pt idx="161" c:formatCode="General">
                  <c:v>6350</c:v>
                </c:pt>
                <c:pt idx="162" c:formatCode="General">
                  <c:v>6150</c:v>
                </c:pt>
                <c:pt idx="163" c:formatCode="General">
                  <c:v>6150</c:v>
                </c:pt>
                <c:pt idx="164" c:formatCode="General">
                  <c:v>0</c:v>
                </c:pt>
                <c:pt idx="165" c:formatCode="General">
                  <c:v>0</c:v>
                </c:pt>
                <c:pt idx="166" c:formatCode="General">
                  <c:v>0</c:v>
                </c:pt>
                <c:pt idx="167" c:formatCode="General">
                  <c:v>0</c:v>
                </c:pt>
              </c:numCache>
            </c:numRef>
          </c:val>
          <c:smooth val="0"/>
        </c:ser>
        <c:ser>
          <c:idx val="5"/>
          <c:order val="3"/>
          <c:tx>
            <c:strRef>
              <c:f>'[最新溶剂油周报：山东地炼石脑油价格走势图12.21.xls]溶剂油周报-石脑油价格走势图表'!$G$178</c:f>
              <c:strCache>
                <c:ptCount val="1"/>
                <c:pt idx="0">
                  <c:v>富海石化</c:v>
                </c:pt>
              </c:strCache>
            </c:strRef>
          </c:tx>
          <c:spPr>
            <a:ln w="38100" cap="rnd" cmpd="sng" algn="ctr">
              <a:solidFill>
                <a:srgbClr val="800000">
                  <a:alpha val="100000"/>
                </a:srgbClr>
              </a:solidFill>
              <a:prstDash val="solid"/>
              <a:round/>
            </a:ln>
          </c:spPr>
          <c:marker>
            <c:symbol val="none"/>
          </c:marker>
          <c:dLbls>
            <c:delete val="1"/>
          </c:dLbls>
          <c:cat>
            <c:numRef>
              <c:f>'[最新溶剂油周报：山东地炼石脑油价格走势图12.21.xls]溶剂油周报-石脑油价格走势图表'!$A$179:$C$349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numCache>
            </c:numRef>
          </c:cat>
          <c:val>
            <c:numRef>
              <c:f>'[最新溶剂油周报：山东地炼石脑油价格走势图12.21.xls]溶剂油周报-石脑油价格走势图表'!$G$179:$G$349</c:f>
              <c:numCache>
                <c:formatCode>@</c:formatCode>
                <c:ptCount val="171"/>
                <c:pt idx="0">
                  <c:v>4600</c:v>
                </c:pt>
                <c:pt idx="1">
                  <c:v>4600</c:v>
                </c:pt>
                <c:pt idx="2">
                  <c:v>4600</c:v>
                </c:pt>
                <c:pt idx="3">
                  <c:v>4600</c:v>
                </c:pt>
                <c:pt idx="4">
                  <c:v>4600</c:v>
                </c:pt>
                <c:pt idx="5">
                  <c:v>4600</c:v>
                </c:pt>
                <c:pt idx="6">
                  <c:v>4550</c:v>
                </c:pt>
                <c:pt idx="7">
                  <c:v>4550</c:v>
                </c:pt>
                <c:pt idx="8">
                  <c:v>4550</c:v>
                </c:pt>
                <c:pt idx="9">
                  <c:v>4650</c:v>
                </c:pt>
                <c:pt idx="10">
                  <c:v>4600</c:v>
                </c:pt>
                <c:pt idx="11">
                  <c:v>4370</c:v>
                </c:pt>
                <c:pt idx="12">
                  <c:v>4370</c:v>
                </c:pt>
                <c:pt idx="13">
                  <c:v>4220</c:v>
                </c:pt>
                <c:pt idx="14">
                  <c:v>3900</c:v>
                </c:pt>
                <c:pt idx="15">
                  <c:v>3800</c:v>
                </c:pt>
                <c:pt idx="16">
                  <c:v>3900</c:v>
                </c:pt>
                <c:pt idx="17">
                  <c:v>3930</c:v>
                </c:pt>
                <c:pt idx="18">
                  <c:v>3800</c:v>
                </c:pt>
                <c:pt idx="19">
                  <c:v>3300</c:v>
                </c:pt>
                <c:pt idx="20">
                  <c:v>3250</c:v>
                </c:pt>
                <c:pt idx="21">
                  <c:v>3200</c:v>
                </c:pt>
                <c:pt idx="22">
                  <c:v>3068</c:v>
                </c:pt>
                <c:pt idx="23">
                  <c:v>3068</c:v>
                </c:pt>
                <c:pt idx="24">
                  <c:v>3068</c:v>
                </c:pt>
                <c:pt idx="25">
                  <c:v>3870</c:v>
                </c:pt>
                <c:pt idx="26">
                  <c:v>3700</c:v>
                </c:pt>
                <c:pt idx="27">
                  <c:v>3700</c:v>
                </c:pt>
                <c:pt idx="28">
                  <c:v>3700</c:v>
                </c:pt>
                <c:pt idx="29">
                  <c:v>3700</c:v>
                </c:pt>
                <c:pt idx="30">
                  <c:v>3500</c:v>
                </c:pt>
                <c:pt idx="31">
                  <c:v>3550</c:v>
                </c:pt>
                <c:pt idx="32">
                  <c:v>3600</c:v>
                </c:pt>
                <c:pt idx="33">
                  <c:v>3600</c:v>
                </c:pt>
                <c:pt idx="34">
                  <c:v>3480</c:v>
                </c:pt>
                <c:pt idx="35">
                  <c:v>3520</c:v>
                </c:pt>
                <c:pt idx="36">
                  <c:v>3520</c:v>
                </c:pt>
                <c:pt idx="37">
                  <c:v>3520</c:v>
                </c:pt>
                <c:pt idx="38">
                  <c:v>3350</c:v>
                </c:pt>
                <c:pt idx="39">
                  <c:v>3350</c:v>
                </c:pt>
                <c:pt idx="40">
                  <c:v>3230</c:v>
                </c:pt>
                <c:pt idx="41">
                  <c:v>3230</c:v>
                </c:pt>
                <c:pt idx="42">
                  <c:v>3230</c:v>
                </c:pt>
                <c:pt idx="43">
                  <c:v>3230</c:v>
                </c:pt>
                <c:pt idx="44">
                  <c:v>3230</c:v>
                </c:pt>
                <c:pt idx="45">
                  <c:v>3230</c:v>
                </c:pt>
                <c:pt idx="46">
                  <c:v>3230</c:v>
                </c:pt>
                <c:pt idx="47">
                  <c:v>3230</c:v>
                </c:pt>
                <c:pt idx="48" c:formatCode="General">
                  <c:v>3430</c:v>
                </c:pt>
                <c:pt idx="49" c:formatCode="General">
                  <c:v>3460</c:v>
                </c:pt>
                <c:pt idx="50" c:formatCode="General">
                  <c:v>3350</c:v>
                </c:pt>
                <c:pt idx="51" c:formatCode="General">
                  <c:v>3520</c:v>
                </c:pt>
                <c:pt idx="52" c:formatCode="General">
                  <c:v>3520</c:v>
                </c:pt>
                <c:pt idx="53" c:formatCode="General">
                  <c:v>3500</c:v>
                </c:pt>
                <c:pt idx="54" c:formatCode="General">
                  <c:v>3500</c:v>
                </c:pt>
                <c:pt idx="55" c:formatCode="General">
                  <c:v>3850</c:v>
                </c:pt>
                <c:pt idx="56" c:formatCode="General">
                  <c:v>4080</c:v>
                </c:pt>
                <c:pt idx="57" c:formatCode="General">
                  <c:v>3930</c:v>
                </c:pt>
                <c:pt idx="58" c:formatCode="General">
                  <c:v>3900</c:v>
                </c:pt>
                <c:pt idx="59" c:formatCode="General">
                  <c:v>3750</c:v>
                </c:pt>
                <c:pt idx="60" c:formatCode="General">
                  <c:v>3900</c:v>
                </c:pt>
                <c:pt idx="61" c:formatCode="General">
                  <c:v>3930</c:v>
                </c:pt>
                <c:pt idx="62" c:formatCode="General">
                  <c:v>3900</c:v>
                </c:pt>
                <c:pt idx="63" c:formatCode="General">
                  <c:v>4100</c:v>
                </c:pt>
                <c:pt idx="64" c:formatCode="General">
                  <c:v>4500</c:v>
                </c:pt>
                <c:pt idx="65" c:formatCode="General">
                  <c:v>4500</c:v>
                </c:pt>
                <c:pt idx="66" c:formatCode="General">
                  <c:v>4250</c:v>
                </c:pt>
                <c:pt idx="67" c:formatCode="General">
                  <c:v>4180</c:v>
                </c:pt>
                <c:pt idx="68" c:formatCode="General">
                  <c:v>4260</c:v>
                </c:pt>
                <c:pt idx="69" c:formatCode="General">
                  <c:v>4280</c:v>
                </c:pt>
                <c:pt idx="70" c:formatCode="General">
                  <c:v>4280</c:v>
                </c:pt>
                <c:pt idx="71" c:formatCode="General">
                  <c:v>4300</c:v>
                </c:pt>
                <c:pt idx="72" c:formatCode="General">
                  <c:v>4520</c:v>
                </c:pt>
                <c:pt idx="73" c:formatCode="General">
                  <c:v>4520</c:v>
                </c:pt>
                <c:pt idx="74" c:formatCode="General">
                  <c:v>4370</c:v>
                </c:pt>
                <c:pt idx="75" c:formatCode="General">
                  <c:v>4150</c:v>
                </c:pt>
                <c:pt idx="76" c:formatCode="General">
                  <c:v>4330</c:v>
                </c:pt>
                <c:pt idx="77" c:formatCode="General">
                  <c:v>4280</c:v>
                </c:pt>
                <c:pt idx="78" c:formatCode="General">
                  <c:v>4250</c:v>
                </c:pt>
                <c:pt idx="79" c:formatCode="General">
                  <c:v>4480</c:v>
                </c:pt>
                <c:pt idx="80" c:formatCode="General">
                  <c:v>4500</c:v>
                </c:pt>
                <c:pt idx="81" c:formatCode="General">
                  <c:v>4350</c:v>
                </c:pt>
                <c:pt idx="82" c:formatCode="General">
                  <c:v>4250</c:v>
                </c:pt>
                <c:pt idx="83" c:formatCode="General">
                  <c:v>4250</c:v>
                </c:pt>
                <c:pt idx="84" c:formatCode="General">
                  <c:v>4250</c:v>
                </c:pt>
                <c:pt idx="85" c:formatCode="General">
                  <c:v>4250</c:v>
                </c:pt>
                <c:pt idx="86" c:formatCode="General">
                  <c:v>4250</c:v>
                </c:pt>
                <c:pt idx="87" c:formatCode="General">
                  <c:v>4250</c:v>
                </c:pt>
                <c:pt idx="88" c:formatCode="General">
                  <c:v>4250</c:v>
                </c:pt>
                <c:pt idx="89" c:formatCode="General">
                  <c:v>4180</c:v>
                </c:pt>
                <c:pt idx="90" c:formatCode="General">
                  <c:v>3970</c:v>
                </c:pt>
                <c:pt idx="91" c:formatCode="General">
                  <c:v>3970</c:v>
                </c:pt>
                <c:pt idx="92" c:formatCode="General">
                  <c:v>4000</c:v>
                </c:pt>
                <c:pt idx="93" c:formatCode="General">
                  <c:v>4030</c:v>
                </c:pt>
                <c:pt idx="94" c:formatCode="General">
                  <c:v>4100</c:v>
                </c:pt>
                <c:pt idx="95" c:formatCode="General">
                  <c:v>4100</c:v>
                </c:pt>
                <c:pt idx="96" c:formatCode="General">
                  <c:v>4230</c:v>
                </c:pt>
                <c:pt idx="97" c:formatCode="General">
                  <c:v>4370</c:v>
                </c:pt>
                <c:pt idx="98" c:formatCode="General">
                  <c:v>4370</c:v>
                </c:pt>
                <c:pt idx="99" c:formatCode="General">
                  <c:v>4310</c:v>
                </c:pt>
                <c:pt idx="100" c:formatCode="General">
                  <c:v>4310</c:v>
                </c:pt>
                <c:pt idx="103" c:formatCode="General">
                  <c:v>0</c:v>
                </c:pt>
                <c:pt idx="104" c:formatCode="General">
                  <c:v>4310</c:v>
                </c:pt>
                <c:pt idx="105" c:formatCode="General">
                  <c:v>4400</c:v>
                </c:pt>
                <c:pt idx="106" c:formatCode="General">
                  <c:v>4550</c:v>
                </c:pt>
                <c:pt idx="107" c:formatCode="General">
                  <c:v>4520</c:v>
                </c:pt>
                <c:pt idx="108" c:formatCode="General">
                  <c:v>4480</c:v>
                </c:pt>
                <c:pt idx="109" c:formatCode="General">
                  <c:v>4480</c:v>
                </c:pt>
                <c:pt idx="110" c:formatCode="General">
                  <c:v>4690</c:v>
                </c:pt>
                <c:pt idx="111" c:formatCode="General">
                  <c:v>5750</c:v>
                </c:pt>
                <c:pt idx="112" c:formatCode="General">
                  <c:v>5420</c:v>
                </c:pt>
                <c:pt idx="113" c:formatCode="General">
                  <c:v>5400</c:v>
                </c:pt>
                <c:pt idx="114" c:formatCode="General">
                  <c:v>5430</c:v>
                </c:pt>
                <c:pt idx="115" c:formatCode="General">
                  <c:v>5430</c:v>
                </c:pt>
                <c:pt idx="116" c:formatCode="General">
                  <c:v>5210</c:v>
                </c:pt>
                <c:pt idx="117" c:formatCode="General">
                  <c:v>5090</c:v>
                </c:pt>
                <c:pt idx="118" c:formatCode="General">
                  <c:v>5190</c:v>
                </c:pt>
                <c:pt idx="119" c:formatCode="General">
                  <c:v>5210</c:v>
                </c:pt>
                <c:pt idx="120" c:formatCode="General">
                  <c:v>5210</c:v>
                </c:pt>
                <c:pt idx="121" c:formatCode="General">
                  <c:v>5670</c:v>
                </c:pt>
                <c:pt idx="122" c:formatCode="General">
                  <c:v>5500</c:v>
                </c:pt>
                <c:pt idx="123" c:formatCode="General">
                  <c:v>5200</c:v>
                </c:pt>
                <c:pt idx="124" c:formatCode="General">
                  <c:v>5200</c:v>
                </c:pt>
                <c:pt idx="125" c:formatCode="General">
                  <c:v>5290</c:v>
                </c:pt>
                <c:pt idx="126" c:formatCode="General">
                  <c:v>5310</c:v>
                </c:pt>
                <c:pt idx="127" c:formatCode="General">
                  <c:v>5210</c:v>
                </c:pt>
                <c:pt idx="128" c:formatCode="General">
                  <c:v>5080</c:v>
                </c:pt>
                <c:pt idx="129" c:formatCode="General">
                  <c:v>4800</c:v>
                </c:pt>
                <c:pt idx="130" c:formatCode="General">
                  <c:v>4800</c:v>
                </c:pt>
                <c:pt idx="131" c:formatCode="General">
                  <c:v>4800</c:v>
                </c:pt>
                <c:pt idx="132" c:formatCode="General">
                  <c:v>4860</c:v>
                </c:pt>
                <c:pt idx="133" c:formatCode="General">
                  <c:v>4840</c:v>
                </c:pt>
                <c:pt idx="134" c:formatCode="General">
                  <c:v>4760</c:v>
                </c:pt>
                <c:pt idx="135" c:formatCode="General">
                  <c:v>4920</c:v>
                </c:pt>
                <c:pt idx="136" c:formatCode="General">
                  <c:v>5100</c:v>
                </c:pt>
                <c:pt idx="137" c:formatCode="General">
                  <c:v>5110</c:v>
                </c:pt>
                <c:pt idx="138" c:formatCode="General">
                  <c:v>4890</c:v>
                </c:pt>
                <c:pt idx="139" c:formatCode="General">
                  <c:v>4730</c:v>
                </c:pt>
                <c:pt idx="140" c:formatCode="General">
                  <c:v>4760</c:v>
                </c:pt>
                <c:pt idx="141" c:formatCode="General">
                  <c:v>4760</c:v>
                </c:pt>
                <c:pt idx="142" c:formatCode="General">
                  <c:v>4760</c:v>
                </c:pt>
                <c:pt idx="143" c:formatCode="General">
                  <c:v>4780</c:v>
                </c:pt>
                <c:pt idx="144" c:formatCode="General">
                  <c:v>4830</c:v>
                </c:pt>
                <c:pt idx="145" c:formatCode="General">
                  <c:v>5010</c:v>
                </c:pt>
                <c:pt idx="146" c:formatCode="General">
                  <c:v>5010</c:v>
                </c:pt>
                <c:pt idx="147" c:formatCode="General">
                  <c:v>5010</c:v>
                </c:pt>
                <c:pt idx="148" c:formatCode="General">
                  <c:v>5010</c:v>
                </c:pt>
                <c:pt idx="149" c:formatCode="General">
                  <c:v>5010</c:v>
                </c:pt>
                <c:pt idx="150" c:formatCode="General">
                  <c:v>5010</c:v>
                </c:pt>
                <c:pt idx="151" c:formatCode="General">
                  <c:v>5470</c:v>
                </c:pt>
                <c:pt idx="152" c:formatCode="General">
                  <c:v>5550</c:v>
                </c:pt>
                <c:pt idx="153" c:formatCode="General">
                  <c:v>5700</c:v>
                </c:pt>
                <c:pt idx="154" c:formatCode="General">
                  <c:v>5620</c:v>
                </c:pt>
                <c:pt idx="155" c:formatCode="General">
                  <c:v>5620</c:v>
                </c:pt>
                <c:pt idx="156" c:formatCode="General">
                  <c:v>5750</c:v>
                </c:pt>
                <c:pt idx="157" c:formatCode="General">
                  <c:v>5600</c:v>
                </c:pt>
                <c:pt idx="158" c:formatCode="General">
                  <c:v>5570</c:v>
                </c:pt>
                <c:pt idx="159" c:formatCode="General">
                  <c:v>5570</c:v>
                </c:pt>
                <c:pt idx="160" c:formatCode="General">
                  <c:v>5270</c:v>
                </c:pt>
                <c:pt idx="161" c:formatCode="General">
                  <c:v>4960</c:v>
                </c:pt>
                <c:pt idx="162" c:formatCode="General">
                  <c:v>4960</c:v>
                </c:pt>
                <c:pt idx="163" c:formatCode="General">
                  <c:v>4370</c:v>
                </c:pt>
                <c:pt idx="164" c:formatCode="General">
                  <c:v>0</c:v>
                </c:pt>
                <c:pt idx="165" c:formatCode="General">
                  <c:v>0</c:v>
                </c:pt>
                <c:pt idx="166" c:formatCode="General">
                  <c:v>0</c:v>
                </c:pt>
                <c:pt idx="167" c:formatCode="General">
                  <c:v>0</c:v>
                </c:pt>
              </c:numCache>
            </c:numRef>
          </c:val>
          <c:smooth val="0"/>
        </c:ser>
        <c:ser>
          <c:idx val="6"/>
          <c:order val="4"/>
          <c:tx>
            <c:strRef>
              <c:f>'[最新溶剂油周报：山东地炼石脑油价格走势图12.21.xls]溶剂油周报-石脑油价格走势图表'!$H$178</c:f>
              <c:strCache>
                <c:ptCount val="1"/>
                <c:pt idx="0">
                  <c:v>寿光石化</c:v>
                </c:pt>
              </c:strCache>
            </c:strRef>
          </c:tx>
          <c:spPr>
            <a:ln w="38100" cap="rnd" cmpd="sng" algn="ctr">
              <a:solidFill>
                <a:srgbClr val="0000FF">
                  <a:alpha val="100000"/>
                </a:srgbClr>
              </a:solidFill>
              <a:prstDash val="solid"/>
              <a:round/>
            </a:ln>
          </c:spPr>
          <c:marker>
            <c:symbol val="none"/>
          </c:marker>
          <c:dLbls>
            <c:delete val="1"/>
          </c:dLbls>
          <c:cat>
            <c:numRef>
              <c:f>'[最新溶剂油周报：山东地炼石脑油价格走势图12.21.xls]溶剂油周报-石脑油价格走势图表'!$A$179:$C$349</c:f>
              <c:numCache>
                <c:formatCode>yyyy/m/d</c:formatCode>
                <c:ptCount val="171"/>
                <c:pt idx="0" c:formatCode="yyyy/m/d">
                  <c:v>42253</c:v>
                </c:pt>
                <c:pt idx="1" c:formatCode="yyyy/m/d">
                  <c:v>42258</c:v>
                </c:pt>
                <c:pt idx="2" c:formatCode="yyyy/m/d">
                  <c:v>42265</c:v>
                </c:pt>
                <c:pt idx="3" c:formatCode="yyyy/m/d">
                  <c:v>42272</c:v>
                </c:pt>
                <c:pt idx="4" c:formatCode="yyyy/m/d">
                  <c:v>42287</c:v>
                </c:pt>
                <c:pt idx="5" c:formatCode="yyyy/m/d">
                  <c:v>42292</c:v>
                </c:pt>
                <c:pt idx="6" c:formatCode="yyyy/m/d">
                  <c:v>42300</c:v>
                </c:pt>
                <c:pt idx="7" c:formatCode="yyyy/m/d">
                  <c:v>42306</c:v>
                </c:pt>
                <c:pt idx="8" c:formatCode="yyyy/m/d">
                  <c:v>42313</c:v>
                </c:pt>
                <c:pt idx="9" c:formatCode="yyyy/m/d">
                  <c:v>42320</c:v>
                </c:pt>
                <c:pt idx="10" c:formatCode="yyyy/m/d">
                  <c:v>42328</c:v>
                </c:pt>
                <c:pt idx="11" c:formatCode="yyyy/m/d">
                  <c:v>42334</c:v>
                </c:pt>
                <c:pt idx="12" c:formatCode="yyyy/m/d">
                  <c:v>42341</c:v>
                </c:pt>
                <c:pt idx="13" c:formatCode="yyyy/m/d">
                  <c:v>42348</c:v>
                </c:pt>
                <c:pt idx="14" c:formatCode="yyyy/m/d">
                  <c:v>42355</c:v>
                </c:pt>
                <c:pt idx="15" c:formatCode="yyyy/m/d">
                  <c:v>42363</c:v>
                </c:pt>
                <c:pt idx="16" c:formatCode="yyyy/m/d">
                  <c:v>42369</c:v>
                </c:pt>
                <c:pt idx="17" c:formatCode="yyyy/m/d">
                  <c:v>42376</c:v>
                </c:pt>
                <c:pt idx="18" c:formatCode="yyyy/m/d">
                  <c:v>42383</c:v>
                </c:pt>
                <c:pt idx="19" c:formatCode="yyyy/m/d">
                  <c:v>42390</c:v>
                </c:pt>
                <c:pt idx="20" c:formatCode="yyyy/m/d">
                  <c:v>42397</c:v>
                </c:pt>
                <c:pt idx="21" c:formatCode="yyyy/m/d">
                  <c:v>42403</c:v>
                </c:pt>
                <c:pt idx="22" c:formatCode="yyyy/m/d">
                  <c:v>42418</c:v>
                </c:pt>
                <c:pt idx="23" c:formatCode="yyyy/m/d">
                  <c:v>42425</c:v>
                </c:pt>
                <c:pt idx="24" c:formatCode="yyyy/m/d">
                  <c:v>42431</c:v>
                </c:pt>
                <c:pt idx="25" c:formatCode="yyyy/m/d">
                  <c:v>42439</c:v>
                </c:pt>
                <c:pt idx="26" c:formatCode="yyyy/m/d">
                  <c:v>42446</c:v>
                </c:pt>
                <c:pt idx="27" c:formatCode="yyyy/m/d">
                  <c:v>42453</c:v>
                </c:pt>
                <c:pt idx="28" c:formatCode="yyyy/m/d">
                  <c:v>42460</c:v>
                </c:pt>
                <c:pt idx="29" c:formatCode="yyyy/m/d">
                  <c:v>42467</c:v>
                </c:pt>
                <c:pt idx="30" c:formatCode="yyyy/m/d">
                  <c:v>42474</c:v>
                </c:pt>
                <c:pt idx="31" c:formatCode="yyyy/m/d">
                  <c:v>42481</c:v>
                </c:pt>
                <c:pt idx="32" c:formatCode="yyyy/m/d">
                  <c:v>42487</c:v>
                </c:pt>
                <c:pt idx="33" c:formatCode="yyyy/m/d">
                  <c:v>42495</c:v>
                </c:pt>
                <c:pt idx="34" c:formatCode="yyyy/m/d">
                  <c:v>42502</c:v>
                </c:pt>
                <c:pt idx="35" c:formatCode="yyyy/m/d">
                  <c:v>42509</c:v>
                </c:pt>
                <c:pt idx="36" c:formatCode="yyyy/m/d">
                  <c:v>42516</c:v>
                </c:pt>
                <c:pt idx="37" c:formatCode="yyyy/m/d">
                  <c:v>42523</c:v>
                </c:pt>
                <c:pt idx="38" c:formatCode="yyyy/m/d">
                  <c:v>42533</c:v>
                </c:pt>
                <c:pt idx="39" c:formatCode="yyyy/m/d">
                  <c:v>42537</c:v>
                </c:pt>
                <c:pt idx="40" c:formatCode="yyyy/m/d">
                  <c:v>42544</c:v>
                </c:pt>
                <c:pt idx="41" c:formatCode="yyyy/m/d">
                  <c:v>42551</c:v>
                </c:pt>
                <c:pt idx="42" c:formatCode="yyyy/m/d">
                  <c:v>42559</c:v>
                </c:pt>
                <c:pt idx="43" c:formatCode="yyyy/m/d">
                  <c:v>42566</c:v>
                </c:pt>
                <c:pt idx="44" c:formatCode="yyyy/m/d">
                  <c:v>42573</c:v>
                </c:pt>
                <c:pt idx="45" c:formatCode="yyyy/m/d">
                  <c:v>42580</c:v>
                </c:pt>
                <c:pt idx="46" c:formatCode="yyyy/m/d">
                  <c:v>42586</c:v>
                </c:pt>
                <c:pt idx="47" c:formatCode="yyyy/m/d">
                  <c:v>42593</c:v>
                </c:pt>
                <c:pt idx="48" c:formatCode="yyyy/m/d">
                  <c:v>42600</c:v>
                </c:pt>
                <c:pt idx="49" c:formatCode="yyyy/m/d">
                  <c:v>42607</c:v>
                </c:pt>
                <c:pt idx="50" c:formatCode="yyyy/m/d">
                  <c:v>42614</c:v>
                </c:pt>
                <c:pt idx="51" c:formatCode="yyyy/m/d">
                  <c:v>42621</c:v>
                </c:pt>
                <c:pt idx="52" c:formatCode="yyyy/m/d">
                  <c:v>42631</c:v>
                </c:pt>
                <c:pt idx="53" c:formatCode="yyyy/m/d">
                  <c:v>42635</c:v>
                </c:pt>
                <c:pt idx="54" c:formatCode="yyyy/m/d">
                  <c:v>42642</c:v>
                </c:pt>
                <c:pt idx="55" c:formatCode="yyyy/m/d">
                  <c:v>42656</c:v>
                </c:pt>
                <c:pt idx="56" c:formatCode="yyyy/m/d">
                  <c:v>42663</c:v>
                </c:pt>
                <c:pt idx="57" c:formatCode="yyyy/m/d">
                  <c:v>42670</c:v>
                </c:pt>
                <c:pt idx="58" c:formatCode="yyyy/m/d">
                  <c:v>42677</c:v>
                </c:pt>
                <c:pt idx="59" c:formatCode="yyyy/m/d">
                  <c:v>42684</c:v>
                </c:pt>
                <c:pt idx="60" c:formatCode="yyyy/m/d">
                  <c:v>42691</c:v>
                </c:pt>
                <c:pt idx="61" c:formatCode="yyyy/m/d">
                  <c:v>42698</c:v>
                </c:pt>
                <c:pt idx="62" c:formatCode="yyyy/m/d">
                  <c:v>42705</c:v>
                </c:pt>
                <c:pt idx="63" c:formatCode="yyyy/m/d">
                  <c:v>42712</c:v>
                </c:pt>
                <c:pt idx="64" c:formatCode="yyyy/m/d">
                  <c:v>42719</c:v>
                </c:pt>
                <c:pt idx="65" c:formatCode="yyyy/m/d">
                  <c:v>42726</c:v>
                </c:pt>
                <c:pt idx="66" c:formatCode="yyyy/m/d">
                  <c:v>42733</c:v>
                </c:pt>
                <c:pt idx="67" c:formatCode="yyyy/m/d">
                  <c:v>42740</c:v>
                </c:pt>
                <c:pt idx="68" c:formatCode="yyyy/m/d">
                  <c:v>42747</c:v>
                </c:pt>
                <c:pt idx="69" c:formatCode="yyyy/m/d">
                  <c:v>42754</c:v>
                </c:pt>
                <c:pt idx="70" c:formatCode="yyyy/m/d">
                  <c:v>42775</c:v>
                </c:pt>
                <c:pt idx="71" c:formatCode="yyyy/m/d">
                  <c:v>42782</c:v>
                </c:pt>
                <c:pt idx="72" c:formatCode="yyyy/m/d">
                  <c:v>42789</c:v>
                </c:pt>
                <c:pt idx="73" c:formatCode="yyyy/m/d">
                  <c:v>42796</c:v>
                </c:pt>
                <c:pt idx="74" c:formatCode="yyyy/m/d">
                  <c:v>42803</c:v>
                </c:pt>
                <c:pt idx="75" c:formatCode="yyyy/m/d">
                  <c:v>42810</c:v>
                </c:pt>
                <c:pt idx="76" c:formatCode="yyyy/m/d">
                  <c:v>42817</c:v>
                </c:pt>
                <c:pt idx="77" c:formatCode="yyyy/m/d">
                  <c:v>42824</c:v>
                </c:pt>
                <c:pt idx="78" c:formatCode="yyyy/m/d">
                  <c:v>42831</c:v>
                </c:pt>
                <c:pt idx="79" c:formatCode="yyyy/m/d">
                  <c:v>42838</c:v>
                </c:pt>
                <c:pt idx="80" c:formatCode="yyyy/m/d">
                  <c:v>42845</c:v>
                </c:pt>
                <c:pt idx="81" c:formatCode="yyyy/m/d">
                  <c:v>42852</c:v>
                </c:pt>
                <c:pt idx="82" c:formatCode="yyyy/m/d">
                  <c:v>42859</c:v>
                </c:pt>
                <c:pt idx="83" c:formatCode="yyyy/m/d">
                  <c:v>42866</c:v>
                </c:pt>
                <c:pt idx="84" c:formatCode="yyyy/m/d">
                  <c:v>42873</c:v>
                </c:pt>
                <c:pt idx="85" c:formatCode="yyyy/m/d">
                  <c:v>42880</c:v>
                </c:pt>
                <c:pt idx="86" c:formatCode="yyyy/m/d">
                  <c:v>42887</c:v>
                </c:pt>
                <c:pt idx="87" c:formatCode="yyyy/m/d">
                  <c:v>42894</c:v>
                </c:pt>
                <c:pt idx="88" c:formatCode="yyyy/m/d">
                  <c:v>42901</c:v>
                </c:pt>
                <c:pt idx="89" c:formatCode="yyyy/m/d">
                  <c:v>42908</c:v>
                </c:pt>
                <c:pt idx="90" c:formatCode="yyyy/m/d">
                  <c:v>42915</c:v>
                </c:pt>
                <c:pt idx="91" c:formatCode="yyyy/m/d">
                  <c:v>42922</c:v>
                </c:pt>
                <c:pt idx="92" c:formatCode="yyyy/m/d">
                  <c:v>42929</c:v>
                </c:pt>
                <c:pt idx="93" c:formatCode="yyyy/m/d">
                  <c:v>42936</c:v>
                </c:pt>
                <c:pt idx="94" c:formatCode="yyyy/m/d">
                  <c:v>42943</c:v>
                </c:pt>
                <c:pt idx="95" c:formatCode="yyyy/m/d">
                  <c:v>42950</c:v>
                </c:pt>
                <c:pt idx="96" c:formatCode="yyyy/m/d">
                  <c:v>42957</c:v>
                </c:pt>
                <c:pt idx="97" c:formatCode="yyyy/m/d">
                  <c:v>42964</c:v>
                </c:pt>
                <c:pt idx="98" c:formatCode="yyyy/m/d">
                  <c:v>42971</c:v>
                </c:pt>
                <c:pt idx="99" c:formatCode="yyyy/m/d">
                  <c:v>42978</c:v>
                </c:pt>
                <c:pt idx="100" c:formatCode="yyyy/m/d">
                  <c:v>42986</c:v>
                </c:pt>
                <c:pt idx="104" c:formatCode="yyyy/m/d">
                  <c:v>42993</c:v>
                </c:pt>
                <c:pt idx="105" c:formatCode="yyyy/m/d">
                  <c:v>43000</c:v>
                </c:pt>
                <c:pt idx="106" c:formatCode="yyyy/m/d">
                  <c:v>43007</c:v>
                </c:pt>
                <c:pt idx="107" c:formatCode="yyyy/m/d">
                  <c:v>43021</c:v>
                </c:pt>
                <c:pt idx="108" c:formatCode="yyyy/m/d">
                  <c:v>43028</c:v>
                </c:pt>
                <c:pt idx="109" c:formatCode="yyyy/m/d">
                  <c:v>43035</c:v>
                </c:pt>
                <c:pt idx="110" c:formatCode="yyyy/m/d">
                  <c:v>43042</c:v>
                </c:pt>
                <c:pt idx="111" c:formatCode="yyyy/m/d">
                  <c:v>43049</c:v>
                </c:pt>
                <c:pt idx="112" c:formatCode="yyyy/m/d">
                  <c:v>43056</c:v>
                </c:pt>
                <c:pt idx="113" c:formatCode="yyyy/m/d">
                  <c:v>43063</c:v>
                </c:pt>
                <c:pt idx="114" c:formatCode="yyyy/m/d">
                  <c:v>43069</c:v>
                </c:pt>
                <c:pt idx="115" c:formatCode="yyyy/m/d">
                  <c:v>43077</c:v>
                </c:pt>
                <c:pt idx="116" c:formatCode="yyyy/m/d">
                  <c:v>43084</c:v>
                </c:pt>
                <c:pt idx="117" c:formatCode="yyyy/m/d">
                  <c:v>43091</c:v>
                </c:pt>
                <c:pt idx="118" c:formatCode="yyyy/m/d">
                  <c:v>43098</c:v>
                </c:pt>
                <c:pt idx="119" c:formatCode="yyyy/m/d">
                  <c:v>43105</c:v>
                </c:pt>
                <c:pt idx="120" c:formatCode="yyyy/m/d">
                  <c:v>43112</c:v>
                </c:pt>
                <c:pt idx="121" c:formatCode="yyyy/m/d">
                  <c:v>43119</c:v>
                </c:pt>
                <c:pt idx="122" c:formatCode="yyyy/m/d">
                  <c:v>43126</c:v>
                </c:pt>
                <c:pt idx="123" c:formatCode="yyyy/m/d">
                  <c:v>43133</c:v>
                </c:pt>
                <c:pt idx="124" c:formatCode="yyyy/m/d">
                  <c:v>43140</c:v>
                </c:pt>
                <c:pt idx="125" c:formatCode="yyyy/m/d">
                  <c:v>43161</c:v>
                </c:pt>
                <c:pt idx="126" c:formatCode="yyyy/m/d">
                  <c:v>43168</c:v>
                </c:pt>
                <c:pt idx="127" c:formatCode="yyyy/m/d">
                  <c:v>43175</c:v>
                </c:pt>
                <c:pt idx="128" c:formatCode="yyyy/m/d">
                  <c:v>43182</c:v>
                </c:pt>
                <c:pt idx="129" c:formatCode="yyyy/m/d">
                  <c:v>43189</c:v>
                </c:pt>
                <c:pt idx="130" c:formatCode="yyyy/m/d">
                  <c:v>43198</c:v>
                </c:pt>
                <c:pt idx="131" c:formatCode="yyyy/m/d">
                  <c:v>43203</c:v>
                </c:pt>
                <c:pt idx="132" c:formatCode="yyyy/m/d">
                  <c:v>43210</c:v>
                </c:pt>
                <c:pt idx="133" c:formatCode="yyyy/m/d">
                  <c:v>43217</c:v>
                </c:pt>
                <c:pt idx="134" c:formatCode="yyyy/m/d">
                  <c:v>43224</c:v>
                </c:pt>
                <c:pt idx="135" c:formatCode="yyyy/m/d">
                  <c:v>43231</c:v>
                </c:pt>
                <c:pt idx="136" c:formatCode="yyyy/m/d">
                  <c:v>43238</c:v>
                </c:pt>
                <c:pt idx="137" c:formatCode="yyyy/m/d">
                  <c:v>43245</c:v>
                </c:pt>
                <c:pt idx="138" c:formatCode="yyyy/m/d">
                  <c:v>43252</c:v>
                </c:pt>
                <c:pt idx="139" c:formatCode="yyyy/m/d">
                  <c:v>43259</c:v>
                </c:pt>
                <c:pt idx="140" c:formatCode="yyyy/m/d">
                  <c:v>43266</c:v>
                </c:pt>
                <c:pt idx="141" c:formatCode="yyyy/m/d">
                  <c:v>43273</c:v>
                </c:pt>
                <c:pt idx="142" c:formatCode="yyyy/m/d">
                  <c:v>43280</c:v>
                </c:pt>
                <c:pt idx="143" c:formatCode="yyyy/m/d">
                  <c:v>43287</c:v>
                </c:pt>
                <c:pt idx="144" c:formatCode="yyyy/m/d">
                  <c:v>43294</c:v>
                </c:pt>
                <c:pt idx="145" c:formatCode="yyyy/m/d">
                  <c:v>43301</c:v>
                </c:pt>
                <c:pt idx="146" c:formatCode="yyyy/m/d">
                  <c:v>43308</c:v>
                </c:pt>
                <c:pt idx="147" c:formatCode="yyyy/m/d">
                  <c:v>43315</c:v>
                </c:pt>
                <c:pt idx="148" c:formatCode="yyyy/m/d">
                  <c:v>43322</c:v>
                </c:pt>
                <c:pt idx="149" c:formatCode="yyyy/m/d">
                  <c:v>43329</c:v>
                </c:pt>
                <c:pt idx="150" c:formatCode="yyyy/m/d">
                  <c:v>43336</c:v>
                </c:pt>
                <c:pt idx="151" c:formatCode="yyyy/m/d">
                  <c:v>43343</c:v>
                </c:pt>
                <c:pt idx="152" c:formatCode="yyyy/m/d">
                  <c:v>43350</c:v>
                </c:pt>
                <c:pt idx="153" c:formatCode="yyyy/m/d">
                  <c:v>43357</c:v>
                </c:pt>
                <c:pt idx="154" c:formatCode="yyyy/m/d">
                  <c:v>43364</c:v>
                </c:pt>
                <c:pt idx="155" c:formatCode="yyyy/m/d">
                  <c:v>43371</c:v>
                </c:pt>
                <c:pt idx="156" c:formatCode="yyyy/m/d">
                  <c:v>43385</c:v>
                </c:pt>
                <c:pt idx="157" c:formatCode="yyyy/m/d">
                  <c:v>43392</c:v>
                </c:pt>
                <c:pt idx="158" c:formatCode="yyyy/m/d">
                  <c:v>43399</c:v>
                </c:pt>
                <c:pt idx="159" c:formatCode="yyyy/m/d">
                  <c:v>43406</c:v>
                </c:pt>
                <c:pt idx="160" c:formatCode="yyyy/m/d">
                  <c:v>43413</c:v>
                </c:pt>
                <c:pt idx="161" c:formatCode="yyyy/m/d">
                  <c:v>43420</c:v>
                </c:pt>
                <c:pt idx="162" c:formatCode="yyyy/m/d">
                  <c:v>43427</c:v>
                </c:pt>
                <c:pt idx="163" c:formatCode="yyyy/m/d">
                  <c:v>43434</c:v>
                </c:pt>
                <c:pt idx="164" c:formatCode="yyyy/m/d">
                  <c:v>43441</c:v>
                </c:pt>
                <c:pt idx="165" c:formatCode="yyyy/m/d">
                  <c:v>43448</c:v>
                </c:pt>
                <c:pt idx="166" c:formatCode="yyyy/m/d">
                  <c:v>43455</c:v>
                </c:pt>
                <c:pt idx="167" c:formatCode="yyyy/m/d">
                  <c:v>43462</c:v>
                </c:pt>
              </c:numCache>
            </c:numRef>
          </c:cat>
          <c:val>
            <c:numRef>
              <c:f>'[最新溶剂油周报：山东地炼石脑油价格走势图12.21.xls]溶剂油周报-石脑油价格走势图表'!$H$179:$H$349</c:f>
              <c:numCache>
                <c:formatCode>General</c:formatCode>
                <c:ptCount val="171"/>
                <c:pt idx="17" c:formatCode="@">
                  <c:v>3650</c:v>
                </c:pt>
                <c:pt idx="18" c:formatCode="@">
                  <c:v>3650</c:v>
                </c:pt>
                <c:pt idx="19" c:formatCode="@">
                  <c:v>3650</c:v>
                </c:pt>
                <c:pt idx="20" c:formatCode="@">
                  <c:v>3650</c:v>
                </c:pt>
                <c:pt idx="21" c:formatCode="@">
                  <c:v>3650</c:v>
                </c:pt>
                <c:pt idx="22" c:formatCode="@">
                  <c:v>3650</c:v>
                </c:pt>
                <c:pt idx="23" c:formatCode="@">
                  <c:v>3650</c:v>
                </c:pt>
                <c:pt idx="24" c:formatCode="@">
                  <c:v>3650</c:v>
                </c:pt>
                <c:pt idx="25" c:formatCode="@">
                  <c:v>3650</c:v>
                </c:pt>
                <c:pt idx="26" c:formatCode="@">
                  <c:v>3650</c:v>
                </c:pt>
                <c:pt idx="27" c:formatCode="@">
                  <c:v>4000</c:v>
                </c:pt>
                <c:pt idx="28" c:formatCode="@">
                  <c:v>4000</c:v>
                </c:pt>
                <c:pt idx="29" c:formatCode="@">
                  <c:v>4000</c:v>
                </c:pt>
                <c:pt idx="30" c:formatCode="@">
                  <c:v>4000</c:v>
                </c:pt>
                <c:pt idx="31" c:formatCode="@">
                  <c:v>4000</c:v>
                </c:pt>
                <c:pt idx="32" c:formatCode="@">
                  <c:v>4000</c:v>
                </c:pt>
                <c:pt idx="33" c:formatCode="@">
                  <c:v>4000</c:v>
                </c:pt>
                <c:pt idx="34" c:formatCode="@">
                  <c:v>4000</c:v>
                </c:pt>
                <c:pt idx="35" c:formatCode="@">
                  <c:v>4000</c:v>
                </c:pt>
                <c:pt idx="36" c:formatCode="@">
                  <c:v>4000</c:v>
                </c:pt>
                <c:pt idx="37" c:formatCode="@">
                  <c:v>4000</c:v>
                </c:pt>
                <c:pt idx="38" c:formatCode="@">
                  <c:v>4000</c:v>
                </c:pt>
                <c:pt idx="39" c:formatCode="@">
                  <c:v>4000</c:v>
                </c:pt>
                <c:pt idx="40" c:formatCode="@">
                  <c:v>4000</c:v>
                </c:pt>
                <c:pt idx="41" c:formatCode="@">
                  <c:v>4000</c:v>
                </c:pt>
                <c:pt idx="42" c:formatCode="@">
                  <c:v>4000</c:v>
                </c:pt>
                <c:pt idx="43" c:formatCode="@">
                  <c:v>4000</c:v>
                </c:pt>
                <c:pt idx="44" c:formatCode="@">
                  <c:v>4000</c:v>
                </c:pt>
                <c:pt idx="45" c:formatCode="@">
                  <c:v>4000</c:v>
                </c:pt>
                <c:pt idx="46" c:formatCode="@">
                  <c:v>4000</c:v>
                </c:pt>
                <c:pt idx="47" c:formatCode="@">
                  <c:v>4000</c:v>
                </c:pt>
                <c:pt idx="48" c:formatCode="@">
                  <c:v>4000</c:v>
                </c:pt>
                <c:pt idx="49" c:formatCode="@">
                  <c:v>4000</c:v>
                </c:pt>
                <c:pt idx="50" c:formatCode="@">
                  <c:v>4000</c:v>
                </c:pt>
                <c:pt idx="51" c:formatCode="@">
                  <c:v>4000</c:v>
                </c:pt>
                <c:pt idx="52" c:formatCode="@">
                  <c:v>4000</c:v>
                </c:pt>
                <c:pt idx="53" c:formatCode="@">
                  <c:v>4000</c:v>
                </c:pt>
                <c:pt idx="54" c:formatCode="@">
                  <c:v>4000</c:v>
                </c:pt>
                <c:pt idx="55" c:formatCode="@">
                  <c:v>4000</c:v>
                </c:pt>
                <c:pt idx="56" c:formatCode="@">
                  <c:v>4000</c:v>
                </c:pt>
                <c:pt idx="57" c:formatCode="@">
                  <c:v>4000</c:v>
                </c:pt>
                <c:pt idx="58" c:formatCode="@">
                  <c:v>4000</c:v>
                </c:pt>
                <c:pt idx="59" c:formatCode="@">
                  <c:v>4000</c:v>
                </c:pt>
                <c:pt idx="60" c:formatCode="@">
                  <c:v>4000</c:v>
                </c:pt>
                <c:pt idx="61" c:formatCode="@">
                  <c:v>4000</c:v>
                </c:pt>
                <c:pt idx="62" c:formatCode="@">
                  <c:v>4000</c:v>
                </c:pt>
                <c:pt idx="63" c:formatCode="@">
                  <c:v>4000</c:v>
                </c:pt>
                <c:pt idx="64" c:formatCode="@">
                  <c:v>4000</c:v>
                </c:pt>
                <c:pt idx="65" c:formatCode="@">
                  <c:v>4000</c:v>
                </c:pt>
                <c:pt idx="66" c:formatCode="@">
                  <c:v>4000</c:v>
                </c:pt>
                <c:pt idx="67" c:formatCode="@">
                  <c:v>4000</c:v>
                </c:pt>
                <c:pt idx="68" c:formatCode="@">
                  <c:v>4000</c:v>
                </c:pt>
                <c:pt idx="69" c:formatCode="@">
                  <c:v>4000</c:v>
                </c:pt>
                <c:pt idx="70" c:formatCode="@">
                  <c:v>4000</c:v>
                </c:pt>
                <c:pt idx="71">
                  <c:v>4000</c:v>
                </c:pt>
                <c:pt idx="72">
                  <c:v>4000</c:v>
                </c:pt>
                <c:pt idx="73">
                  <c:v>4000</c:v>
                </c:pt>
                <c:pt idx="74">
                  <c:v>4000</c:v>
                </c:pt>
                <c:pt idx="75">
                  <c:v>4000</c:v>
                </c:pt>
                <c:pt idx="76">
                  <c:v>4000</c:v>
                </c:pt>
                <c:pt idx="77">
                  <c:v>4000</c:v>
                </c:pt>
                <c:pt idx="78">
                  <c:v>4000</c:v>
                </c:pt>
                <c:pt idx="79">
                  <c:v>4000</c:v>
                </c:pt>
                <c:pt idx="80">
                  <c:v>4000</c:v>
                </c:pt>
                <c:pt idx="81">
                  <c:v>4000</c:v>
                </c:pt>
                <c:pt idx="82">
                  <c:v>4000</c:v>
                </c:pt>
                <c:pt idx="83">
                  <c:v>4000</c:v>
                </c:pt>
                <c:pt idx="84">
                  <c:v>4000</c:v>
                </c:pt>
                <c:pt idx="85">
                  <c:v>4000</c:v>
                </c:pt>
                <c:pt idx="86">
                  <c:v>4000</c:v>
                </c:pt>
                <c:pt idx="87">
                  <c:v>4000</c:v>
                </c:pt>
                <c:pt idx="88">
                  <c:v>4000</c:v>
                </c:pt>
                <c:pt idx="89">
                  <c:v>4000</c:v>
                </c:pt>
                <c:pt idx="90">
                  <c:v>4000</c:v>
                </c:pt>
                <c:pt idx="91">
                  <c:v>4000</c:v>
                </c:pt>
                <c:pt idx="92">
                  <c:v>4000</c:v>
                </c:pt>
                <c:pt idx="93">
                  <c:v>4000</c:v>
                </c:pt>
                <c:pt idx="94">
                  <c:v>4000</c:v>
                </c:pt>
                <c:pt idx="95">
                  <c:v>4000</c:v>
                </c:pt>
                <c:pt idx="96">
                  <c:v>4000</c:v>
                </c:pt>
                <c:pt idx="97">
                  <c:v>4000</c:v>
                </c:pt>
                <c:pt idx="98">
                  <c:v>4000</c:v>
                </c:pt>
                <c:pt idx="99">
                  <c:v>4000</c:v>
                </c:pt>
                <c:pt idx="100">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4500</c:v>
                </c:pt>
                <c:pt idx="165">
                  <c:v>4500</c:v>
                </c:pt>
                <c:pt idx="166">
                  <c:v>4500</c:v>
                </c:pt>
                <c:pt idx="167">
                  <c:v>4500</c:v>
                </c:pt>
              </c:numCache>
            </c:numRef>
          </c:val>
          <c:smooth val="0"/>
        </c:ser>
        <c:dLbls>
          <c:showLegendKey val="0"/>
          <c:showVal val="0"/>
          <c:showCatName val="0"/>
          <c:showSerName val="0"/>
          <c:showPercent val="0"/>
          <c:showBubbleSize val="0"/>
        </c:dLbls>
        <c:marker val="0"/>
        <c:smooth val="0"/>
        <c:axId val="413654681"/>
        <c:axId val="449507133"/>
      </c:lineChart>
      <c:dateAx>
        <c:axId val="413654681"/>
        <c:scaling>
          <c:orientation val="minMax"/>
          <c:max val="43462"/>
          <c:min val="43097"/>
        </c:scaling>
        <c:delete val="0"/>
        <c:axPos val="b"/>
        <c:title>
          <c:tx>
            <c:rich>
              <a:bodyPr rot="0" spcFirstLastPara="0" vertOverflow="ellipsis" vert="horz" wrap="square" anchor="ctr" anchorCtr="1"/>
              <a:lstStyle/>
              <a:p>
                <a:pPr defTabSz="914400">
                  <a:defRPr lang="zh-CN" sz="11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r>
                  <a:rPr sz="1000" b="0" i="0" u="none" strike="noStrike" baseline="0">
                    <a:solidFill>
                      <a:srgbClr val="000000"/>
                    </a:solidFill>
                    <a:latin typeface="宋体" panose="02010600030101010101" charset="-122"/>
                    <a:ea typeface="宋体" panose="02010600030101010101" charset="-122"/>
                    <a:cs typeface="宋体" panose="02010600030101010101" charset="-122"/>
                  </a:rPr>
                  <a:t>元/吨</a:t>
                </a:r>
                <a:endParaRPr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manualLayout>
              <c:xMode val="edge"/>
              <c:yMode val="edge"/>
              <c:x val="0.0314024540035944"/>
              <c:y val="0.0750266871003541"/>
            </c:manualLayout>
          </c:layout>
          <c:overlay val="0"/>
        </c:title>
        <c:numFmt formatCode="yyyy/m/d;@" sourceLinked="0"/>
        <c:majorTickMark val="in"/>
        <c:minorTickMark val="none"/>
        <c:tickLblPos val="nextTo"/>
        <c:spPr>
          <a:ln w="3175" cap="flat" cmpd="sng" algn="ctr">
            <a:solidFill>
              <a:srgbClr val="000000">
                <a:alpha val="100000"/>
              </a:srgbClr>
            </a:solidFill>
            <a:prstDash val="solid"/>
            <a:round/>
          </a:ln>
        </c:spPr>
        <c:txPr>
          <a:bodyPr rot="-54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49507133"/>
        <c:crossesAt val="2000"/>
        <c:auto val="1"/>
        <c:lblOffset val="100"/>
        <c:baseTimeUnit val="days"/>
        <c:majorUnit val="1"/>
        <c:majorTimeUnit val="months"/>
        <c:minorUnit val="1"/>
        <c:minorTimeUnit val="months"/>
      </c:dateAx>
      <c:valAx>
        <c:axId val="449507133"/>
        <c:scaling>
          <c:orientation val="minMax"/>
          <c:max val="8500"/>
          <c:min val="2000"/>
        </c:scaling>
        <c:delete val="0"/>
        <c:axPos val="l"/>
        <c:majorGridlines>
          <c:spPr>
            <a:ln w="3175" cap="flat" cmpd="sng" algn="ctr">
              <a:solidFill>
                <a:srgbClr val="000000">
                  <a:alpha val="100000"/>
                </a:srgbClr>
              </a:solidFill>
              <a:prstDash val="solid"/>
              <a:round/>
            </a:ln>
          </c:spPr>
        </c:majorGridlines>
        <c:numFmt formatCode="@" sourceLinked="1"/>
        <c:majorTickMark val="in"/>
        <c:minorTickMark val="none"/>
        <c:tickLblPos val="nextTo"/>
        <c:spPr>
          <a:ln w="3175" cap="flat" cmpd="sng" algn="ctr">
            <a:solidFill>
              <a:srgbClr val="000000">
                <a:alpha val="100000"/>
              </a:srgbClr>
            </a:solidFill>
            <a:prstDash val="solid"/>
            <a:round/>
          </a:ln>
        </c:spPr>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413654681"/>
        <c:crossesAt val="42241"/>
        <c:crossBetween val="between"/>
        <c:majorUnit val="500"/>
        <c:minorUnit val="100"/>
      </c:valAx>
      <c:spPr>
        <a:solidFill>
          <a:srgbClr val="FFFFFF">
            <a:alpha val="100000"/>
          </a:srgbClr>
        </a:solidFill>
        <a:ln w="3175">
          <a:noFill/>
        </a:ln>
      </c:spPr>
    </c:plotArea>
    <c:legend>
      <c:legendPos val="r"/>
      <c:layout>
        <c:manualLayout>
          <c:xMode val="edge"/>
          <c:yMode val="edge"/>
          <c:x val="0.0719999655215512"/>
          <c:y val="0.867679191107823"/>
          <c:w val="0.86475"/>
          <c:h val="0.087"/>
        </c:manualLayout>
      </c:layout>
      <c:overlay val="0"/>
      <c:spPr>
        <a:solidFill>
          <a:srgbClr val="FFFFFF">
            <a:alpha val="100000"/>
          </a:srgbClr>
        </a:solidFill>
        <a:ln w="3175">
          <a:noFill/>
        </a:ln>
      </c:spPr>
      <c:txPr>
        <a:bodyPr rot="0" spcFirstLastPara="0" vertOverflow="ellipsis" vert="horz" wrap="square" anchor="ctr" anchorCtr="1"/>
        <a:lstStyle/>
        <a:p>
          <a:pPr>
            <a:defRPr lang="zh-CN" sz="71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solidFill>
      <a:srgbClr val="FFFFFF">
        <a:alpha val="100000"/>
      </a:srgbClr>
    </a:solidFill>
    <a:ln w="3175" cap="flat" cmpd="sng" algn="ctr">
      <a:noFill/>
      <a:prstDash val="solid"/>
      <a:round/>
    </a:ln>
  </c:spPr>
  <c:txPr>
    <a:bodyPr rot="0" wrap="square" anchor="ctr" anchorCtr="1"/>
    <a:lstStyle/>
    <a:p>
      <a:pPr>
        <a:defRPr lang="zh-CN" sz="10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CD62B-B3FF-4E5E-A47E-08BA072DDC9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42</Pages>
  <Words>2708</Words>
  <Characters>15442</Characters>
  <Lines>128</Lines>
  <Paragraphs>36</Paragraphs>
  <TotalTime>89</TotalTime>
  <ScaleCrop>false</ScaleCrop>
  <LinksUpToDate>false</LinksUpToDate>
  <CharactersWithSpaces>18114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2018-08-31T06:57:00Z</dcterms:created>
  <dc:creator>AutoBVT</dc:creator>
  <cp:lastModifiedBy>梦蝶</cp:lastModifiedBy>
  <dcterms:modified xsi:type="dcterms:W3CDTF">2018-12-28T08:59:29Z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