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-1168400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1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1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1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1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4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1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numPr>
                      <w:numId w:val="0"/>
                    </w:numPr>
                    <w:ind w:leftChars="0"/>
                  </w:pPr>
                  <w:bookmarkStart w:id="281" w:name="_Toc485981320"/>
                  <w:bookmarkStart w:id="282" w:name="_Toc485828984"/>
                  <w:bookmarkStart w:id="283" w:name="_Toc1739293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281"/>
                  <w:bookmarkEnd w:id="282"/>
                  <w:bookmarkEnd w:id="283"/>
                  <w:r>
                    <w:rPr>
                      <w:rFonts w:hint="eastAsia"/>
                      <w:kern w:val="2"/>
                      <w:lang w:val="en-US" w:eastAsia="zh-CN"/>
                    </w:rPr>
                    <w:t>3.1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</w:p>
    <w:p>
      <w:pPr>
        <w:pStyle w:val="2"/>
        <w:spacing w:line="400" w:lineRule="exact"/>
        <w:rPr>
          <w:rFonts w:ascii="宋体" w:eastAsia="宋体"/>
          <w:sz w:val="24"/>
          <w:szCs w:val="24"/>
        </w:rPr>
      </w:pP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1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7"/>
                    <w:tabs>
                      <w:tab w:val="left" w:pos="42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"file:///C:\\Users\\Administrator\\Desktop\\我\\每日工作\\黄\\黄9周五周报\\中华商务网VIP服务周报：氯碱（20190222）%20-%20.docx" \l "_Toc1739293"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ascii="Wingdings" w:hAnsi="Wingdings"/>
                    </w:rPr>
                    <w:t>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4"/>
                    </w:rPr>
                    <w:t>2019.2.22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_Toc1739293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7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"_Toc1739294"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_Toc1739294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"_Toc1739295"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_Toc1739295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7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"_Toc1739296"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7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"_Toc1739297"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ascii="黑体" w:hAnsi="黑体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_Toc1739297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7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"_Toc1739298" </w:instrText>
                  </w:r>
                  <w:r>
                    <w:fldChar w:fldCharType="separate"/>
                  </w:r>
                  <w:r>
                    <w:rPr>
                      <w:rStyle w:val="14"/>
                      <w:rFonts w:hint="eastAsia" w:ascii="黑体" w:hAnsi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_Toc1739298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</w:pPr>
      <w:bookmarkStart w:id="1" w:name="_Toc519848557"/>
      <w:bookmarkStart w:id="2" w:name="_Toc531954272"/>
      <w:bookmarkStart w:id="3" w:name="_Toc532564063"/>
      <w:bookmarkStart w:id="4" w:name="_Toc530128349"/>
      <w:bookmarkStart w:id="5" w:name="_Toc522259764"/>
      <w:bookmarkStart w:id="6" w:name="_Toc525306463"/>
      <w:bookmarkStart w:id="7" w:name="_Toc522870745"/>
      <w:bookmarkStart w:id="8" w:name="_Toc522870769"/>
      <w:bookmarkStart w:id="9" w:name="_Toc532564037"/>
      <w:bookmarkStart w:id="10" w:name="_Toc520465076"/>
      <w:bookmarkStart w:id="11" w:name="_Toc513127190"/>
      <w:bookmarkStart w:id="12" w:name="_Toc528930993"/>
      <w:bookmarkStart w:id="13" w:name="_Toc511390005"/>
      <w:bookmarkStart w:id="14" w:name="_Toc536540307"/>
      <w:bookmarkStart w:id="15" w:name="_Toc517425038"/>
      <w:bookmarkStart w:id="16" w:name="_Toc516234897"/>
      <w:bookmarkStart w:id="17" w:name="_Toc522870751"/>
      <w:bookmarkStart w:id="18" w:name="_Toc522280054"/>
      <w:bookmarkStart w:id="19" w:name="_Toc534378400"/>
      <w:bookmarkStart w:id="20" w:name="_Toc530750139"/>
      <w:bookmarkStart w:id="21" w:name="_Toc533149330"/>
      <w:bookmarkStart w:id="22" w:name="_Toc527101790"/>
      <w:bookmarkStart w:id="23" w:name="_Toc515610373"/>
      <w:bookmarkStart w:id="24" w:name="_Toc516234891"/>
      <w:bookmarkStart w:id="25" w:name="_Toc485981321"/>
      <w:bookmarkStart w:id="26" w:name="_Toc524091681"/>
      <w:bookmarkStart w:id="27" w:name="_Toc525306474"/>
      <w:bookmarkStart w:id="28" w:name="_Toc528919986"/>
      <w:bookmarkStart w:id="29" w:name="_Toc524701464"/>
      <w:bookmarkStart w:id="30" w:name="_Toc529526325"/>
      <w:bookmarkStart w:id="31" w:name="_Toc536198167"/>
      <w:bookmarkStart w:id="32" w:name="_Toc518638259"/>
      <w:bookmarkStart w:id="33" w:name="_Toc527705000"/>
      <w:bookmarkStart w:id="34" w:name="_Toc392240276"/>
      <w:bookmarkStart w:id="35" w:name="_Toc521057601"/>
      <w:bookmarkStart w:id="36" w:name="_Toc518031999"/>
      <w:bookmarkStart w:id="37" w:name="_Toc535588708"/>
      <w:bookmarkStart w:id="38" w:name="_Toc536541137"/>
      <w:bookmarkStart w:id="39" w:name="_Toc534915165"/>
      <w:bookmarkStart w:id="40" w:name="_Toc528329956"/>
      <w:bookmarkStart w:id="41" w:name="_Toc532564260"/>
      <w:bookmarkStart w:id="42" w:name="_Toc521660547"/>
      <w:bookmarkStart w:id="43" w:name="_Toc525289546"/>
      <w:bookmarkStart w:id="44" w:name="_Toc525912526"/>
      <w:bookmarkStart w:id="45" w:name="_Toc522870760"/>
      <w:bookmarkStart w:id="46" w:name="_Toc516839084"/>
      <w:bookmarkStart w:id="47" w:name="_Toc536789785"/>
      <w:bookmarkStart w:id="48" w:name="_Toc1035930"/>
      <w:bookmarkStart w:id="49" w:name="_Toc1394100"/>
      <w:bookmarkStart w:id="50" w:name="_Toc1739294"/>
      <w:bookmarkStart w:id="51" w:name="_Toc1139285"/>
      <w:bookmarkStart w:id="52" w:name="_Toc300238840"/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pStyle w:val="3"/>
        <w:snapToGrid w:val="0"/>
        <w:spacing w:line="400" w:lineRule="exact"/>
        <w:ind w:right="-147" w:rightChars="-70"/>
        <w:rPr>
          <w:rStyle w:val="22"/>
          <w:rFonts w:ascii="黑体" w:hAnsi="黑体" w:eastAsia="黑体" w:cs="Times New Roman"/>
          <w:sz w:val="30"/>
          <w:szCs w:val="30"/>
        </w:rPr>
      </w:pPr>
      <w:bookmarkStart w:id="53" w:name="_Toc392240277"/>
      <w:bookmarkStart w:id="54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2"/>
          <w:rFonts w:ascii="黑体" w:hAnsi="黑体" w:eastAsia="黑体" w:cs="Times New Roman"/>
          <w:sz w:val="30"/>
          <w:szCs w:val="30"/>
        </w:rPr>
      </w:pPr>
      <w:bookmarkStart w:id="55" w:name="_Toc1394101"/>
      <w:bookmarkStart w:id="56" w:name="_Toc1739295"/>
      <w:bookmarkStart w:id="57" w:name="_Toc511390006"/>
      <w:bookmarkStart w:id="58" w:name="_Toc1035931"/>
      <w:bookmarkStart w:id="59" w:name="_Toc1139286"/>
      <w:bookmarkStart w:id="60" w:name="_Toc536541138"/>
      <w:bookmarkStart w:id="61" w:name="_Toc522259765"/>
      <w:bookmarkStart w:id="62" w:name="_Toc536198168"/>
      <w:bookmarkStart w:id="63" w:name="_Toc536540308"/>
      <w:bookmarkStart w:id="64" w:name="_Toc534915166"/>
      <w:bookmarkStart w:id="65" w:name="_Toc533149331"/>
      <w:bookmarkStart w:id="66" w:name="_Toc534378401"/>
      <w:bookmarkStart w:id="67" w:name="_Toc535588709"/>
      <w:bookmarkStart w:id="68" w:name="_Toc532564064"/>
      <w:bookmarkStart w:id="69" w:name="_Toc531954273"/>
      <w:bookmarkStart w:id="70" w:name="_Toc532564038"/>
      <w:bookmarkStart w:id="71" w:name="_Toc530128350"/>
      <w:bookmarkStart w:id="72" w:name="_Toc528930994"/>
      <w:bookmarkStart w:id="73" w:name="_Toc529526326"/>
      <w:bookmarkStart w:id="74" w:name="_Toc530750140"/>
      <w:bookmarkStart w:id="75" w:name="_Toc532564261"/>
      <w:bookmarkStart w:id="76" w:name="_Toc536789786"/>
      <w:bookmarkStart w:id="77" w:name="_Toc528329957"/>
      <w:bookmarkStart w:id="78" w:name="_Toc527101791"/>
      <w:bookmarkStart w:id="79" w:name="_Toc527705001"/>
      <w:bookmarkStart w:id="80" w:name="_Toc525306475"/>
      <w:bookmarkStart w:id="81" w:name="_Toc525289547"/>
      <w:bookmarkStart w:id="82" w:name="_Toc525306464"/>
      <w:bookmarkStart w:id="83" w:name="_Toc525912527"/>
      <w:bookmarkStart w:id="84" w:name="_Toc524091682"/>
      <w:bookmarkStart w:id="85" w:name="_Toc522870761"/>
      <w:bookmarkStart w:id="86" w:name="_Toc522870770"/>
      <w:bookmarkStart w:id="87" w:name="_Toc522870746"/>
      <w:bookmarkStart w:id="88" w:name="_Toc522280055"/>
      <w:bookmarkStart w:id="89" w:name="_Toc522870752"/>
      <w:bookmarkStart w:id="90" w:name="_Toc524701465"/>
      <w:bookmarkStart w:id="91" w:name="_Toc521057602"/>
      <w:bookmarkStart w:id="92" w:name="_Toc519848558"/>
      <w:bookmarkStart w:id="93" w:name="_Toc520465077"/>
      <w:bookmarkStart w:id="94" w:name="_Toc518032000"/>
      <w:bookmarkStart w:id="95" w:name="_Toc516839085"/>
      <w:bookmarkStart w:id="96" w:name="_Toc517425039"/>
      <w:bookmarkStart w:id="97" w:name="_Toc518638260"/>
      <w:bookmarkStart w:id="98" w:name="_Toc516234892"/>
      <w:bookmarkStart w:id="99" w:name="_Toc513127191"/>
      <w:bookmarkStart w:id="100" w:name="_Toc515610374"/>
      <w:bookmarkStart w:id="101" w:name="_Toc516234898"/>
      <w:bookmarkStart w:id="102" w:name="_Toc528919987"/>
      <w:bookmarkStart w:id="103" w:name="_Toc521660548"/>
      <w:r>
        <w:rPr>
          <w:rStyle w:val="22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>
      <w:pPr>
        <w:pStyle w:val="24"/>
        <w:widowControl/>
        <w:spacing w:line="400" w:lineRule="exact"/>
        <w:ind w:firstLine="600"/>
        <w:jc w:val="left"/>
        <w:rPr>
          <w:rFonts w:ascii="黑体" w:hAnsi="黑体" w:eastAsia="黑体" w:cs="Times New Roman"/>
          <w:kern w:val="0"/>
          <w:sz w:val="30"/>
          <w:szCs w:val="30"/>
        </w:rPr>
      </w:pPr>
    </w:p>
    <w:p>
      <w:pPr>
        <w:pStyle w:val="24"/>
        <w:widowControl/>
        <w:spacing w:line="400" w:lineRule="exact"/>
        <w:ind w:firstLine="600"/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04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全国纯碱供应局面呈现东高中低，西部货源多的局面，而下游除玻璃行业对纯碱刚需持稳外，其他下游日用玻璃、无机化工、精细化工、煤化工、印染等多个行业对纯碱需求复苏欠佳，也即是轻质纯碱需求量不佳，重质纯碱需求量稳定，因此轻质纯碱市场价格持续走跌，重质纯碱成交量匮乏，走势趋稳。据悉华东、华中联碱企业轻碱出售价格灵活，因缺乏直供用户，厂家方面销售半径多有扩张，市场交叉范围广，大中小型用户成交价格高低差异显著；西北区域内厂家稳步生产，而其用户由于谨慎采购，本周厂家库存仍呈上涨走势，价格也趋稳运行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供应端：</w:t>
      </w:r>
    </w:p>
    <w:p>
      <w:pPr>
        <w:widowControl/>
        <w:ind w:firstLine="560" w:firstLineChars="200"/>
        <w:jc w:val="left"/>
        <w:rPr>
          <w:rFonts w:ascii="Arial" w:hAnsi="Arial" w:eastAsia="宋体" w:cs="Arial"/>
          <w:b w:val="0"/>
          <w:i w:val="0"/>
          <w:caps w:val="0"/>
          <w:color w:val="191919"/>
          <w:spacing w:val="0"/>
          <w:sz w:val="21"/>
          <w:szCs w:val="21"/>
          <w:shd w:val="clear" w:fill="FFFFFF"/>
        </w:rPr>
      </w:pPr>
      <w:r>
        <w:rPr>
          <w:rFonts w:ascii="仿宋" w:hAnsi="仿宋" w:eastAsia="仿宋" w:cs="仿宋"/>
          <w:sz w:val="28"/>
          <w:szCs w:val="28"/>
        </w:rPr>
        <w:t>轻碱主流含税出厂价格：辽宁地区现阶段本地贸易出货价格在1950-2000元/吨左右，终端到货2000-2050/吨左右；河北地区出厂1850-1900元/吨；山东地区出厂1850-1900元/吨；江苏地区主流出厂1700-1800元/吨；杭州地区出厂1850-1860元/吨；福建地区出厂1780-1820元/吨左右；广东地区出厂1950-2050元/吨；华中地区1680-1800元/吨；青海地区出厂1500-1550元/吨；川渝区域出厂1850-1900元/吨；云贵地区出厂1900-1950元/吨；江西区域出厂1930-2000元/吨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重碱主流含税送到价格：目前华北地区重碱主流送到1900-2050元/吨左右，沙河区域主流送达1900-2000元/吨；青海区域主流出厂价1550-1600元/吨；西南区域送到2000-2100元/吨；东北区域重碱主流送到2000-2100元/吨；广东重碱送到价格2200-2300元/吨；华东片区主流送到1900-2000元/吨。 </w:t>
      </w:r>
    </w:p>
    <w:p>
      <w:pPr>
        <w:widowControl/>
        <w:jc w:val="left"/>
        <w:rPr>
          <w:rFonts w:ascii="黑体" w:hAnsi="黑体" w:eastAsia="黑体" w:cs="黑体"/>
          <w:sz w:val="30"/>
          <w:szCs w:val="30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月上游纯碱各厂家货源充足，价格势必处于降价氛围内。由于纯碱企业已持续降价两月，价格直逼成本价，分工艺看，联碱企业成交价格普遍偏低，其副产氯化铵也处于降价氛围，因此其3月价格下降幅度空间有限；分区域来看，中部区域价格触底止跌可能性强，东部价格也将随行就市，届时西北货源将发挥优势，走量将加速运行。综合以上，百川预测纯碱价格将持续走跌，如果下游采购随着触底加量，货源压力有望灵活缓解。 </w:t>
      </w:r>
    </w:p>
    <w:p>
      <w:pPr>
        <w:widowControl/>
        <w:numPr>
          <w:ilvl w:val="0"/>
          <w:numId w:val="0"/>
        </w:numPr>
        <w:ind w:firstLine="60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Style w:val="22"/>
          <w:rFonts w:hint="eastAsia"/>
          <w:b/>
          <w:bCs/>
          <w:sz w:val="30"/>
          <w:szCs w:val="30"/>
        </w:rPr>
        <w:t>本周国内纯碱市场价格</w:t>
      </w:r>
      <w:bookmarkEnd w:id="104"/>
    </w:p>
    <w:tbl>
      <w:tblPr>
        <w:tblStyle w:val="11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01"/>
        <w:gridCol w:w="1301"/>
        <w:gridCol w:w="1301"/>
        <w:gridCol w:w="1301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sz w:val="20"/>
                <w:szCs w:val="20"/>
              </w:rPr>
              <w:t>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75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05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85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680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1580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75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600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19</w:t>
            </w: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pStyle w:val="2"/>
        <w:spacing w:line="400" w:lineRule="exact"/>
        <w:jc w:val="center"/>
        <w:rPr>
          <w:b w:val="0"/>
          <w:bCs w:val="0"/>
          <w:color w:val="666699"/>
        </w:rPr>
      </w:pPr>
      <w:bookmarkStart w:id="105" w:name="_Toc392240279"/>
      <w:bookmarkStart w:id="106" w:name="_Toc485981323"/>
      <w:bookmarkStart w:id="107" w:name="_Toc511390007"/>
      <w:bookmarkStart w:id="108" w:name="_Toc513127192"/>
      <w:bookmarkStart w:id="109" w:name="_Toc515610375"/>
      <w:bookmarkStart w:id="110" w:name="_Toc516234893"/>
      <w:bookmarkStart w:id="111" w:name="_Toc516234899"/>
      <w:bookmarkStart w:id="112" w:name="_Toc516839086"/>
      <w:bookmarkStart w:id="113" w:name="_Toc517425040"/>
      <w:bookmarkStart w:id="114" w:name="_Toc518032001"/>
      <w:bookmarkStart w:id="115" w:name="_Toc518638261"/>
      <w:bookmarkStart w:id="116" w:name="_Toc519848559"/>
      <w:bookmarkStart w:id="117" w:name="_Toc520465078"/>
      <w:bookmarkStart w:id="118" w:name="_Toc521057603"/>
      <w:bookmarkStart w:id="119" w:name="_Toc521660549"/>
      <w:bookmarkStart w:id="120" w:name="_Toc522259766"/>
      <w:bookmarkStart w:id="121" w:name="_Toc522280056"/>
      <w:bookmarkStart w:id="122" w:name="_Toc522870747"/>
      <w:bookmarkStart w:id="123" w:name="_Toc522870753"/>
      <w:bookmarkStart w:id="124" w:name="_Toc522870762"/>
      <w:bookmarkStart w:id="125" w:name="_Toc522870771"/>
      <w:bookmarkStart w:id="126" w:name="_Toc524091683"/>
      <w:bookmarkStart w:id="127" w:name="_Toc524701466"/>
      <w:bookmarkStart w:id="128" w:name="_Toc525289548"/>
      <w:bookmarkStart w:id="129" w:name="_Toc525306465"/>
      <w:bookmarkStart w:id="130" w:name="_Toc525306476"/>
      <w:bookmarkStart w:id="131" w:name="_Toc525912528"/>
      <w:bookmarkStart w:id="132" w:name="_Toc527101792"/>
      <w:bookmarkStart w:id="133" w:name="_Toc527705002"/>
      <w:bookmarkStart w:id="134" w:name="_Toc528329958"/>
      <w:bookmarkStart w:id="135" w:name="_Toc528919988"/>
      <w:bookmarkStart w:id="136" w:name="_Toc528930995"/>
      <w:bookmarkStart w:id="137" w:name="_Toc529526327"/>
      <w:bookmarkStart w:id="138" w:name="_Toc530128351"/>
      <w:bookmarkStart w:id="139" w:name="_Toc530750141"/>
      <w:bookmarkStart w:id="140" w:name="_Toc531954274"/>
      <w:bookmarkStart w:id="141" w:name="_Toc532564039"/>
      <w:bookmarkStart w:id="142" w:name="_Toc532564065"/>
      <w:bookmarkStart w:id="143" w:name="_Toc532564262"/>
      <w:bookmarkStart w:id="144" w:name="_Toc533149332"/>
      <w:bookmarkStart w:id="145" w:name="_Toc534378402"/>
      <w:bookmarkStart w:id="146" w:name="_Toc534915167"/>
      <w:bookmarkStart w:id="147" w:name="_Toc535588710"/>
      <w:bookmarkStart w:id="148" w:name="_Toc536198169"/>
      <w:bookmarkStart w:id="149" w:name="_Toc536540309"/>
      <w:bookmarkStart w:id="150" w:name="_Toc536541139"/>
      <w:bookmarkStart w:id="151" w:name="_Toc536789787"/>
      <w:bookmarkStart w:id="152" w:name="_Toc1035932"/>
      <w:bookmarkStart w:id="153" w:name="_Toc1139287"/>
      <w:bookmarkStart w:id="154" w:name="_Toc1394102"/>
      <w:bookmarkStart w:id="155" w:name="_Toc1739296"/>
      <w:r>
        <w:rPr>
          <w:rFonts w:hint="eastAsia" w:cs="黑体"/>
        </w:rPr>
        <w:t>烧碱</w:t>
      </w:r>
      <w:bookmarkEnd w:id="52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>
      <w:pPr>
        <w:spacing w:line="400" w:lineRule="exact"/>
        <w:ind w:firstLine="602" w:firstLineChars="200"/>
        <w:rPr>
          <w:rFonts w:ascii="黑体" w:hAnsi="黑体" w:eastAsia="黑体" w:cs="Times New Roman"/>
          <w:b/>
          <w:bCs/>
          <w:sz w:val="30"/>
          <w:szCs w:val="30"/>
        </w:rPr>
      </w:pPr>
      <w:bookmarkStart w:id="156" w:name="_Toc250731925"/>
      <w:bookmarkStart w:id="157" w:name="_Toc252539754"/>
      <w:bookmarkStart w:id="158" w:name="_Toc295403449"/>
      <w:bookmarkStart w:id="159" w:name="_Toc300238848"/>
    </w:p>
    <w:p>
      <w:pPr>
        <w:spacing w:line="40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</w:p>
    <w:bookmarkEnd w:id="156"/>
    <w:bookmarkEnd w:id="157"/>
    <w:bookmarkEnd w:id="158"/>
    <w:bookmarkEnd w:id="159"/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bookmarkStart w:id="160" w:name="_Toc300238850"/>
      <w:bookmarkStart w:id="161" w:name="_Toc392240280"/>
      <w:bookmarkStart w:id="162" w:name="_Toc295403451"/>
      <w:bookmarkStart w:id="163" w:name="_Toc264643747"/>
    </w:p>
    <w:p>
      <w:pPr>
        <w:pStyle w:val="10"/>
        <w:numPr>
          <w:ilvl w:val="0"/>
          <w:numId w:val="2"/>
        </w:numPr>
        <w:spacing w:before="0" w:beforeAutospacing="0" w:after="0" w:afterAutospacing="0" w:line="40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市场综述</w:t>
      </w:r>
    </w:p>
    <w:p>
      <w:pPr>
        <w:pStyle w:val="10"/>
        <w:spacing w:before="0" w:beforeAutospacing="0" w:after="0" w:afterAutospacing="0" w:line="400" w:lineRule="exact"/>
        <w:rPr>
          <w:rFonts w:ascii="仿宋" w:hAnsi="仿宋" w:eastAsia="仿宋" w:cs="仿宋"/>
          <w:kern w:val="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本周中国各区域液碱走势差异性依旧明显，华东及华南地区液碱成交重心不断上移，本周华东地区液碱价格上调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10-50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吨不等，区域内粘胶短纤开工上行，省内印染行业开工一般，印染行业受制于招工、接单的问题等等开工情况并不理想，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月月订单价格上调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吨左右；华南地区在华东调涨的带动下，个别地区低价零星上调，但区域内用碱下游仍处于恢复阶段，刚需暂未完全恢复；华南广西地区氧化铝用液碱价格下调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吨（折百），区域内氯碱装置开工不高，下游需求一般，预计其他行业用碱价格多随氧化铝用碱价格调整。</w:t>
      </w:r>
    </w:p>
    <w:p>
      <w:pPr>
        <w:widowControl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本周氧化铝行业受现货价格低位及个别厂家铝矿石不足的影响，开工负荷不高，影响液碱采购积极性，压价意识较强，本月氧化铝用液碱价格确定，山西及河南地区下调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150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吨（折百），区域内其他行业用碱价格多随之调整。本周山东西部地区部分氯碱装置检修，整体开工水平不高，出货尚可，液碱价格有上涨的趋势，东部地区积极出货为主，外围氧化铝用碱价格确定后，有助于烧碱市场的稳定。西北地区因近期片碱行情一般，片碱加工企业出货价格逼近成本线，对液碱采购积极性明显减弱，致西北地区液碱出货不畅。</w:t>
      </w:r>
    </w:p>
    <w:p>
      <w:pPr>
        <w:pStyle w:val="10"/>
        <w:spacing w:before="0" w:beforeAutospacing="0" w:after="0" w:afterAutospacing="0" w:line="400" w:lineRule="exact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0"/>
        <w:spacing w:before="0" w:beforeAutospacing="0" w:after="0" w:afterAutospacing="0" w:line="400" w:lineRule="exact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二、价格方面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32%离子膜液碱主流出厂价格：</w:t>
      </w:r>
      <w:r>
        <w:rPr>
          <w:rFonts w:hint="eastAsia" w:ascii="仿宋" w:hAnsi="仿宋" w:eastAsia="仿宋" w:cs="仿宋"/>
          <w:sz w:val="28"/>
          <w:szCs w:val="28"/>
        </w:rPr>
        <w:t>山东供给氧化铝行业现汇出厂价格执行</w:t>
      </w:r>
      <w:r>
        <w:rPr>
          <w:rFonts w:ascii="仿宋" w:hAnsi="仿宋" w:eastAsia="仿宋" w:cs="仿宋"/>
          <w:sz w:val="28"/>
          <w:szCs w:val="28"/>
          <w:lang w:val="en-US"/>
        </w:rPr>
        <w:t>810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吨，供其他客户主流出厂价格</w:t>
      </w:r>
      <w:r>
        <w:rPr>
          <w:rFonts w:hint="default" w:ascii="仿宋" w:hAnsi="仿宋" w:eastAsia="仿宋" w:cs="仿宋"/>
          <w:sz w:val="28"/>
          <w:szCs w:val="28"/>
          <w:lang w:val="en-US"/>
        </w:rPr>
        <w:t>820-880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吨；河北</w:t>
      </w:r>
      <w:r>
        <w:rPr>
          <w:rFonts w:hint="default" w:ascii="仿宋" w:hAnsi="仿宋" w:eastAsia="仿宋" w:cs="仿宋"/>
          <w:sz w:val="28"/>
          <w:szCs w:val="28"/>
          <w:lang w:val="en-US"/>
        </w:rPr>
        <w:t>840-950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吨；天津</w:t>
      </w:r>
      <w:r>
        <w:rPr>
          <w:rFonts w:hint="default" w:ascii="仿宋" w:hAnsi="仿宋" w:eastAsia="仿宋" w:cs="仿宋"/>
          <w:sz w:val="28"/>
          <w:szCs w:val="28"/>
          <w:lang w:val="en-US"/>
        </w:rPr>
        <w:t>3000-3100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吨（折百）；浙江送到经萧绍销商</w:t>
      </w:r>
      <w:r>
        <w:rPr>
          <w:rFonts w:hint="default" w:ascii="仿宋" w:hAnsi="仿宋" w:eastAsia="仿宋" w:cs="仿宋"/>
          <w:sz w:val="28"/>
          <w:szCs w:val="28"/>
          <w:lang w:val="en-US"/>
        </w:rPr>
        <w:t>910-940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吨；江苏</w:t>
      </w:r>
      <w:r>
        <w:rPr>
          <w:rFonts w:hint="default" w:ascii="仿宋" w:hAnsi="仿宋" w:eastAsia="仿宋" w:cs="仿宋"/>
          <w:sz w:val="28"/>
          <w:szCs w:val="28"/>
          <w:lang w:val="en-US"/>
        </w:rPr>
        <w:t>900-950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吨；安徽</w:t>
      </w:r>
      <w:r>
        <w:rPr>
          <w:rFonts w:hint="default" w:ascii="仿宋" w:hAnsi="仿宋" w:eastAsia="仿宋" w:cs="仿宋"/>
          <w:sz w:val="28"/>
          <w:szCs w:val="28"/>
          <w:lang w:val="en-US"/>
        </w:rPr>
        <w:t>910-950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吨；江西地区</w:t>
      </w:r>
      <w:r>
        <w:rPr>
          <w:rFonts w:hint="default" w:ascii="仿宋" w:hAnsi="仿宋" w:eastAsia="仿宋" w:cs="仿宋"/>
          <w:sz w:val="28"/>
          <w:szCs w:val="28"/>
          <w:lang w:val="en-US"/>
        </w:rPr>
        <w:t>900-950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吨；福建省内送到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1020-1030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吨；广西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1080-1100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吨；湖北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1000-1050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吨；河南</w:t>
      </w:r>
      <w:r>
        <w:rPr>
          <w:rFonts w:hint="default" w:ascii="仿宋" w:hAnsi="仿宋" w:eastAsia="仿宋" w:cs="仿宋"/>
          <w:sz w:val="28"/>
          <w:szCs w:val="28"/>
          <w:lang w:val="en-US"/>
        </w:rPr>
        <w:t>3000-3100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吨（折百）；内蒙古</w:t>
      </w:r>
      <w:r>
        <w:rPr>
          <w:rFonts w:hint="default" w:ascii="仿宋" w:hAnsi="仿宋" w:eastAsia="仿宋" w:cs="仿宋"/>
          <w:sz w:val="28"/>
          <w:szCs w:val="28"/>
          <w:lang w:val="en-US"/>
        </w:rPr>
        <w:t>2850-2950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吨（折百）；陕西</w:t>
      </w:r>
      <w:r>
        <w:rPr>
          <w:rFonts w:hint="default" w:ascii="仿宋" w:hAnsi="仿宋" w:eastAsia="仿宋" w:cs="仿宋"/>
          <w:sz w:val="28"/>
          <w:szCs w:val="28"/>
          <w:lang w:val="en-US"/>
        </w:rPr>
        <w:t>3200-3300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吨（折百），辽宁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1030-1050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吨；四川</w:t>
      </w:r>
      <w:r>
        <w:rPr>
          <w:rFonts w:hint="default" w:ascii="仿宋" w:hAnsi="仿宋" w:eastAsia="仿宋" w:cs="仿宋"/>
          <w:sz w:val="28"/>
          <w:szCs w:val="28"/>
          <w:lang w:val="en-US"/>
        </w:rPr>
        <w:t>3700-3800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吨（折百）。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高浓碱主流出厂价格：</w:t>
      </w:r>
      <w:r>
        <w:rPr>
          <w:rFonts w:hint="eastAsia" w:ascii="仿宋" w:hAnsi="仿宋" w:eastAsia="仿宋" w:cs="仿宋"/>
          <w:sz w:val="28"/>
          <w:szCs w:val="28"/>
        </w:rPr>
        <w:t>山东</w:t>
      </w:r>
      <w:r>
        <w:rPr>
          <w:rFonts w:hint="eastAsia" w:ascii="仿宋" w:hAnsi="仿宋" w:eastAsia="仿宋" w:cs="仿宋"/>
          <w:sz w:val="28"/>
          <w:szCs w:val="28"/>
          <w:lang w:val="en-US"/>
        </w:rPr>
        <w:t>48%</w:t>
      </w:r>
      <w:r>
        <w:rPr>
          <w:rFonts w:hint="eastAsia" w:ascii="仿宋" w:hAnsi="仿宋" w:eastAsia="仿宋" w:cs="仿宋"/>
          <w:sz w:val="28"/>
          <w:szCs w:val="28"/>
        </w:rPr>
        <w:t>离子膜液碱出厂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1280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吨，</w:t>
      </w:r>
      <w:r>
        <w:rPr>
          <w:rFonts w:hint="default" w:ascii="仿宋" w:hAnsi="仿宋" w:eastAsia="仿宋" w:cs="仿宋"/>
          <w:sz w:val="28"/>
          <w:szCs w:val="28"/>
          <w:lang w:val="en-US"/>
        </w:rPr>
        <w:t>50%</w:t>
      </w:r>
      <w:r>
        <w:rPr>
          <w:rFonts w:hint="eastAsia" w:ascii="仿宋" w:hAnsi="仿宋" w:eastAsia="仿宋" w:cs="仿宋"/>
          <w:sz w:val="28"/>
          <w:szCs w:val="28"/>
        </w:rPr>
        <w:t>离子膜液碱出厂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1320-1400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吨。天津</w:t>
      </w:r>
      <w:r>
        <w:rPr>
          <w:rFonts w:hint="default" w:ascii="仿宋" w:hAnsi="仿宋" w:eastAsia="仿宋" w:cs="仿宋"/>
          <w:sz w:val="28"/>
          <w:szCs w:val="28"/>
          <w:lang w:val="en-US"/>
        </w:rPr>
        <w:t>49%</w:t>
      </w:r>
      <w:r>
        <w:rPr>
          <w:rFonts w:hint="eastAsia" w:ascii="仿宋" w:hAnsi="仿宋" w:eastAsia="仿宋" w:cs="仿宋"/>
          <w:sz w:val="28"/>
          <w:szCs w:val="28"/>
        </w:rPr>
        <w:t>离子膜碱出厂价格</w:t>
      </w:r>
      <w:r>
        <w:rPr>
          <w:rFonts w:hint="default" w:ascii="仿宋" w:hAnsi="仿宋" w:eastAsia="仿宋" w:cs="仿宋"/>
          <w:sz w:val="28"/>
          <w:szCs w:val="28"/>
          <w:lang w:val="en-US"/>
        </w:rPr>
        <w:t>3100-3200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吨（折百），福建</w:t>
      </w:r>
      <w:r>
        <w:rPr>
          <w:rFonts w:hint="default" w:ascii="仿宋" w:hAnsi="仿宋" w:eastAsia="仿宋" w:cs="仿宋"/>
          <w:sz w:val="28"/>
          <w:szCs w:val="28"/>
          <w:lang w:val="en-US"/>
        </w:rPr>
        <w:t>50%</w:t>
      </w:r>
      <w:r>
        <w:rPr>
          <w:rFonts w:hint="eastAsia" w:ascii="仿宋" w:hAnsi="仿宋" w:eastAsia="仿宋" w:cs="仿宋"/>
          <w:sz w:val="28"/>
          <w:szCs w:val="28"/>
        </w:rPr>
        <w:t>离子膜液碱省内送到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1850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吨；广西</w:t>
      </w:r>
      <w:r>
        <w:rPr>
          <w:rFonts w:hint="default" w:ascii="仿宋" w:hAnsi="仿宋" w:eastAsia="仿宋" w:cs="仿宋"/>
          <w:sz w:val="28"/>
          <w:szCs w:val="28"/>
          <w:lang w:val="en-US"/>
        </w:rPr>
        <w:t>50%</w:t>
      </w:r>
      <w:r>
        <w:rPr>
          <w:rFonts w:hint="eastAsia" w:ascii="仿宋" w:hAnsi="仿宋" w:eastAsia="仿宋" w:cs="仿宋"/>
          <w:sz w:val="28"/>
          <w:szCs w:val="28"/>
        </w:rPr>
        <w:t>离子膜液碱出厂价格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1650-1700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吨；内蒙古</w:t>
      </w:r>
      <w:r>
        <w:rPr>
          <w:rFonts w:hint="default" w:ascii="仿宋" w:hAnsi="仿宋" w:eastAsia="仿宋" w:cs="仿宋"/>
          <w:sz w:val="28"/>
          <w:szCs w:val="28"/>
          <w:lang w:val="en-US"/>
        </w:rPr>
        <w:t>48-50%</w:t>
      </w:r>
      <w:r>
        <w:rPr>
          <w:rFonts w:hint="eastAsia" w:ascii="仿宋" w:hAnsi="仿宋" w:eastAsia="仿宋" w:cs="仿宋"/>
          <w:sz w:val="28"/>
          <w:szCs w:val="28"/>
        </w:rPr>
        <w:t>离子膜液碱出厂价格</w:t>
      </w:r>
      <w:r>
        <w:rPr>
          <w:rFonts w:hint="default" w:ascii="仿宋" w:hAnsi="仿宋" w:eastAsia="仿宋" w:cs="仿宋"/>
          <w:sz w:val="28"/>
          <w:szCs w:val="28"/>
          <w:lang w:val="en-US"/>
        </w:rPr>
        <w:t>2950-3050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吨（折百）；陕西地区</w:t>
      </w:r>
      <w:r>
        <w:rPr>
          <w:rFonts w:hint="default" w:ascii="仿宋" w:hAnsi="仿宋" w:eastAsia="仿宋" w:cs="仿宋"/>
          <w:sz w:val="28"/>
          <w:szCs w:val="28"/>
          <w:lang w:val="en-US"/>
        </w:rPr>
        <w:t>50%</w:t>
      </w:r>
      <w:r>
        <w:rPr>
          <w:rFonts w:hint="eastAsia" w:ascii="仿宋" w:hAnsi="仿宋" w:eastAsia="仿宋" w:cs="仿宋"/>
          <w:sz w:val="28"/>
          <w:szCs w:val="28"/>
        </w:rPr>
        <w:t>离子膜液碱出厂价格</w:t>
      </w:r>
      <w:r>
        <w:rPr>
          <w:rFonts w:hint="default" w:ascii="仿宋" w:hAnsi="仿宋" w:eastAsia="仿宋" w:cs="仿宋"/>
          <w:sz w:val="28"/>
          <w:szCs w:val="28"/>
          <w:lang w:val="en-US"/>
        </w:rPr>
        <w:t>3300-3400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吨（折百）均有；江苏地区</w:t>
      </w:r>
      <w:r>
        <w:rPr>
          <w:rFonts w:hint="default" w:ascii="仿宋" w:hAnsi="仿宋" w:eastAsia="仿宋" w:cs="仿宋"/>
          <w:sz w:val="28"/>
          <w:szCs w:val="28"/>
          <w:lang w:val="en-US"/>
        </w:rPr>
        <w:t>48%</w:t>
      </w:r>
      <w:r>
        <w:rPr>
          <w:rFonts w:hint="eastAsia" w:ascii="仿宋" w:hAnsi="仿宋" w:eastAsia="仿宋" w:cs="仿宋"/>
          <w:sz w:val="28"/>
          <w:szCs w:val="28"/>
        </w:rPr>
        <w:t>离子膜液碱出厂价格</w:t>
      </w:r>
      <w:r>
        <w:rPr>
          <w:rFonts w:hint="default" w:ascii="仿宋" w:hAnsi="仿宋" w:eastAsia="仿宋" w:cs="仿宋"/>
          <w:sz w:val="28"/>
          <w:szCs w:val="28"/>
          <w:lang w:val="en-US"/>
        </w:rPr>
        <w:t>1420-1500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吨。辽宁地区</w:t>
      </w:r>
      <w:r>
        <w:rPr>
          <w:rFonts w:hint="default" w:ascii="仿宋" w:hAnsi="仿宋" w:eastAsia="仿宋" w:cs="仿宋"/>
          <w:sz w:val="28"/>
          <w:szCs w:val="28"/>
          <w:lang w:val="en-US"/>
        </w:rPr>
        <w:t>45-50%</w:t>
      </w:r>
      <w:r>
        <w:rPr>
          <w:rFonts w:hint="eastAsia" w:ascii="仿宋" w:hAnsi="仿宋" w:eastAsia="仿宋" w:cs="仿宋"/>
          <w:sz w:val="28"/>
          <w:szCs w:val="28"/>
        </w:rPr>
        <w:t>离子膜液碱出厂报价在</w:t>
      </w:r>
    </w:p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-US"/>
        </w:rPr>
        <w:t>1500-1650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吨；四川地区</w:t>
      </w:r>
      <w:r>
        <w:rPr>
          <w:rFonts w:hint="default" w:ascii="仿宋" w:hAnsi="仿宋" w:eastAsia="仿宋" w:cs="仿宋"/>
          <w:sz w:val="28"/>
          <w:szCs w:val="28"/>
          <w:lang w:val="en-US"/>
        </w:rPr>
        <w:t>50%</w:t>
      </w:r>
      <w:r>
        <w:rPr>
          <w:rFonts w:hint="eastAsia" w:ascii="仿宋" w:hAnsi="仿宋" w:eastAsia="仿宋" w:cs="仿宋"/>
          <w:sz w:val="28"/>
          <w:szCs w:val="28"/>
        </w:rPr>
        <w:t>离子膜液碱主流出厂价格</w:t>
      </w:r>
      <w:r>
        <w:rPr>
          <w:rFonts w:hint="default" w:ascii="仿宋" w:hAnsi="仿宋" w:eastAsia="仿宋" w:cs="仿宋"/>
          <w:sz w:val="28"/>
          <w:szCs w:val="28"/>
          <w:lang w:val="en-US"/>
        </w:rPr>
        <w:t>3800-3900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吨（折百）。</w:t>
      </w:r>
    </w:p>
    <w:p>
      <w:pPr>
        <w:widowControl/>
        <w:ind w:firstLine="420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三、后市预测：</w:t>
      </w:r>
    </w:p>
    <w:p>
      <w:pPr>
        <w:widowControl/>
        <w:ind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来看，氧化铝用碱订价的确立也为市场掀开底牌，部分地区上游企业开始挺价。具体来看，华东地区烧碱需求稍有回暖，上游挺价意识较强，但经过近期持续拉涨后，下游接单意向未见明显提升，调涨后有待终端消化；华南地区烧碱以稳为主，部分前期低价零星上调，预计下周随着需求的恢复，市场成交重心稳步提升；华北地区烧碱库存压力尚存、终端主力用户氧化铝行情低谷观望，开工负荷受铝土矿紧张，对液碱需求始终未完全恢复，下游及中间商观望气氛浓厚，用碱储备意愿不强，价格弱势维稳为主；西南地区氧化铝新增产能的释放，对液碱市场带来利好消息。</w:t>
      </w:r>
    </w:p>
    <w:p>
      <w:pPr>
        <w:widowControl/>
        <w:ind w:firstLine="420"/>
        <w:jc w:val="left"/>
        <w:rPr>
          <w:rStyle w:val="22"/>
          <w:b/>
          <w:bCs/>
          <w:sz w:val="30"/>
          <w:szCs w:val="30"/>
        </w:rPr>
      </w:pPr>
    </w:p>
    <w:p>
      <w:pPr>
        <w:widowControl/>
        <w:ind w:firstLine="602" w:firstLineChars="200"/>
        <w:jc w:val="left"/>
        <w:rPr>
          <w:rStyle w:val="22"/>
          <w:rFonts w:cs="Times New Roman"/>
          <w:b/>
          <w:bCs/>
          <w:sz w:val="30"/>
          <w:szCs w:val="30"/>
        </w:rPr>
      </w:pPr>
      <w:r>
        <w:rPr>
          <w:rStyle w:val="22"/>
          <w:rFonts w:hint="eastAsia"/>
          <w:b/>
          <w:bCs/>
          <w:sz w:val="30"/>
          <w:szCs w:val="30"/>
        </w:rPr>
        <w:t>本周国内片碱实际成交周汇总</w:t>
      </w:r>
      <w:bookmarkEnd w:id="160"/>
      <w:bookmarkEnd w:id="161"/>
      <w:bookmarkEnd w:id="162"/>
      <w:bookmarkEnd w:id="163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1"/>
        <w:tblW w:w="87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820"/>
        <w:gridCol w:w="2028"/>
        <w:gridCol w:w="1536"/>
        <w:gridCol w:w="1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3"/>
        <w:snapToGrid w:val="0"/>
        <w:spacing w:line="400" w:lineRule="exact"/>
        <w:ind w:right="-149" w:rightChars="-71"/>
        <w:jc w:val="center"/>
        <w:rPr>
          <w:rFonts w:cs="Times New Roman" w:asciiTheme="majorEastAsia" w:hAnsiTheme="majorEastAsia" w:eastAsiaTheme="majorEastAsia"/>
          <w:sz w:val="20"/>
          <w:szCs w:val="20"/>
        </w:rPr>
      </w:pPr>
    </w:p>
    <w:p>
      <w:pPr>
        <w:pStyle w:val="2"/>
        <w:snapToGrid w:val="0"/>
        <w:spacing w:line="400" w:lineRule="exact"/>
        <w:ind w:right="-149" w:rightChars="-71"/>
        <w:jc w:val="center"/>
        <w:rPr>
          <w:rFonts w:ascii="黑体"/>
          <w:sz w:val="30"/>
          <w:szCs w:val="30"/>
        </w:rPr>
      </w:pPr>
      <w:bookmarkStart w:id="164" w:name="_Toc527101793"/>
      <w:bookmarkStart w:id="165" w:name="_Toc527705003"/>
      <w:bookmarkStart w:id="166" w:name="_Toc525912529"/>
      <w:bookmarkStart w:id="167" w:name="_Toc525306477"/>
      <w:bookmarkStart w:id="168" w:name="_Toc525306466"/>
      <w:bookmarkStart w:id="169" w:name="_Toc525289549"/>
      <w:bookmarkStart w:id="170" w:name="_Toc524701467"/>
      <w:bookmarkStart w:id="171" w:name="_Toc524091684"/>
      <w:bookmarkStart w:id="172" w:name="_Toc522870763"/>
      <w:bookmarkStart w:id="173" w:name="_Toc522870772"/>
      <w:bookmarkStart w:id="174" w:name="_Toc522870754"/>
      <w:bookmarkStart w:id="175" w:name="_Toc522870748"/>
      <w:bookmarkStart w:id="176" w:name="_Toc522280057"/>
      <w:bookmarkStart w:id="177" w:name="_Toc522259767"/>
      <w:bookmarkStart w:id="178" w:name="_Toc521660550"/>
      <w:bookmarkStart w:id="179" w:name="_Toc521057604"/>
      <w:bookmarkStart w:id="180" w:name="_Toc520465079"/>
      <w:bookmarkStart w:id="181" w:name="_Toc518638262"/>
      <w:bookmarkStart w:id="182" w:name="_Toc519848560"/>
      <w:bookmarkStart w:id="183" w:name="_Toc518032002"/>
      <w:bookmarkStart w:id="184" w:name="_Toc517425041"/>
      <w:bookmarkStart w:id="185" w:name="_Toc516839087"/>
      <w:bookmarkStart w:id="186" w:name="_Toc516234900"/>
      <w:bookmarkStart w:id="187" w:name="_Toc516234894"/>
      <w:bookmarkStart w:id="188" w:name="_Toc515610376"/>
      <w:bookmarkStart w:id="189" w:name="_Toc513127193"/>
      <w:bookmarkStart w:id="190" w:name="_Toc252539758"/>
      <w:bookmarkStart w:id="191" w:name="_Toc511390008"/>
      <w:bookmarkStart w:id="192" w:name="_Toc233795930"/>
      <w:bookmarkStart w:id="193" w:name="_Toc295403452"/>
      <w:bookmarkStart w:id="194" w:name="_Toc392240282"/>
      <w:bookmarkStart w:id="195" w:name="_Toc300238851"/>
      <w:bookmarkStart w:id="196" w:name="_Toc250731929"/>
      <w:bookmarkStart w:id="197" w:name="_Toc485981325"/>
      <w:bookmarkStart w:id="198" w:name="_Toc528329959"/>
      <w:bookmarkStart w:id="199" w:name="_Toc528919989"/>
      <w:bookmarkStart w:id="200" w:name="_Toc528930996"/>
      <w:bookmarkStart w:id="201" w:name="_Toc529526328"/>
      <w:bookmarkStart w:id="202" w:name="_Toc530128352"/>
      <w:bookmarkStart w:id="203" w:name="_Toc530750142"/>
      <w:bookmarkStart w:id="204" w:name="_Toc531954275"/>
      <w:bookmarkStart w:id="205" w:name="_Toc532564040"/>
      <w:bookmarkStart w:id="206" w:name="_Toc532564066"/>
      <w:bookmarkStart w:id="207" w:name="_Toc532564263"/>
      <w:bookmarkStart w:id="208" w:name="_Toc533149333"/>
      <w:bookmarkStart w:id="209" w:name="_Toc534378403"/>
      <w:bookmarkStart w:id="210" w:name="_Toc534915168"/>
      <w:bookmarkStart w:id="211" w:name="_Toc535588711"/>
      <w:bookmarkStart w:id="212" w:name="_Toc536198170"/>
      <w:bookmarkStart w:id="213" w:name="_Toc536540310"/>
      <w:bookmarkStart w:id="214" w:name="_Toc536541140"/>
      <w:bookmarkStart w:id="215" w:name="_Toc536789788"/>
      <w:bookmarkStart w:id="216" w:name="_Toc1035933"/>
      <w:bookmarkStart w:id="217" w:name="_Toc1139288"/>
      <w:bookmarkStart w:id="218" w:name="_Toc1394103"/>
      <w:bookmarkStart w:id="219" w:name="_Toc1739297"/>
      <w:r>
        <w:rPr>
          <w:rFonts w:hint="eastAsia" w:ascii="黑体" w:hAnsi="黑体" w:cs="黑体"/>
          <w:sz w:val="30"/>
          <w:szCs w:val="30"/>
        </w:rPr>
        <w:t>液氯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Start w:id="220" w:name="_Toc233795931"/>
      <w:bookmarkEnd w:id="220"/>
      <w:bookmarkStart w:id="221" w:name="_Toc252539759"/>
      <w:bookmarkStart w:id="222" w:name="_Toc185611021"/>
      <w:bookmarkStart w:id="223" w:name="_Toc250731930"/>
      <w:bookmarkStart w:id="224" w:name="_Toc485981326"/>
      <w:bookmarkStart w:id="225" w:name="_Toc392240283"/>
      <w:bookmarkStart w:id="226" w:name="_Toc295403453"/>
      <w:bookmarkStart w:id="227" w:name="_Toc300238852"/>
    </w:p>
    <w:p>
      <w:pPr>
        <w:pStyle w:val="2"/>
        <w:snapToGrid w:val="0"/>
        <w:spacing w:line="400" w:lineRule="exact"/>
        <w:ind w:right="-149" w:rightChars="-71"/>
        <w:jc w:val="center"/>
        <w:rPr>
          <w:rFonts w:ascii="黑体"/>
          <w:sz w:val="30"/>
          <w:szCs w:val="30"/>
        </w:rPr>
      </w:pPr>
      <w:bookmarkStart w:id="228" w:name="_Toc511390009"/>
      <w:bookmarkStart w:id="229" w:name="_Toc513127194"/>
      <w:bookmarkStart w:id="230" w:name="_Toc515610377"/>
      <w:bookmarkStart w:id="231" w:name="_Toc516234895"/>
      <w:bookmarkStart w:id="232" w:name="_Toc516234901"/>
      <w:bookmarkStart w:id="233" w:name="_Toc516839088"/>
      <w:bookmarkStart w:id="234" w:name="_Toc517425042"/>
      <w:bookmarkStart w:id="235" w:name="_Toc518032003"/>
      <w:bookmarkStart w:id="236" w:name="_Toc518638263"/>
      <w:bookmarkStart w:id="237" w:name="_Toc519848561"/>
      <w:bookmarkStart w:id="238" w:name="_Toc520465080"/>
      <w:bookmarkStart w:id="239" w:name="_Toc521057605"/>
      <w:bookmarkStart w:id="240" w:name="_Toc521660551"/>
      <w:bookmarkStart w:id="241" w:name="_Toc522259768"/>
      <w:bookmarkStart w:id="242" w:name="_Toc522280058"/>
      <w:bookmarkStart w:id="243" w:name="_Toc522870749"/>
      <w:bookmarkStart w:id="244" w:name="_Toc522870755"/>
      <w:bookmarkStart w:id="245" w:name="_Toc522870764"/>
      <w:bookmarkStart w:id="246" w:name="_Toc522870773"/>
      <w:bookmarkStart w:id="247" w:name="_Toc524091685"/>
      <w:bookmarkStart w:id="248" w:name="_Toc524701468"/>
      <w:bookmarkStart w:id="249" w:name="_Toc525289550"/>
      <w:bookmarkStart w:id="250" w:name="_Toc525306467"/>
      <w:bookmarkStart w:id="251" w:name="_Toc525306478"/>
      <w:bookmarkStart w:id="252" w:name="_Toc525912530"/>
      <w:bookmarkStart w:id="253" w:name="_Toc527101794"/>
      <w:bookmarkStart w:id="254" w:name="_Toc527705004"/>
      <w:bookmarkStart w:id="255" w:name="_Toc528329960"/>
      <w:bookmarkStart w:id="256" w:name="_Toc528919990"/>
      <w:bookmarkStart w:id="257" w:name="_Toc528930997"/>
      <w:bookmarkStart w:id="258" w:name="_Toc529526329"/>
      <w:bookmarkStart w:id="259" w:name="_Toc530128353"/>
      <w:bookmarkStart w:id="260" w:name="_Toc530750143"/>
      <w:bookmarkStart w:id="261" w:name="_Toc531954276"/>
      <w:bookmarkStart w:id="262" w:name="_Toc532564041"/>
      <w:bookmarkStart w:id="263" w:name="_Toc532564067"/>
      <w:bookmarkStart w:id="264" w:name="_Toc532564264"/>
      <w:bookmarkStart w:id="265" w:name="_Toc533149334"/>
      <w:bookmarkStart w:id="266" w:name="_Toc534378404"/>
      <w:bookmarkStart w:id="267" w:name="_Toc534915169"/>
      <w:bookmarkStart w:id="268" w:name="_Toc535588712"/>
      <w:bookmarkStart w:id="269" w:name="_Toc536198171"/>
      <w:bookmarkStart w:id="270" w:name="_Toc536540311"/>
      <w:bookmarkStart w:id="271" w:name="_Toc536541141"/>
      <w:bookmarkStart w:id="272" w:name="_Toc536789789"/>
      <w:bookmarkStart w:id="273" w:name="_Toc1035934"/>
      <w:bookmarkStart w:id="274" w:name="_Toc1139289"/>
      <w:bookmarkStart w:id="275" w:name="_Toc1394104"/>
      <w:bookmarkStart w:id="276" w:name="_Toc1739298"/>
      <w:r>
        <w:rPr>
          <w:rFonts w:hint="eastAsia" w:ascii="黑体" w:hAnsi="黑体" w:cs="黑体"/>
          <w:sz w:val="30"/>
          <w:szCs w:val="30"/>
        </w:rPr>
        <w:t>评述：本周国内液氯市场评述及行情预测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Start w:id="277" w:name="_Toc250731931"/>
      <w:bookmarkStart w:id="278" w:name="_Toc252539760"/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一、中国液氯市场行情综述</w:t>
      </w:r>
    </w:p>
    <w:p>
      <w:pPr>
        <w:widowControl/>
        <w:ind w:firstLine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周本周液氯市场剧烈调整，上下游博弈明显。北方地区受聊城检修30万吨氯碱利好影响，价格上涨至正价，但下游抵触心理较强，其他前期减产的氯碱企业均有提负荷的动作，市场供应实际减量有限，下游多家企业避涨收货减量，市场失衡，有所下降。华东地区本周持续推涨100-150元/吨，出货正常，江西、安徽地区陆续跟涨。湖北、湖南地区液氯供应紧张，价格上涨100-200元/吨不等。</w:t>
      </w:r>
      <w:r>
        <w:rPr>
          <w:rFonts w:hint="default" w:ascii="仿宋" w:hAnsi="仿宋" w:eastAsia="仿宋" w:cs="仿宋"/>
          <w:sz w:val="28"/>
          <w:szCs w:val="28"/>
        </w:rPr>
        <w:br w:type="textWrapping"/>
      </w:r>
      <w:r>
        <w:rPr>
          <w:rFonts w:hint="default" w:ascii="仿宋" w:hAnsi="仿宋" w:eastAsia="仿宋" w:cs="仿宋"/>
          <w:sz w:val="28"/>
          <w:szCs w:val="28"/>
        </w:rPr>
        <w:t>    河北、辽宁、山西地区液氯市场成交情况较为一般，受山东影响较大，区域内需求情况一般，西北地区仍处于坚挺出货阶段；西南地区液氯需求变化不大，成交水平稳定。</w:t>
      </w:r>
    </w:p>
    <w:p>
      <w:pPr>
        <w:widowControl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</w:p>
    <w:p>
      <w:pPr>
        <w:pStyle w:val="10"/>
        <w:spacing w:before="0" w:beforeAutospacing="0" w:after="0" w:afterAutospacing="0" w:line="400" w:lineRule="exact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  山东省内槽车（-100）-100元/吨，河北省内槽车执行（-100）-100元/吨；河南省槽车主流出货价格在（-400）-1元/吨，钢瓶槽车同价；辽宁地区液槽车参照10元/吨；山西地区槽车出货主流在（-500）元/吨；浙江地区槽车出货主流到家在300-400元/吨；江苏地区槽车出货300-400元/吨；安徽地区槽车执行250-350元/吨，内蒙古地区槽车出厂1元/吨；广西地区本地1-200元/吨；湖北本地200元/吨；江西地区本地槽车400-500元/吨左右，湖南当地300元/吨，四川地区200-600元/吨，当地高价成交有限。</w:t>
      </w: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三、山东市场分析</w:t>
      </w:r>
    </w:p>
    <w:p>
      <w:pPr>
        <w:widowControl/>
        <w:ind w:firstLine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279" w:name="OLE_LINK56"/>
      <w:r>
        <w:rPr>
          <w:rFonts w:hint="eastAsia" w:ascii="仿宋" w:hAnsi="仿宋" w:eastAsia="仿宋" w:cs="仿宋"/>
          <w:sz w:val="28"/>
          <w:szCs w:val="28"/>
        </w:rPr>
        <w:t>山东地区液氯市场触底反弹，今日上涨</w:t>
      </w:r>
      <w:bookmarkEnd w:id="279"/>
      <w:r>
        <w:rPr>
          <w:rFonts w:hint="default" w:ascii="仿宋" w:hAnsi="仿宋" w:eastAsia="仿宋" w:cs="仿宋"/>
          <w:sz w:val="28"/>
          <w:szCs w:val="28"/>
          <w:lang w:val="en-US"/>
        </w:rPr>
        <w:t>150-300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default" w:ascii="仿宋" w:hAnsi="仿宋" w:eastAsia="仿宋" w:cs="仿宋"/>
          <w:sz w:val="28"/>
          <w:szCs w:val="28"/>
          <w:lang w:val="en-US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吨，下游接受能力有限略显抵触，东部地区大户收货能力暂未修复，部分接收货源价格暂未调整。</w:t>
      </w:r>
    </w:p>
    <w:p>
      <w:pPr>
        <w:pStyle w:val="10"/>
        <w:spacing w:before="0" w:beforeAutospacing="0" w:after="0" w:afterAutospacing="0" w:line="4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后市预测：本周液氯市场整体上涨，全国上涨区域较多，下周北方地区受两会影响，但上下游开工预计同步受到影响。后市预测：预计下周北方地区需紧密关注上下游企业开工情况，华东地区液氯市场预计持稳为主。预计下周全国液氯市场调整范围在300-600元/吨。</w:t>
      </w:r>
    </w:p>
    <w:p>
      <w:pPr>
        <w:widowControl/>
        <w:ind w:firstLine="602" w:firstLineChars="200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p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bookmarkEnd w:id="277"/>
    <w:bookmarkEnd w:id="278"/>
    <w:tbl>
      <w:tblPr>
        <w:tblStyle w:val="11"/>
        <w:tblW w:w="84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80" w:name="_Toc233795926"/>
            <w:bookmarkEnd w:id="28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3-1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4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4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p>
      <w:pPr>
        <w:spacing w:line="400" w:lineRule="exact"/>
        <w:rPr>
          <w:rFonts w:ascii="Arial" w:hAnsi="Arial" w:cs="Arial"/>
          <w:kern w:val="0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45C9C"/>
    <w:rsid w:val="00057676"/>
    <w:rsid w:val="0006570B"/>
    <w:rsid w:val="00065726"/>
    <w:rsid w:val="00072E1F"/>
    <w:rsid w:val="0007741E"/>
    <w:rsid w:val="000833E8"/>
    <w:rsid w:val="000849A7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DBE"/>
    <w:rsid w:val="000E26FB"/>
    <w:rsid w:val="000E41C2"/>
    <w:rsid w:val="000F4985"/>
    <w:rsid w:val="000F4BC2"/>
    <w:rsid w:val="001055DB"/>
    <w:rsid w:val="00105BD3"/>
    <w:rsid w:val="001078AB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388A"/>
    <w:rsid w:val="0016559E"/>
    <w:rsid w:val="00180C42"/>
    <w:rsid w:val="00190ADA"/>
    <w:rsid w:val="00192B10"/>
    <w:rsid w:val="001A49CA"/>
    <w:rsid w:val="001A5B29"/>
    <w:rsid w:val="001A5B52"/>
    <w:rsid w:val="001B0C21"/>
    <w:rsid w:val="001B3397"/>
    <w:rsid w:val="001C20CD"/>
    <w:rsid w:val="001C4856"/>
    <w:rsid w:val="001C4858"/>
    <w:rsid w:val="001D3943"/>
    <w:rsid w:val="001D4D78"/>
    <w:rsid w:val="001E158A"/>
    <w:rsid w:val="001E29F8"/>
    <w:rsid w:val="001E5FA6"/>
    <w:rsid w:val="001E6FCE"/>
    <w:rsid w:val="001F103D"/>
    <w:rsid w:val="001F200E"/>
    <w:rsid w:val="001F3EA0"/>
    <w:rsid w:val="001F633B"/>
    <w:rsid w:val="001F7A1C"/>
    <w:rsid w:val="00204238"/>
    <w:rsid w:val="00210AE7"/>
    <w:rsid w:val="00222BDD"/>
    <w:rsid w:val="0022387E"/>
    <w:rsid w:val="0022444B"/>
    <w:rsid w:val="00230B31"/>
    <w:rsid w:val="0023620E"/>
    <w:rsid w:val="002378AC"/>
    <w:rsid w:val="00237D68"/>
    <w:rsid w:val="00240A04"/>
    <w:rsid w:val="00243FEA"/>
    <w:rsid w:val="002444B7"/>
    <w:rsid w:val="00252D6D"/>
    <w:rsid w:val="002545A5"/>
    <w:rsid w:val="002636AD"/>
    <w:rsid w:val="002712B6"/>
    <w:rsid w:val="002728D7"/>
    <w:rsid w:val="00273011"/>
    <w:rsid w:val="00277D27"/>
    <w:rsid w:val="00277D2C"/>
    <w:rsid w:val="002831C3"/>
    <w:rsid w:val="0028492A"/>
    <w:rsid w:val="00292924"/>
    <w:rsid w:val="002970A0"/>
    <w:rsid w:val="002A3F05"/>
    <w:rsid w:val="002B0DE2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312DC6"/>
    <w:rsid w:val="0031346C"/>
    <w:rsid w:val="00317D90"/>
    <w:rsid w:val="00322DF7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73679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5A2E"/>
    <w:rsid w:val="003F7207"/>
    <w:rsid w:val="00405BA5"/>
    <w:rsid w:val="00407D4B"/>
    <w:rsid w:val="00412C07"/>
    <w:rsid w:val="004143B0"/>
    <w:rsid w:val="00415F5A"/>
    <w:rsid w:val="00416039"/>
    <w:rsid w:val="004203C1"/>
    <w:rsid w:val="00420B7E"/>
    <w:rsid w:val="0042197D"/>
    <w:rsid w:val="00422CED"/>
    <w:rsid w:val="00433B13"/>
    <w:rsid w:val="00433DB4"/>
    <w:rsid w:val="00444981"/>
    <w:rsid w:val="004450A9"/>
    <w:rsid w:val="00454B72"/>
    <w:rsid w:val="0045664F"/>
    <w:rsid w:val="00456670"/>
    <w:rsid w:val="00466F83"/>
    <w:rsid w:val="00467D8A"/>
    <w:rsid w:val="00472BB7"/>
    <w:rsid w:val="00475F92"/>
    <w:rsid w:val="0048308D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E73EE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53BB2"/>
    <w:rsid w:val="0056058C"/>
    <w:rsid w:val="00565264"/>
    <w:rsid w:val="0057406A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651"/>
    <w:rsid w:val="005F6FE0"/>
    <w:rsid w:val="005F7C84"/>
    <w:rsid w:val="0060727C"/>
    <w:rsid w:val="00636747"/>
    <w:rsid w:val="006405B5"/>
    <w:rsid w:val="00642549"/>
    <w:rsid w:val="00647952"/>
    <w:rsid w:val="00650ED7"/>
    <w:rsid w:val="00656C22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7E7C"/>
    <w:rsid w:val="006C2EE4"/>
    <w:rsid w:val="006C3F53"/>
    <w:rsid w:val="006C43CA"/>
    <w:rsid w:val="006D003B"/>
    <w:rsid w:val="006D1855"/>
    <w:rsid w:val="006D37BF"/>
    <w:rsid w:val="006E0A38"/>
    <w:rsid w:val="006E0B28"/>
    <w:rsid w:val="006E6D87"/>
    <w:rsid w:val="006F134F"/>
    <w:rsid w:val="00702144"/>
    <w:rsid w:val="00702423"/>
    <w:rsid w:val="007135D7"/>
    <w:rsid w:val="007154FE"/>
    <w:rsid w:val="00720C71"/>
    <w:rsid w:val="0072188E"/>
    <w:rsid w:val="0072434B"/>
    <w:rsid w:val="0072549A"/>
    <w:rsid w:val="0072776C"/>
    <w:rsid w:val="0073241A"/>
    <w:rsid w:val="00737C28"/>
    <w:rsid w:val="00740DDF"/>
    <w:rsid w:val="00741EF7"/>
    <w:rsid w:val="00745B76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25AA"/>
    <w:rsid w:val="008144B6"/>
    <w:rsid w:val="00822A25"/>
    <w:rsid w:val="00824FA2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D4780"/>
    <w:rsid w:val="008E3A8F"/>
    <w:rsid w:val="008E5DCD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94B"/>
    <w:rsid w:val="00917402"/>
    <w:rsid w:val="00917719"/>
    <w:rsid w:val="00921AD3"/>
    <w:rsid w:val="00927579"/>
    <w:rsid w:val="00927582"/>
    <w:rsid w:val="00927A24"/>
    <w:rsid w:val="00933A2A"/>
    <w:rsid w:val="00934CB5"/>
    <w:rsid w:val="00937BDF"/>
    <w:rsid w:val="009410E0"/>
    <w:rsid w:val="00944FE5"/>
    <w:rsid w:val="0094505E"/>
    <w:rsid w:val="00945E43"/>
    <w:rsid w:val="00951818"/>
    <w:rsid w:val="009636D6"/>
    <w:rsid w:val="0096603F"/>
    <w:rsid w:val="00975E1F"/>
    <w:rsid w:val="0098318F"/>
    <w:rsid w:val="00985AB5"/>
    <w:rsid w:val="00987611"/>
    <w:rsid w:val="00993180"/>
    <w:rsid w:val="009A59EE"/>
    <w:rsid w:val="009B7481"/>
    <w:rsid w:val="009C625C"/>
    <w:rsid w:val="009C65CE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3E5A"/>
    <w:rsid w:val="00A13F55"/>
    <w:rsid w:val="00A1633B"/>
    <w:rsid w:val="00A17FAC"/>
    <w:rsid w:val="00A23F31"/>
    <w:rsid w:val="00A244F2"/>
    <w:rsid w:val="00A27328"/>
    <w:rsid w:val="00A31F3B"/>
    <w:rsid w:val="00A34650"/>
    <w:rsid w:val="00A36214"/>
    <w:rsid w:val="00A424D6"/>
    <w:rsid w:val="00A4587B"/>
    <w:rsid w:val="00A52C76"/>
    <w:rsid w:val="00A63A78"/>
    <w:rsid w:val="00A64EA0"/>
    <w:rsid w:val="00A82147"/>
    <w:rsid w:val="00A842A6"/>
    <w:rsid w:val="00A8638B"/>
    <w:rsid w:val="00AA20B6"/>
    <w:rsid w:val="00AA4C1F"/>
    <w:rsid w:val="00AA57D9"/>
    <w:rsid w:val="00AA5889"/>
    <w:rsid w:val="00AB03F0"/>
    <w:rsid w:val="00AB48D2"/>
    <w:rsid w:val="00AB6505"/>
    <w:rsid w:val="00AC0BBE"/>
    <w:rsid w:val="00AC2F5A"/>
    <w:rsid w:val="00AD43FE"/>
    <w:rsid w:val="00AD4573"/>
    <w:rsid w:val="00AD5A9D"/>
    <w:rsid w:val="00AD6808"/>
    <w:rsid w:val="00AE5DE8"/>
    <w:rsid w:val="00AF25E1"/>
    <w:rsid w:val="00AF5BF1"/>
    <w:rsid w:val="00B049BC"/>
    <w:rsid w:val="00B05414"/>
    <w:rsid w:val="00B1158A"/>
    <w:rsid w:val="00B11A21"/>
    <w:rsid w:val="00B142A2"/>
    <w:rsid w:val="00B20CBC"/>
    <w:rsid w:val="00B40A83"/>
    <w:rsid w:val="00B46E60"/>
    <w:rsid w:val="00B51A50"/>
    <w:rsid w:val="00B60F55"/>
    <w:rsid w:val="00B6114B"/>
    <w:rsid w:val="00B63456"/>
    <w:rsid w:val="00B66A74"/>
    <w:rsid w:val="00B67096"/>
    <w:rsid w:val="00B7594B"/>
    <w:rsid w:val="00B90A51"/>
    <w:rsid w:val="00B90D4A"/>
    <w:rsid w:val="00B93CDD"/>
    <w:rsid w:val="00B95C6E"/>
    <w:rsid w:val="00BA71BD"/>
    <w:rsid w:val="00BA7BA1"/>
    <w:rsid w:val="00BB2918"/>
    <w:rsid w:val="00BB3E08"/>
    <w:rsid w:val="00BC67F8"/>
    <w:rsid w:val="00BC69B0"/>
    <w:rsid w:val="00BD3D76"/>
    <w:rsid w:val="00BD6104"/>
    <w:rsid w:val="00BE1352"/>
    <w:rsid w:val="00BE38E4"/>
    <w:rsid w:val="00BE7A8B"/>
    <w:rsid w:val="00BF0ECD"/>
    <w:rsid w:val="00BF454B"/>
    <w:rsid w:val="00BF7D26"/>
    <w:rsid w:val="00C017FE"/>
    <w:rsid w:val="00C04852"/>
    <w:rsid w:val="00C10F0C"/>
    <w:rsid w:val="00C11F61"/>
    <w:rsid w:val="00C1328E"/>
    <w:rsid w:val="00C13A91"/>
    <w:rsid w:val="00C27C8E"/>
    <w:rsid w:val="00C31207"/>
    <w:rsid w:val="00C328A4"/>
    <w:rsid w:val="00C378FA"/>
    <w:rsid w:val="00C412D4"/>
    <w:rsid w:val="00C4540B"/>
    <w:rsid w:val="00C514C7"/>
    <w:rsid w:val="00C52912"/>
    <w:rsid w:val="00C52E4F"/>
    <w:rsid w:val="00C5446B"/>
    <w:rsid w:val="00C60172"/>
    <w:rsid w:val="00C61ECF"/>
    <w:rsid w:val="00C632D9"/>
    <w:rsid w:val="00C70AD6"/>
    <w:rsid w:val="00C83A27"/>
    <w:rsid w:val="00C91F22"/>
    <w:rsid w:val="00CA1673"/>
    <w:rsid w:val="00CA4CC2"/>
    <w:rsid w:val="00CA777D"/>
    <w:rsid w:val="00CB0F82"/>
    <w:rsid w:val="00CB4193"/>
    <w:rsid w:val="00CD4DE4"/>
    <w:rsid w:val="00CF2A3C"/>
    <w:rsid w:val="00CF307C"/>
    <w:rsid w:val="00CF39CD"/>
    <w:rsid w:val="00CF4E40"/>
    <w:rsid w:val="00CF5611"/>
    <w:rsid w:val="00D00A08"/>
    <w:rsid w:val="00D013C8"/>
    <w:rsid w:val="00D03ED4"/>
    <w:rsid w:val="00D043E7"/>
    <w:rsid w:val="00D116BB"/>
    <w:rsid w:val="00D14E9C"/>
    <w:rsid w:val="00D205C2"/>
    <w:rsid w:val="00D22E99"/>
    <w:rsid w:val="00D23F9B"/>
    <w:rsid w:val="00D24CD9"/>
    <w:rsid w:val="00D257E5"/>
    <w:rsid w:val="00D27BAE"/>
    <w:rsid w:val="00D36CAE"/>
    <w:rsid w:val="00D3773D"/>
    <w:rsid w:val="00D47173"/>
    <w:rsid w:val="00D72263"/>
    <w:rsid w:val="00D726A4"/>
    <w:rsid w:val="00D73706"/>
    <w:rsid w:val="00D76C80"/>
    <w:rsid w:val="00D839AE"/>
    <w:rsid w:val="00D86AD0"/>
    <w:rsid w:val="00D96DE5"/>
    <w:rsid w:val="00DA2865"/>
    <w:rsid w:val="00DA5671"/>
    <w:rsid w:val="00DA66D7"/>
    <w:rsid w:val="00DB70BA"/>
    <w:rsid w:val="00DB7174"/>
    <w:rsid w:val="00DD0254"/>
    <w:rsid w:val="00DE1E51"/>
    <w:rsid w:val="00DE1FB5"/>
    <w:rsid w:val="00DE27B8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5DBB"/>
    <w:rsid w:val="00E50F72"/>
    <w:rsid w:val="00E51CFA"/>
    <w:rsid w:val="00E51E94"/>
    <w:rsid w:val="00E54662"/>
    <w:rsid w:val="00E54C5D"/>
    <w:rsid w:val="00E55032"/>
    <w:rsid w:val="00E6203C"/>
    <w:rsid w:val="00E679A7"/>
    <w:rsid w:val="00E70F83"/>
    <w:rsid w:val="00E74E3E"/>
    <w:rsid w:val="00E82CFA"/>
    <w:rsid w:val="00E86451"/>
    <w:rsid w:val="00E86E39"/>
    <w:rsid w:val="00E872DE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C2F"/>
    <w:rsid w:val="00EC7F7C"/>
    <w:rsid w:val="00ED13BF"/>
    <w:rsid w:val="00ED16F7"/>
    <w:rsid w:val="00ED7695"/>
    <w:rsid w:val="00EE0015"/>
    <w:rsid w:val="00EE164B"/>
    <w:rsid w:val="00EE7804"/>
    <w:rsid w:val="00F0287F"/>
    <w:rsid w:val="00F11086"/>
    <w:rsid w:val="00F122BB"/>
    <w:rsid w:val="00F21A41"/>
    <w:rsid w:val="00F22F19"/>
    <w:rsid w:val="00F25810"/>
    <w:rsid w:val="00F331BE"/>
    <w:rsid w:val="00F40B0F"/>
    <w:rsid w:val="00F4206D"/>
    <w:rsid w:val="00F421B4"/>
    <w:rsid w:val="00F52099"/>
    <w:rsid w:val="00F56B77"/>
    <w:rsid w:val="00F5736E"/>
    <w:rsid w:val="00F5787A"/>
    <w:rsid w:val="00F60A0A"/>
    <w:rsid w:val="00F61DEB"/>
    <w:rsid w:val="00F66669"/>
    <w:rsid w:val="00F70E4F"/>
    <w:rsid w:val="00F76CD7"/>
    <w:rsid w:val="00F77473"/>
    <w:rsid w:val="00F800D5"/>
    <w:rsid w:val="00F87861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366D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43662E"/>
    <w:rsid w:val="1F85078D"/>
    <w:rsid w:val="228C1924"/>
    <w:rsid w:val="248C0836"/>
    <w:rsid w:val="2EA02B25"/>
    <w:rsid w:val="30443666"/>
    <w:rsid w:val="327169B3"/>
    <w:rsid w:val="33525A0A"/>
    <w:rsid w:val="34BE693E"/>
    <w:rsid w:val="3606082A"/>
    <w:rsid w:val="38B7769F"/>
    <w:rsid w:val="38FB076B"/>
    <w:rsid w:val="396C2796"/>
    <w:rsid w:val="3D6019E2"/>
    <w:rsid w:val="3EBE0E18"/>
    <w:rsid w:val="41BD2E20"/>
    <w:rsid w:val="458512A6"/>
    <w:rsid w:val="463F04DF"/>
    <w:rsid w:val="474F32D6"/>
    <w:rsid w:val="47772291"/>
    <w:rsid w:val="47C03AAC"/>
    <w:rsid w:val="48DC2BE3"/>
    <w:rsid w:val="49415DBF"/>
    <w:rsid w:val="4BA14D45"/>
    <w:rsid w:val="4D2852AE"/>
    <w:rsid w:val="4FBD68F8"/>
    <w:rsid w:val="505121FE"/>
    <w:rsid w:val="519B1BA0"/>
    <w:rsid w:val="51F77181"/>
    <w:rsid w:val="54F619AF"/>
    <w:rsid w:val="55233E35"/>
    <w:rsid w:val="572D0997"/>
    <w:rsid w:val="597A0CF9"/>
    <w:rsid w:val="5CF46AC5"/>
    <w:rsid w:val="5D365FD4"/>
    <w:rsid w:val="5E1E0ACC"/>
    <w:rsid w:val="5E492213"/>
    <w:rsid w:val="5E527EC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6FF4258B"/>
    <w:rsid w:val="73EC233E"/>
    <w:rsid w:val="79C66977"/>
    <w:rsid w:val="7C1A111F"/>
    <w:rsid w:val="7D6A7849"/>
    <w:rsid w:val="7E3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8">
    <w:name w:val="Subtitle"/>
    <w:basedOn w:val="1"/>
    <w:next w:val="1"/>
    <w:link w:val="2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basedOn w:val="12"/>
    <w:qFormat/>
    <w:uiPriority w:val="99"/>
    <w:rPr>
      <w:b/>
      <w:bCs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6">
    <w:name w:val="标题 2 Char"/>
    <w:basedOn w:val="12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7">
    <w:name w:val="批注框文本 Char"/>
    <w:basedOn w:val="12"/>
    <w:link w:val="4"/>
    <w:semiHidden/>
    <w:qFormat/>
    <w:locked/>
    <w:uiPriority w:val="99"/>
    <w:rPr>
      <w:sz w:val="18"/>
      <w:szCs w:val="18"/>
    </w:rPr>
  </w:style>
  <w:style w:type="character" w:customStyle="1" w:styleId="18">
    <w:name w:val="页脚 Char"/>
    <w:basedOn w:val="12"/>
    <w:link w:val="5"/>
    <w:qFormat/>
    <w:locked/>
    <w:uiPriority w:val="99"/>
    <w:rPr>
      <w:sz w:val="18"/>
      <w:szCs w:val="18"/>
    </w:rPr>
  </w:style>
  <w:style w:type="character" w:customStyle="1" w:styleId="19">
    <w:name w:val="页眉 Char"/>
    <w:basedOn w:val="12"/>
    <w:link w:val="6"/>
    <w:qFormat/>
    <w:locked/>
    <w:uiPriority w:val="99"/>
    <w:rPr>
      <w:sz w:val="18"/>
      <w:szCs w:val="18"/>
    </w:rPr>
  </w:style>
  <w:style w:type="character" w:customStyle="1" w:styleId="20">
    <w:name w:val="副标题 Char"/>
    <w:basedOn w:val="12"/>
    <w:link w:val="8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1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2">
    <w:name w:val="txt4"/>
    <w:basedOn w:val="12"/>
    <w:qFormat/>
    <w:uiPriority w:val="99"/>
  </w:style>
  <w:style w:type="paragraph" w:customStyle="1" w:styleId="23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apple-converted-space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621</Words>
  <Characters>3546</Characters>
  <Lines>29</Lines>
  <Paragraphs>8</Paragraphs>
  <TotalTime>20</TotalTime>
  <ScaleCrop>false</ScaleCrop>
  <LinksUpToDate>false</LinksUpToDate>
  <CharactersWithSpaces>4159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2019-03-01T06:27:14Z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