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EF50FB" w:rsidP="00F6162F">
      <w:pPr>
        <w:outlineLvl w:val="0"/>
        <w:rPr>
          <w:rFonts w:ascii="黑体" w:eastAsia="黑体" w:hAnsi="宋体" w:cs="Arial"/>
          <w:b/>
          <w:bCs/>
          <w:kern w:val="0"/>
          <w:sz w:val="30"/>
          <w:szCs w:val="30"/>
        </w:rPr>
      </w:pPr>
      <w:r w:rsidRPr="00EF50FB">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47AD4" w:rsidRDefault="00047AD4">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47AD4" w:rsidRDefault="00047AD4">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47AD4" w:rsidRDefault="00047AD4">
                  <w:pPr>
                    <w:jc w:val="left"/>
                  </w:pPr>
                </w:p>
              </w:txbxContent>
            </v:textbox>
          </v:shape>
        </w:pict>
      </w:r>
      <w:r w:rsidRPr="00EF50FB">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47AD4" w:rsidRDefault="00047AD4">
                  <w:pPr>
                    <w:pStyle w:val="1"/>
                    <w:jc w:val="center"/>
                    <w:rPr>
                      <w:kern w:val="2"/>
                    </w:rPr>
                  </w:pPr>
                  <w:bookmarkStart w:id="0" w:name="_Toc17467203"/>
                  <w:r>
                    <w:rPr>
                      <w:rFonts w:hint="eastAsia"/>
                      <w:kern w:val="2"/>
                    </w:rPr>
                    <w:t>2019.08.</w:t>
                  </w:r>
                  <w:r w:rsidR="00D82BDA">
                    <w:rPr>
                      <w:rFonts w:hint="eastAsia"/>
                      <w:kern w:val="2"/>
                    </w:rPr>
                    <w:t>23</w:t>
                  </w:r>
                  <w:bookmarkEnd w:id="0"/>
                </w:p>
                <w:p w:rsidR="00047AD4" w:rsidRDefault="00047AD4"/>
              </w:txbxContent>
            </v:textbox>
          </v:shape>
        </w:pict>
      </w:r>
      <w:r w:rsidR="004F4F55">
        <w:br w:type="page"/>
      </w:r>
      <w:bookmarkStart w:id="1" w:name="_Toc485828985"/>
      <w:r w:rsidRPr="00EF50FB">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47AD4" w:rsidRDefault="00047AD4">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9D1533" w:rsidRDefault="00EF50FB">
                  <w:pPr>
                    <w:pStyle w:val="10"/>
                    <w:rPr>
                      <w:rFonts w:asciiTheme="minorHAnsi" w:eastAsiaTheme="minorEastAsia" w:hAnsiTheme="minorHAnsi" w:cstheme="minorBidi"/>
                      <w:b w:val="0"/>
                      <w:bCs w:val="0"/>
                      <w:caps w:val="0"/>
                      <w:noProof/>
                      <w:color w:val="auto"/>
                      <w:sz w:val="21"/>
                      <w:szCs w:val="22"/>
                    </w:rPr>
                  </w:pPr>
                  <w:r w:rsidRPr="00EF50FB">
                    <w:rPr>
                      <w:sz w:val="20"/>
                    </w:rPr>
                    <w:fldChar w:fldCharType="begin"/>
                  </w:r>
                  <w:r w:rsidR="00047AD4">
                    <w:rPr>
                      <w:sz w:val="20"/>
                    </w:rPr>
                    <w:instrText xml:space="preserve"> TOC \o "1-3" \h \z \u </w:instrText>
                  </w:r>
                  <w:r w:rsidRPr="00EF50FB">
                    <w:rPr>
                      <w:sz w:val="20"/>
                    </w:rPr>
                    <w:fldChar w:fldCharType="separate"/>
                  </w:r>
                  <w:hyperlink r:id="rId10" w:anchor="_Toc17467203" w:history="1">
                    <w:r w:rsidR="009D1533" w:rsidRPr="009953AF">
                      <w:rPr>
                        <w:rStyle w:val="af0"/>
                        <w:noProof/>
                      </w:rPr>
                      <w:t>2019.08.23</w:t>
                    </w:r>
                    <w:r w:rsidR="009D1533">
                      <w:rPr>
                        <w:noProof/>
                        <w:webHidden/>
                      </w:rPr>
                      <w:tab/>
                    </w:r>
                    <w:r w:rsidR="009D1533">
                      <w:rPr>
                        <w:noProof/>
                        <w:webHidden/>
                      </w:rPr>
                      <w:fldChar w:fldCharType="begin"/>
                    </w:r>
                    <w:r w:rsidR="009D1533">
                      <w:rPr>
                        <w:noProof/>
                        <w:webHidden/>
                      </w:rPr>
                      <w:instrText xml:space="preserve"> PAGEREF _Toc17467203 \h </w:instrText>
                    </w:r>
                    <w:r w:rsidR="009D1533">
                      <w:rPr>
                        <w:noProof/>
                        <w:webHidden/>
                      </w:rPr>
                    </w:r>
                    <w:r w:rsidR="009D1533">
                      <w:rPr>
                        <w:noProof/>
                        <w:webHidden/>
                      </w:rPr>
                      <w:fldChar w:fldCharType="separate"/>
                    </w:r>
                    <w:r w:rsidR="009D1533">
                      <w:rPr>
                        <w:noProof/>
                        <w:webHidden/>
                      </w:rPr>
                      <w:t>1</w:t>
                    </w:r>
                    <w:r w:rsidR="009D1533">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04" w:history="1">
                    <w:r w:rsidRPr="009953AF">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_Toc17467204 \h </w:instrText>
                    </w:r>
                    <w:r>
                      <w:rPr>
                        <w:noProof/>
                        <w:webHidden/>
                      </w:rPr>
                    </w:r>
                    <w:r>
                      <w:rPr>
                        <w:noProof/>
                        <w:webHidden/>
                      </w:rPr>
                      <w:fldChar w:fldCharType="separate"/>
                    </w:r>
                    <w:r>
                      <w:rPr>
                        <w:noProof/>
                        <w:webHidden/>
                      </w:rPr>
                      <w:t>3</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05" w:history="1">
                    <w:r w:rsidRPr="009953AF">
                      <w:rPr>
                        <w:rStyle w:val="af0"/>
                        <w:rFonts w:ascii="黑体" w:eastAsia="黑体" w:cs="Arial"/>
                        <w:noProof/>
                        <w:kern w:val="0"/>
                      </w:rPr>
                      <w:t>(</w:t>
                    </w:r>
                    <w:r w:rsidRPr="009953AF">
                      <w:rPr>
                        <w:rStyle w:val="af0"/>
                        <w:rFonts w:ascii="黑体" w:eastAsia="黑体" w:cs="Arial" w:hint="eastAsia"/>
                        <w:noProof/>
                        <w:kern w:val="0"/>
                      </w:rPr>
                      <w:t>一</w:t>
                    </w:r>
                    <w:r w:rsidRPr="009953AF">
                      <w:rPr>
                        <w:rStyle w:val="af0"/>
                        <w:rFonts w:ascii="黑体" w:eastAsia="黑体" w:cs="Arial"/>
                        <w:noProof/>
                        <w:kern w:val="0"/>
                      </w:rPr>
                      <w:t>)</w:t>
                    </w:r>
                    <w:r w:rsidRPr="009953AF">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_Toc17467205 \h </w:instrText>
                    </w:r>
                    <w:r>
                      <w:rPr>
                        <w:noProof/>
                        <w:webHidden/>
                      </w:rPr>
                    </w:r>
                    <w:r>
                      <w:rPr>
                        <w:noProof/>
                        <w:webHidden/>
                      </w:rPr>
                      <w:fldChar w:fldCharType="separate"/>
                    </w:r>
                    <w:r>
                      <w:rPr>
                        <w:noProof/>
                        <w:webHidden/>
                      </w:rPr>
                      <w:t>3</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06" w:history="1">
                    <w:r w:rsidRPr="009953AF">
                      <w:rPr>
                        <w:rStyle w:val="af0"/>
                        <w:rFonts w:cs="Arial"/>
                        <w:noProof/>
                        <w:kern w:val="0"/>
                      </w:rPr>
                      <w:t>1</w:t>
                    </w:r>
                    <w:r w:rsidRPr="009953AF">
                      <w:rPr>
                        <w:rStyle w:val="af0"/>
                        <w:rFonts w:cs="Arial" w:hint="eastAsia"/>
                        <w:noProof/>
                        <w:kern w:val="0"/>
                      </w:rPr>
                      <w:t>、国际原油收盘价涨跌情况（单位：美元</w:t>
                    </w:r>
                    <w:r w:rsidRPr="009953AF">
                      <w:rPr>
                        <w:rStyle w:val="af0"/>
                        <w:rFonts w:cs="Arial"/>
                        <w:noProof/>
                        <w:kern w:val="0"/>
                      </w:rPr>
                      <w:t>/</w:t>
                    </w:r>
                    <w:r w:rsidRPr="009953AF">
                      <w:rPr>
                        <w:rStyle w:val="af0"/>
                        <w:rFonts w:cs="Arial" w:hint="eastAsia"/>
                        <w:noProof/>
                        <w:kern w:val="0"/>
                      </w:rPr>
                      <w:t>桶）</w:t>
                    </w:r>
                    <w:r>
                      <w:rPr>
                        <w:noProof/>
                        <w:webHidden/>
                      </w:rPr>
                      <w:tab/>
                    </w:r>
                    <w:r>
                      <w:rPr>
                        <w:noProof/>
                        <w:webHidden/>
                      </w:rPr>
                      <w:fldChar w:fldCharType="begin"/>
                    </w:r>
                    <w:r>
                      <w:rPr>
                        <w:noProof/>
                        <w:webHidden/>
                      </w:rPr>
                      <w:instrText xml:space="preserve"> PAGEREF _Toc17467206 \h </w:instrText>
                    </w:r>
                    <w:r>
                      <w:rPr>
                        <w:noProof/>
                        <w:webHidden/>
                      </w:rPr>
                    </w:r>
                    <w:r>
                      <w:rPr>
                        <w:noProof/>
                        <w:webHidden/>
                      </w:rPr>
                      <w:fldChar w:fldCharType="separate"/>
                    </w:r>
                    <w:r>
                      <w:rPr>
                        <w:noProof/>
                        <w:webHidden/>
                      </w:rPr>
                      <w:t>3</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07" w:history="1">
                    <w:r w:rsidRPr="009953AF">
                      <w:rPr>
                        <w:rStyle w:val="af0"/>
                        <w:rFonts w:cs="Arial"/>
                        <w:noProof/>
                        <w:kern w:val="0"/>
                      </w:rPr>
                      <w:t>2.2019</w:t>
                    </w:r>
                    <w:r w:rsidRPr="009953AF">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_Toc17467207 \h </w:instrText>
                    </w:r>
                    <w:r>
                      <w:rPr>
                        <w:noProof/>
                        <w:webHidden/>
                      </w:rPr>
                    </w:r>
                    <w:r>
                      <w:rPr>
                        <w:noProof/>
                        <w:webHidden/>
                      </w:rPr>
                      <w:fldChar w:fldCharType="separate"/>
                    </w:r>
                    <w:r>
                      <w:rPr>
                        <w:noProof/>
                        <w:webHidden/>
                      </w:rPr>
                      <w:t>3</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08" w:history="1">
                    <w:r w:rsidRPr="009953AF">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_Toc17467208 \h </w:instrText>
                    </w:r>
                    <w:r>
                      <w:rPr>
                        <w:noProof/>
                        <w:webHidden/>
                      </w:rPr>
                    </w:r>
                    <w:r>
                      <w:rPr>
                        <w:noProof/>
                        <w:webHidden/>
                      </w:rPr>
                      <w:fldChar w:fldCharType="separate"/>
                    </w:r>
                    <w:r>
                      <w:rPr>
                        <w:noProof/>
                        <w:webHidden/>
                      </w:rPr>
                      <w:t>4</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09" w:history="1">
                    <w:r w:rsidRPr="009953AF">
                      <w:rPr>
                        <w:rStyle w:val="af0"/>
                        <w:rFonts w:ascii="黑体" w:eastAsia="黑体"/>
                        <w:noProof/>
                      </w:rPr>
                      <w:t>1.</w:t>
                    </w:r>
                    <w:r w:rsidRPr="009953AF">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_Toc17467209 \h </w:instrText>
                    </w:r>
                    <w:r>
                      <w:rPr>
                        <w:noProof/>
                        <w:webHidden/>
                      </w:rPr>
                    </w:r>
                    <w:r>
                      <w:rPr>
                        <w:noProof/>
                        <w:webHidden/>
                      </w:rPr>
                      <w:fldChar w:fldCharType="separate"/>
                    </w:r>
                    <w:r>
                      <w:rPr>
                        <w:noProof/>
                        <w:webHidden/>
                      </w:rPr>
                      <w:t>4</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10" w:history="1">
                    <w:r w:rsidRPr="009953AF">
                      <w:rPr>
                        <w:rStyle w:val="af0"/>
                        <w:rFonts w:ascii="黑体" w:eastAsia="黑体"/>
                        <w:noProof/>
                      </w:rPr>
                      <w:t>2.</w:t>
                    </w:r>
                    <w:r w:rsidRPr="009953AF">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_Toc17467210 \h </w:instrText>
                    </w:r>
                    <w:r>
                      <w:rPr>
                        <w:noProof/>
                        <w:webHidden/>
                      </w:rPr>
                    </w:r>
                    <w:r>
                      <w:rPr>
                        <w:noProof/>
                        <w:webHidden/>
                      </w:rPr>
                      <w:fldChar w:fldCharType="separate"/>
                    </w:r>
                    <w:r>
                      <w:rPr>
                        <w:noProof/>
                        <w:webHidden/>
                      </w:rPr>
                      <w:t>5</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11" w:history="1">
                    <w:r w:rsidRPr="009953AF">
                      <w:rPr>
                        <w:rStyle w:val="af0"/>
                        <w:rFonts w:cs="Arial"/>
                        <w:bCs/>
                        <w:noProof/>
                      </w:rPr>
                      <w:t>3.</w:t>
                    </w:r>
                    <w:r w:rsidRPr="009953AF">
                      <w:rPr>
                        <w:rStyle w:val="af0"/>
                        <w:rFonts w:cs="Arial" w:hint="eastAsia"/>
                        <w:bCs/>
                        <w:noProof/>
                      </w:rPr>
                      <w:t>世界经济形势</w:t>
                    </w:r>
                    <w:r>
                      <w:rPr>
                        <w:noProof/>
                        <w:webHidden/>
                      </w:rPr>
                      <w:tab/>
                    </w:r>
                    <w:r>
                      <w:rPr>
                        <w:noProof/>
                        <w:webHidden/>
                      </w:rPr>
                      <w:fldChar w:fldCharType="begin"/>
                    </w:r>
                    <w:r>
                      <w:rPr>
                        <w:noProof/>
                        <w:webHidden/>
                      </w:rPr>
                      <w:instrText xml:space="preserve"> PAGEREF _Toc17467211 \h </w:instrText>
                    </w:r>
                    <w:r>
                      <w:rPr>
                        <w:noProof/>
                        <w:webHidden/>
                      </w:rPr>
                    </w:r>
                    <w:r>
                      <w:rPr>
                        <w:noProof/>
                        <w:webHidden/>
                      </w:rPr>
                      <w:fldChar w:fldCharType="separate"/>
                    </w:r>
                    <w:r>
                      <w:rPr>
                        <w:noProof/>
                        <w:webHidden/>
                      </w:rPr>
                      <w:t>7</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12" w:history="1">
                    <w:r w:rsidRPr="009953AF">
                      <w:rPr>
                        <w:rStyle w:val="af0"/>
                        <w:rFonts w:cs="Arial" w:hint="eastAsia"/>
                        <w:noProof/>
                        <w:kern w:val="0"/>
                      </w:rPr>
                      <w:t>（三）、</w:t>
                    </w:r>
                    <w:r w:rsidRPr="009953AF">
                      <w:rPr>
                        <w:rStyle w:val="af0"/>
                        <w:rFonts w:cs="Arial"/>
                        <w:noProof/>
                        <w:kern w:val="0"/>
                      </w:rPr>
                      <w:t>2018</w:t>
                    </w:r>
                    <w:r w:rsidRPr="009953AF">
                      <w:rPr>
                        <w:rStyle w:val="af0"/>
                        <w:rFonts w:cs="Arial" w:hint="eastAsia"/>
                        <w:noProof/>
                        <w:kern w:val="0"/>
                      </w:rPr>
                      <w:t>年</w:t>
                    </w:r>
                    <w:r w:rsidRPr="009953AF">
                      <w:rPr>
                        <w:rStyle w:val="af0"/>
                        <w:rFonts w:cs="Arial"/>
                        <w:noProof/>
                        <w:kern w:val="0"/>
                      </w:rPr>
                      <w:t>11</w:t>
                    </w:r>
                    <w:r w:rsidRPr="009953AF">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_Toc17467212 \h </w:instrText>
                    </w:r>
                    <w:r>
                      <w:rPr>
                        <w:noProof/>
                        <w:webHidden/>
                      </w:rPr>
                    </w:r>
                    <w:r>
                      <w:rPr>
                        <w:noProof/>
                        <w:webHidden/>
                      </w:rPr>
                      <w:fldChar w:fldCharType="separate"/>
                    </w:r>
                    <w:r>
                      <w:rPr>
                        <w:noProof/>
                        <w:webHidden/>
                      </w:rPr>
                      <w:t>9</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13" w:history="1">
                    <w:r w:rsidRPr="009953AF">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_Toc17467213 \h </w:instrText>
                    </w:r>
                    <w:r>
                      <w:rPr>
                        <w:noProof/>
                        <w:webHidden/>
                      </w:rPr>
                    </w:r>
                    <w:r>
                      <w:rPr>
                        <w:noProof/>
                        <w:webHidden/>
                      </w:rPr>
                      <w:fldChar w:fldCharType="separate"/>
                    </w:r>
                    <w:r>
                      <w:rPr>
                        <w:noProof/>
                        <w:webHidden/>
                      </w:rPr>
                      <w:t>15</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14" w:history="1">
                    <w:r w:rsidRPr="009953AF">
                      <w:rPr>
                        <w:rStyle w:val="af0"/>
                        <w:rFonts w:ascii="黑体" w:eastAsia="黑体" w:hint="eastAsia"/>
                        <w:noProof/>
                      </w:rPr>
                      <w:t>二、</w:t>
                    </w:r>
                    <w:r w:rsidRPr="009953AF">
                      <w:rPr>
                        <w:rStyle w:val="af0"/>
                        <w:rFonts w:ascii="黑体" w:eastAsia="黑体"/>
                        <w:noProof/>
                      </w:rPr>
                      <w:t xml:space="preserve"> </w:t>
                    </w:r>
                    <w:r w:rsidRPr="009953AF">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_Toc17467214 \h </w:instrText>
                    </w:r>
                    <w:r>
                      <w:rPr>
                        <w:noProof/>
                        <w:webHidden/>
                      </w:rPr>
                    </w:r>
                    <w:r>
                      <w:rPr>
                        <w:noProof/>
                        <w:webHidden/>
                      </w:rPr>
                      <w:fldChar w:fldCharType="separate"/>
                    </w:r>
                    <w:r>
                      <w:rPr>
                        <w:noProof/>
                        <w:webHidden/>
                      </w:rPr>
                      <w:t>17</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15" w:history="1">
                    <w:r w:rsidRPr="009953AF">
                      <w:rPr>
                        <w:rStyle w:val="af0"/>
                        <w:noProof/>
                      </w:rPr>
                      <w:t>2. 1</w:t>
                    </w:r>
                    <w:r w:rsidRPr="009953AF">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_Toc17467215 \h </w:instrText>
                    </w:r>
                    <w:r>
                      <w:rPr>
                        <w:noProof/>
                        <w:webHidden/>
                      </w:rPr>
                    </w:r>
                    <w:r>
                      <w:rPr>
                        <w:noProof/>
                        <w:webHidden/>
                      </w:rPr>
                      <w:fldChar w:fldCharType="separate"/>
                    </w:r>
                    <w:r>
                      <w:rPr>
                        <w:noProof/>
                        <w:webHidden/>
                      </w:rPr>
                      <w:t>17</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16" w:history="1">
                    <w:r w:rsidRPr="009953AF">
                      <w:rPr>
                        <w:rStyle w:val="af0"/>
                        <w:rFonts w:asciiTheme="minorEastAsia" w:hAnsiTheme="minorEastAsia"/>
                        <w:noProof/>
                      </w:rPr>
                      <w:t>2.2</w:t>
                    </w:r>
                    <w:r w:rsidRPr="009953AF">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_Toc17467216 \h </w:instrText>
                    </w:r>
                    <w:r>
                      <w:rPr>
                        <w:noProof/>
                        <w:webHidden/>
                      </w:rPr>
                    </w:r>
                    <w:r>
                      <w:rPr>
                        <w:noProof/>
                        <w:webHidden/>
                      </w:rPr>
                      <w:fldChar w:fldCharType="separate"/>
                    </w:r>
                    <w:r>
                      <w:rPr>
                        <w:noProof/>
                        <w:webHidden/>
                      </w:rPr>
                      <w:t>18</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17" w:history="1">
                    <w:r w:rsidRPr="009953AF">
                      <w:rPr>
                        <w:rStyle w:val="af0"/>
                        <w:rFonts w:asciiTheme="minorEastAsia" w:hAnsiTheme="minorEastAsia"/>
                        <w:noProof/>
                      </w:rPr>
                      <w:t>2.3</w:t>
                    </w:r>
                    <w:r w:rsidRPr="009953AF">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_Toc17467217 \h </w:instrText>
                    </w:r>
                    <w:r>
                      <w:rPr>
                        <w:noProof/>
                        <w:webHidden/>
                      </w:rPr>
                    </w:r>
                    <w:r>
                      <w:rPr>
                        <w:noProof/>
                        <w:webHidden/>
                      </w:rPr>
                      <w:fldChar w:fldCharType="separate"/>
                    </w:r>
                    <w:r>
                      <w:rPr>
                        <w:noProof/>
                        <w:webHidden/>
                      </w:rPr>
                      <w:t>19</w:t>
                    </w:r>
                    <w:r>
                      <w:rPr>
                        <w:noProof/>
                        <w:webHidden/>
                      </w:rPr>
                      <w:fldChar w:fldCharType="end"/>
                    </w:r>
                  </w:hyperlink>
                </w:p>
                <w:p w:rsidR="009D1533" w:rsidRDefault="009D1533">
                  <w:pPr>
                    <w:pStyle w:val="21"/>
                    <w:rPr>
                      <w:rFonts w:asciiTheme="minorHAnsi" w:eastAsiaTheme="minorEastAsia" w:hAnsiTheme="minorHAnsi" w:cstheme="minorBidi"/>
                      <w:b w:val="0"/>
                      <w:smallCaps w:val="0"/>
                      <w:noProof/>
                      <w:color w:val="auto"/>
                      <w:sz w:val="21"/>
                      <w:szCs w:val="22"/>
                    </w:rPr>
                  </w:pPr>
                  <w:hyperlink w:anchor="_Toc17467218" w:history="1">
                    <w:r w:rsidRPr="009953AF">
                      <w:rPr>
                        <w:rStyle w:val="af0"/>
                        <w:rFonts w:asciiTheme="minorEastAsia" w:hAnsiTheme="minorEastAsia"/>
                        <w:noProof/>
                      </w:rPr>
                      <w:t>2.4</w:t>
                    </w:r>
                    <w:r w:rsidRPr="009953AF">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_Toc17467218 \h </w:instrText>
                    </w:r>
                    <w:r>
                      <w:rPr>
                        <w:noProof/>
                        <w:webHidden/>
                      </w:rPr>
                    </w:r>
                    <w:r>
                      <w:rPr>
                        <w:noProof/>
                        <w:webHidden/>
                      </w:rPr>
                      <w:fldChar w:fldCharType="separate"/>
                    </w:r>
                    <w:r>
                      <w:rPr>
                        <w:noProof/>
                        <w:webHidden/>
                      </w:rPr>
                      <w:t>22</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19" w:history="1">
                    <w:r w:rsidRPr="009953AF">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_Toc17467219 \h </w:instrText>
                    </w:r>
                    <w:r>
                      <w:rPr>
                        <w:noProof/>
                        <w:webHidden/>
                      </w:rPr>
                    </w:r>
                    <w:r>
                      <w:rPr>
                        <w:noProof/>
                        <w:webHidden/>
                      </w:rPr>
                      <w:fldChar w:fldCharType="separate"/>
                    </w:r>
                    <w:r>
                      <w:rPr>
                        <w:noProof/>
                        <w:webHidden/>
                      </w:rPr>
                      <w:t>22</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20" w:history="1">
                    <w:r w:rsidRPr="009953AF">
                      <w:rPr>
                        <w:rStyle w:val="af0"/>
                        <w:rFonts w:asciiTheme="minorEastAsia" w:hAnsiTheme="minorEastAsia"/>
                        <w:noProof/>
                      </w:rPr>
                      <w:t>3</w:t>
                    </w:r>
                    <w:r w:rsidRPr="009953AF">
                      <w:rPr>
                        <w:rStyle w:val="af0"/>
                        <w:rFonts w:asciiTheme="minorEastAsia" w:hAnsiTheme="minorEastAsia" w:hint="eastAsia"/>
                        <w:noProof/>
                      </w:rPr>
                      <w:t>．</w:t>
                    </w:r>
                    <w:r w:rsidRPr="009953AF">
                      <w:rPr>
                        <w:rStyle w:val="af0"/>
                        <w:rFonts w:asciiTheme="minorEastAsia" w:hAnsiTheme="minorEastAsia"/>
                        <w:noProof/>
                      </w:rPr>
                      <w:t xml:space="preserve">1  </w:t>
                    </w:r>
                    <w:r w:rsidRPr="009953AF">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_Toc17467220 \h </w:instrText>
                    </w:r>
                    <w:r>
                      <w:rPr>
                        <w:noProof/>
                        <w:webHidden/>
                      </w:rPr>
                    </w:r>
                    <w:r>
                      <w:rPr>
                        <w:noProof/>
                        <w:webHidden/>
                      </w:rPr>
                      <w:fldChar w:fldCharType="separate"/>
                    </w:r>
                    <w:r>
                      <w:rPr>
                        <w:noProof/>
                        <w:webHidden/>
                      </w:rPr>
                      <w:t>22</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21" w:history="1">
                    <w:r w:rsidRPr="009953AF">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_Toc17467221 \h </w:instrText>
                    </w:r>
                    <w:r>
                      <w:rPr>
                        <w:noProof/>
                        <w:webHidden/>
                      </w:rPr>
                    </w:r>
                    <w:r>
                      <w:rPr>
                        <w:noProof/>
                        <w:webHidden/>
                      </w:rPr>
                      <w:fldChar w:fldCharType="separate"/>
                    </w:r>
                    <w:r>
                      <w:rPr>
                        <w:noProof/>
                        <w:webHidden/>
                      </w:rPr>
                      <w:t>26</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22" w:history="1">
                    <w:r w:rsidRPr="009953AF">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_Toc17467222 \h </w:instrText>
                    </w:r>
                    <w:r>
                      <w:rPr>
                        <w:noProof/>
                        <w:webHidden/>
                      </w:rPr>
                    </w:r>
                    <w:r>
                      <w:rPr>
                        <w:noProof/>
                        <w:webHidden/>
                      </w:rPr>
                      <w:fldChar w:fldCharType="separate"/>
                    </w:r>
                    <w:r>
                      <w:rPr>
                        <w:noProof/>
                        <w:webHidden/>
                      </w:rPr>
                      <w:t>26</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23" w:history="1">
                    <w:r w:rsidRPr="009953AF">
                      <w:rPr>
                        <w:rStyle w:val="af0"/>
                        <w:rFonts w:ascii="黑体" w:hint="eastAsia"/>
                        <w:noProof/>
                      </w:rPr>
                      <w:t>六、</w:t>
                    </w:r>
                    <w:r w:rsidRPr="009953AF">
                      <w:rPr>
                        <w:rStyle w:val="af0"/>
                        <w:rFonts w:ascii="黑体"/>
                        <w:noProof/>
                      </w:rPr>
                      <w:t>D</w:t>
                    </w:r>
                    <w:r w:rsidRPr="009953AF">
                      <w:rPr>
                        <w:rStyle w:val="af0"/>
                        <w:rFonts w:ascii="黑体" w:hint="eastAsia"/>
                        <w:noProof/>
                      </w:rPr>
                      <w:t>系列特种溶剂油</w:t>
                    </w:r>
                    <w:r>
                      <w:rPr>
                        <w:noProof/>
                        <w:webHidden/>
                      </w:rPr>
                      <w:tab/>
                    </w:r>
                    <w:r>
                      <w:rPr>
                        <w:noProof/>
                        <w:webHidden/>
                      </w:rPr>
                      <w:fldChar w:fldCharType="begin"/>
                    </w:r>
                    <w:r>
                      <w:rPr>
                        <w:noProof/>
                        <w:webHidden/>
                      </w:rPr>
                      <w:instrText xml:space="preserve"> PAGEREF _Toc17467223 \h </w:instrText>
                    </w:r>
                    <w:r>
                      <w:rPr>
                        <w:noProof/>
                        <w:webHidden/>
                      </w:rPr>
                    </w:r>
                    <w:r>
                      <w:rPr>
                        <w:noProof/>
                        <w:webHidden/>
                      </w:rPr>
                      <w:fldChar w:fldCharType="separate"/>
                    </w:r>
                    <w:r>
                      <w:rPr>
                        <w:noProof/>
                        <w:webHidden/>
                      </w:rPr>
                      <w:t>33</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24" w:history="1">
                    <w:r w:rsidRPr="009953AF">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_Toc17467224 \h </w:instrText>
                    </w:r>
                    <w:r>
                      <w:rPr>
                        <w:noProof/>
                        <w:webHidden/>
                      </w:rPr>
                    </w:r>
                    <w:r>
                      <w:rPr>
                        <w:noProof/>
                        <w:webHidden/>
                      </w:rPr>
                      <w:fldChar w:fldCharType="separate"/>
                    </w:r>
                    <w:r>
                      <w:rPr>
                        <w:noProof/>
                        <w:webHidden/>
                      </w:rPr>
                      <w:t>38</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25" w:history="1">
                    <w:r w:rsidRPr="009953AF">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_Toc17467225 \h </w:instrText>
                    </w:r>
                    <w:r>
                      <w:rPr>
                        <w:noProof/>
                        <w:webHidden/>
                      </w:rPr>
                    </w:r>
                    <w:r>
                      <w:rPr>
                        <w:noProof/>
                        <w:webHidden/>
                      </w:rPr>
                      <w:fldChar w:fldCharType="separate"/>
                    </w:r>
                    <w:r>
                      <w:rPr>
                        <w:noProof/>
                        <w:webHidden/>
                      </w:rPr>
                      <w:t>44</w:t>
                    </w:r>
                    <w:r>
                      <w:rPr>
                        <w:noProof/>
                        <w:webHidden/>
                      </w:rPr>
                      <w:fldChar w:fldCharType="end"/>
                    </w:r>
                  </w:hyperlink>
                </w:p>
                <w:p w:rsidR="009D1533" w:rsidRDefault="009D1533">
                  <w:pPr>
                    <w:pStyle w:val="10"/>
                    <w:rPr>
                      <w:rFonts w:asciiTheme="minorHAnsi" w:eastAsiaTheme="minorEastAsia" w:hAnsiTheme="minorHAnsi" w:cstheme="minorBidi"/>
                      <w:b w:val="0"/>
                      <w:bCs w:val="0"/>
                      <w:caps w:val="0"/>
                      <w:noProof/>
                      <w:color w:val="auto"/>
                      <w:sz w:val="21"/>
                      <w:szCs w:val="22"/>
                    </w:rPr>
                  </w:pPr>
                  <w:hyperlink w:anchor="_Toc17467226" w:history="1">
                    <w:r w:rsidRPr="009953AF">
                      <w:rPr>
                        <w:rStyle w:val="af0"/>
                        <w:rFonts w:ascii="华文仿宋" w:eastAsia="华文仿宋" w:hAnsi="华文仿宋" w:hint="eastAsia"/>
                        <w:noProof/>
                      </w:rPr>
                      <w:t>九、</w:t>
                    </w:r>
                    <w:r w:rsidRPr="009953AF">
                      <w:rPr>
                        <w:rStyle w:val="af0"/>
                        <w:rFonts w:ascii="华文仿宋" w:eastAsia="华文仿宋" w:hAnsi="华文仿宋"/>
                        <w:noProof/>
                      </w:rPr>
                      <w:t>2018</w:t>
                    </w:r>
                    <w:r w:rsidRPr="009953AF">
                      <w:rPr>
                        <w:rStyle w:val="af0"/>
                        <w:rFonts w:ascii="华文仿宋" w:eastAsia="华文仿宋" w:hAnsi="华文仿宋" w:hint="eastAsia"/>
                        <w:noProof/>
                      </w:rPr>
                      <w:t>年</w:t>
                    </w:r>
                    <w:r w:rsidRPr="009953AF">
                      <w:rPr>
                        <w:rStyle w:val="af0"/>
                        <w:rFonts w:ascii="华文仿宋" w:eastAsia="华文仿宋" w:hAnsi="华文仿宋"/>
                        <w:noProof/>
                      </w:rPr>
                      <w:t>11</w:t>
                    </w:r>
                    <w:r w:rsidRPr="009953AF">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_Toc17467226 \h </w:instrText>
                    </w:r>
                    <w:r>
                      <w:rPr>
                        <w:noProof/>
                        <w:webHidden/>
                      </w:rPr>
                    </w:r>
                    <w:r>
                      <w:rPr>
                        <w:noProof/>
                        <w:webHidden/>
                      </w:rPr>
                      <w:fldChar w:fldCharType="separate"/>
                    </w:r>
                    <w:r>
                      <w:rPr>
                        <w:noProof/>
                        <w:webHidden/>
                      </w:rPr>
                      <w:t>45</w:t>
                    </w:r>
                    <w:r>
                      <w:rPr>
                        <w:noProof/>
                        <w:webHidden/>
                      </w:rPr>
                      <w:fldChar w:fldCharType="end"/>
                    </w:r>
                  </w:hyperlink>
                </w:p>
                <w:p w:rsidR="00047AD4" w:rsidRDefault="00EF50FB">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27193"/>
      <w:bookmarkStart w:id="21" w:name="_Toc536797012"/>
      <w:bookmarkStart w:id="22" w:name="_Toc505350007"/>
      <w:bookmarkStart w:id="23" w:name="_Toc296600809"/>
      <w:bookmarkStart w:id="24" w:name="_Toc281568199"/>
      <w:bookmarkStart w:id="25" w:name="_Toc158203127"/>
      <w:bookmarkStart w:id="26" w:name="_Toc239847712"/>
      <w:bookmarkStart w:id="27" w:name="_Toc485828984"/>
      <w:bookmarkStart w:id="28" w:name="_Toc5976969"/>
      <w:bookmarkStart w:id="29" w:name="_Toc17467204"/>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9"/>
    </w:p>
    <w:p w:rsidR="00F6162F" w:rsidRDefault="00F6162F" w:rsidP="00F6162F">
      <w:pPr>
        <w:outlineLvl w:val="0"/>
        <w:rPr>
          <w:rFonts w:ascii="黑体" w:eastAsia="黑体" w:hAnsi="宋体" w:cs="Arial"/>
          <w:b/>
          <w:bCs/>
          <w:kern w:val="0"/>
          <w:sz w:val="30"/>
          <w:szCs w:val="30"/>
        </w:rPr>
      </w:pPr>
      <w:bookmarkStart w:id="30" w:name="_Toc4768329"/>
      <w:bookmarkStart w:id="31" w:name="_Toc1736576"/>
      <w:bookmarkStart w:id="32" w:name="_Toc5976951"/>
      <w:bookmarkStart w:id="33" w:name="_Toc4768349"/>
      <w:bookmarkStart w:id="34" w:name="_Toc5281976"/>
      <w:bookmarkStart w:id="35" w:name="_Toc2934039"/>
      <w:bookmarkStart w:id="36" w:name="_Toc5976971"/>
      <w:bookmarkStart w:id="37" w:name="_Toc2934018"/>
      <w:bookmarkStart w:id="38" w:name="_Toc504051935"/>
      <w:bookmarkStart w:id="39" w:name="_Toc4160079"/>
      <w:bookmarkStart w:id="40" w:name="_Toc10211758"/>
      <w:bookmarkStart w:id="41" w:name="_Toc15022873"/>
      <w:bookmarkStart w:id="42" w:name="_Toc15049630"/>
      <w:bookmarkStart w:id="43" w:name="_Toc15654572"/>
      <w:bookmarkStart w:id="44" w:name="_Toc16257695"/>
      <w:bookmarkStart w:id="45" w:name="_Toc16861047"/>
      <w:bookmarkStart w:id="46" w:name="_Toc17467205"/>
      <w:r>
        <w:rPr>
          <w:rFonts w:ascii="黑体" w:eastAsia="黑体" w:hAnsi="宋体" w:cs="Arial" w:hint="eastAsia"/>
          <w:b/>
          <w:bCs/>
          <w:kern w:val="0"/>
          <w:sz w:val="30"/>
          <w:szCs w:val="30"/>
        </w:rPr>
        <w:t>(一)、国际原油市场回顾</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47" w:name="_Toc15022874"/>
      <w:bookmarkStart w:id="48" w:name="_Toc15049631"/>
      <w:bookmarkStart w:id="49" w:name="_Toc15654573"/>
      <w:bookmarkStart w:id="50" w:name="_Toc16257696"/>
      <w:bookmarkStart w:id="51" w:name="_Toc16861048"/>
      <w:bookmarkStart w:id="52" w:name="_Toc17467206"/>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20"/>
      <w:bookmarkEnd w:id="47"/>
      <w:bookmarkEnd w:id="48"/>
      <w:bookmarkEnd w:id="49"/>
      <w:bookmarkEnd w:id="50"/>
      <w:bookmarkEnd w:id="51"/>
      <w:bookmarkEnd w:id="52"/>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D82BDA" w:rsidTr="00291266">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2BDA" w:rsidRDefault="00D82BDA" w:rsidP="00291266">
            <w:pPr>
              <w:widowControl/>
              <w:jc w:val="center"/>
              <w:textAlignment w:val="center"/>
              <w:rPr>
                <w:rFonts w:ascii="华文仿宋" w:eastAsia="华文仿宋" w:hAnsi="华文仿宋" w:cs="华文仿宋"/>
                <w:b/>
                <w:color w:val="000000"/>
                <w:sz w:val="28"/>
                <w:szCs w:val="28"/>
              </w:rPr>
            </w:pPr>
            <w:bookmarkStart w:id="53"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2BDA" w:rsidRDefault="00D82BDA" w:rsidP="0029126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2BDA" w:rsidRDefault="00D82BDA" w:rsidP="0029126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2BDA" w:rsidRDefault="00D82BDA" w:rsidP="0029126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D82BDA" w:rsidTr="00291266">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2019/8/21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55.68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60.3</w:t>
            </w:r>
          </w:p>
        </w:tc>
        <w:tc>
          <w:tcPr>
            <w:tcW w:w="5953" w:type="dxa"/>
            <w:tcBorders>
              <w:top w:val="single" w:sz="4" w:space="0" w:color="000000"/>
              <w:left w:val="single" w:sz="4" w:space="0" w:color="000000"/>
              <w:bottom w:val="single" w:sz="4" w:space="0" w:color="000000"/>
              <w:right w:val="single" w:sz="4" w:space="0" w:color="000000"/>
            </w:tcBorders>
            <w:vAlign w:val="center"/>
          </w:tcPr>
          <w:p w:rsidR="00D82BDA" w:rsidRPr="00C31FDD" w:rsidRDefault="00D82BDA" w:rsidP="00291266">
            <w:pPr>
              <w:rPr>
                <w:rFonts w:ascii="华文仿宋" w:eastAsia="华文仿宋" w:hAnsi="华文仿宋" w:cs="华文仿宋"/>
                <w:color w:val="333335"/>
                <w:sz w:val="28"/>
                <w:szCs w:val="28"/>
                <w:shd w:val="clear" w:color="auto" w:fill="FFFFFF"/>
              </w:rPr>
            </w:pPr>
            <w:r w:rsidRPr="00D73D0A">
              <w:rPr>
                <w:rFonts w:ascii="华文仿宋" w:eastAsia="华文仿宋" w:hAnsi="华文仿宋" w:cs="华文仿宋" w:hint="eastAsia"/>
                <w:color w:val="333335"/>
                <w:sz w:val="28"/>
                <w:szCs w:val="28"/>
                <w:shd w:val="clear" w:color="auto" w:fill="FFFFFF"/>
              </w:rPr>
              <w:t>美国EIA原油库存下降，但汽油与精炼油库存录得上涨</w:t>
            </w:r>
            <w:r>
              <w:rPr>
                <w:rFonts w:ascii="华文仿宋" w:eastAsia="华文仿宋" w:hAnsi="华文仿宋" w:cs="华文仿宋" w:hint="eastAsia"/>
                <w:color w:val="333335"/>
                <w:sz w:val="28"/>
                <w:szCs w:val="28"/>
                <w:shd w:val="clear" w:color="auto" w:fill="FFFFFF"/>
              </w:rPr>
              <w:t>。</w:t>
            </w:r>
          </w:p>
        </w:tc>
      </w:tr>
      <w:tr w:rsidR="00D82BDA" w:rsidTr="00291266">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2019/8/20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56.34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60.03</w:t>
            </w:r>
          </w:p>
        </w:tc>
        <w:tc>
          <w:tcPr>
            <w:tcW w:w="5953" w:type="dxa"/>
            <w:tcBorders>
              <w:top w:val="single" w:sz="4" w:space="0" w:color="000000"/>
              <w:left w:val="single" w:sz="4" w:space="0" w:color="000000"/>
              <w:bottom w:val="single" w:sz="4" w:space="0" w:color="000000"/>
              <w:right w:val="single" w:sz="4" w:space="0" w:color="000000"/>
            </w:tcBorders>
            <w:vAlign w:val="center"/>
          </w:tcPr>
          <w:p w:rsidR="00D82BDA" w:rsidRDefault="00D82BDA" w:rsidP="00291266">
            <w:pPr>
              <w:rPr>
                <w:rFonts w:ascii="华文仿宋" w:eastAsia="华文仿宋" w:hAnsi="华文仿宋" w:cs="华文仿宋"/>
                <w:color w:val="333335"/>
                <w:sz w:val="28"/>
                <w:szCs w:val="28"/>
                <w:shd w:val="clear" w:color="auto" w:fill="FFFFFF"/>
              </w:rPr>
            </w:pPr>
            <w:r w:rsidRPr="00C93052">
              <w:rPr>
                <w:rFonts w:ascii="华文仿宋" w:eastAsia="华文仿宋" w:hAnsi="华文仿宋" w:cs="华文仿宋" w:hint="eastAsia"/>
                <w:color w:val="333335"/>
                <w:sz w:val="28"/>
                <w:szCs w:val="28"/>
                <w:shd w:val="clear" w:color="auto" w:fill="FFFFFF"/>
              </w:rPr>
              <w:t>美国原油库存下降的预期提振油价，但上行空间仍受原油需求面忧虑的限制。</w:t>
            </w:r>
          </w:p>
        </w:tc>
      </w:tr>
      <w:tr w:rsidR="00D82BDA" w:rsidTr="00291266">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2019/8/19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56.21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59.74</w:t>
            </w:r>
          </w:p>
        </w:tc>
        <w:tc>
          <w:tcPr>
            <w:tcW w:w="5953" w:type="dxa"/>
            <w:tcBorders>
              <w:top w:val="single" w:sz="4" w:space="0" w:color="000000"/>
              <w:left w:val="single" w:sz="4" w:space="0" w:color="000000"/>
              <w:bottom w:val="single" w:sz="4" w:space="0" w:color="000000"/>
              <w:right w:val="single" w:sz="4" w:space="0" w:color="000000"/>
            </w:tcBorders>
            <w:vAlign w:val="center"/>
          </w:tcPr>
          <w:p w:rsidR="00D82BDA" w:rsidRDefault="00D82BDA" w:rsidP="00291266">
            <w:pPr>
              <w:rPr>
                <w:rFonts w:ascii="华文仿宋" w:eastAsia="华文仿宋" w:hAnsi="华文仿宋" w:cs="华文仿宋"/>
                <w:color w:val="333335"/>
                <w:sz w:val="28"/>
                <w:szCs w:val="28"/>
                <w:shd w:val="clear" w:color="auto" w:fill="FFFFFF"/>
              </w:rPr>
            </w:pPr>
            <w:r w:rsidRPr="00C93052">
              <w:rPr>
                <w:rFonts w:ascii="华文仿宋" w:eastAsia="华文仿宋" w:hAnsi="华文仿宋" w:cs="华文仿宋" w:hint="eastAsia"/>
                <w:color w:val="333335"/>
                <w:sz w:val="28"/>
                <w:szCs w:val="28"/>
                <w:shd w:val="clear" w:color="auto" w:fill="FFFFFF"/>
              </w:rPr>
              <w:t>沙特油田设施遭无人机攻击令市场对供应面临威胁的担忧增加，同时中美贸易紧张局势有所缓解为原油等风险资产提供支撑。</w:t>
            </w:r>
          </w:p>
        </w:tc>
      </w:tr>
      <w:tr w:rsidR="00D82BDA" w:rsidTr="00291266">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2019/8/16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54.87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58.64</w:t>
            </w:r>
          </w:p>
        </w:tc>
        <w:tc>
          <w:tcPr>
            <w:tcW w:w="5953" w:type="dxa"/>
            <w:tcBorders>
              <w:top w:val="single" w:sz="4" w:space="0" w:color="000000"/>
              <w:left w:val="single" w:sz="4" w:space="0" w:color="000000"/>
              <w:bottom w:val="single" w:sz="4" w:space="0" w:color="000000"/>
              <w:right w:val="single" w:sz="4" w:space="0" w:color="000000"/>
            </w:tcBorders>
            <w:vAlign w:val="bottom"/>
          </w:tcPr>
          <w:p w:rsidR="00D82BDA" w:rsidRDefault="00D82BDA" w:rsidP="00291266">
            <w:pPr>
              <w:rPr>
                <w:rFonts w:ascii="华文仿宋" w:eastAsia="华文仿宋" w:hAnsi="华文仿宋" w:cs="华文仿宋"/>
                <w:color w:val="333335"/>
                <w:sz w:val="28"/>
                <w:szCs w:val="28"/>
                <w:shd w:val="clear" w:color="auto" w:fill="FFFFFF"/>
              </w:rPr>
            </w:pPr>
            <w:r w:rsidRPr="00C93052">
              <w:rPr>
                <w:rFonts w:ascii="华文仿宋" w:eastAsia="华文仿宋" w:hAnsi="华文仿宋" w:cs="华文仿宋" w:hint="eastAsia"/>
                <w:color w:val="333335"/>
                <w:sz w:val="28"/>
                <w:szCs w:val="28"/>
                <w:shd w:val="clear" w:color="auto" w:fill="FFFFFF"/>
              </w:rPr>
              <w:t>OPEC下调原油需求增长预期并预测原油供应将再度过剩限制了油价的反弹幅度。</w:t>
            </w:r>
          </w:p>
        </w:tc>
      </w:tr>
      <w:tr w:rsidR="00D82BDA" w:rsidTr="00291266">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2019/8/15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54.47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2BDA" w:rsidRPr="00014BB6" w:rsidRDefault="00D82BDA" w:rsidP="00291266">
            <w:pPr>
              <w:jc w:val="center"/>
              <w:rPr>
                <w:rFonts w:ascii="华文仿宋" w:eastAsia="华文仿宋" w:hAnsi="华文仿宋" w:cs="华文仿宋"/>
                <w:color w:val="333335"/>
                <w:sz w:val="28"/>
                <w:szCs w:val="28"/>
                <w:shd w:val="clear" w:color="auto" w:fill="FFFFFF"/>
              </w:rPr>
            </w:pPr>
            <w:r w:rsidRPr="00014BB6">
              <w:rPr>
                <w:rFonts w:ascii="华文仿宋" w:eastAsia="华文仿宋" w:hAnsi="华文仿宋" w:cs="华文仿宋" w:hint="eastAsia"/>
                <w:color w:val="333335"/>
                <w:sz w:val="28"/>
                <w:szCs w:val="28"/>
                <w:shd w:val="clear" w:color="auto" w:fill="FFFFFF"/>
              </w:rPr>
              <w:t>58.23</w:t>
            </w:r>
          </w:p>
        </w:tc>
        <w:tc>
          <w:tcPr>
            <w:tcW w:w="5953" w:type="dxa"/>
            <w:tcBorders>
              <w:top w:val="single" w:sz="4" w:space="0" w:color="000000"/>
              <w:left w:val="single" w:sz="4" w:space="0" w:color="000000"/>
              <w:bottom w:val="single" w:sz="4" w:space="0" w:color="000000"/>
              <w:right w:val="single" w:sz="4" w:space="0" w:color="000000"/>
            </w:tcBorders>
            <w:vAlign w:val="bottom"/>
          </w:tcPr>
          <w:p w:rsidR="00D82BDA" w:rsidRDefault="00D82BDA" w:rsidP="00291266">
            <w:pPr>
              <w:rPr>
                <w:rFonts w:ascii="华文仿宋" w:eastAsia="华文仿宋" w:hAnsi="华文仿宋" w:cs="华文仿宋"/>
                <w:color w:val="333335"/>
                <w:sz w:val="28"/>
                <w:szCs w:val="28"/>
                <w:shd w:val="clear" w:color="auto" w:fill="FFFFFF"/>
              </w:rPr>
            </w:pPr>
            <w:r w:rsidRPr="00C93052">
              <w:rPr>
                <w:rFonts w:ascii="华文仿宋" w:eastAsia="华文仿宋" w:hAnsi="华文仿宋" w:cs="华文仿宋" w:hint="eastAsia"/>
                <w:color w:val="333335"/>
                <w:sz w:val="28"/>
                <w:szCs w:val="28"/>
                <w:shd w:val="clear" w:color="auto" w:fill="FFFFFF"/>
              </w:rPr>
              <w:t>美国原油库存利空以及原油需求受经济影响放缓的担忧令油价承压。</w:t>
            </w:r>
          </w:p>
        </w:tc>
      </w:tr>
    </w:tbl>
    <w:p w:rsidR="00294EAC" w:rsidRPr="00D82BDA"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54" w:name="_Toc15022875"/>
      <w:bookmarkStart w:id="55" w:name="_Toc15049632"/>
      <w:bookmarkStart w:id="56" w:name="_Toc15654574"/>
      <w:bookmarkStart w:id="57" w:name="_Toc16257697"/>
      <w:bookmarkStart w:id="58" w:name="_Toc16861049"/>
      <w:bookmarkStart w:id="59" w:name="_Toc17467207"/>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53"/>
      <w:bookmarkEnd w:id="54"/>
      <w:bookmarkEnd w:id="55"/>
      <w:bookmarkEnd w:id="56"/>
      <w:bookmarkEnd w:id="57"/>
      <w:bookmarkEnd w:id="58"/>
      <w:bookmarkEnd w:id="59"/>
    </w:p>
    <w:p w:rsidR="004727F6" w:rsidRPr="00294EAC" w:rsidRDefault="00D82BDA"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华文仿宋" w:eastAsia="华文仿宋" w:hAnsi="华文仿宋" w:cs="华文仿宋"/>
          <w:noProof/>
          <w:color w:val="333335"/>
          <w:sz w:val="28"/>
          <w:szCs w:val="28"/>
          <w:shd w:val="clear" w:color="auto" w:fill="FFFFFF"/>
        </w:rPr>
        <w:lastRenderedPageBreak/>
        <w:drawing>
          <wp:inline distT="0" distB="0" distL="0" distR="0">
            <wp:extent cx="4848225" cy="42354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48225" cy="423545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60" w:name="_Toc23356"/>
      <w:bookmarkStart w:id="61" w:name="_Toc15022876"/>
      <w:bookmarkStart w:id="62" w:name="_Toc15049633"/>
      <w:bookmarkStart w:id="63" w:name="_Toc15654575"/>
      <w:bookmarkStart w:id="64" w:name="_Toc16257698"/>
      <w:bookmarkStart w:id="65" w:name="_Toc16861050"/>
      <w:bookmarkStart w:id="66" w:name="_Toc17467208"/>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60"/>
      <w:bookmarkEnd w:id="61"/>
      <w:bookmarkEnd w:id="62"/>
      <w:bookmarkEnd w:id="63"/>
      <w:bookmarkEnd w:id="64"/>
      <w:bookmarkEnd w:id="65"/>
      <w:bookmarkEnd w:id="6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67" w:name="_Toc14938351"/>
      <w:bookmarkStart w:id="68" w:name="_Toc15022877"/>
      <w:bookmarkStart w:id="69" w:name="_Toc15049634"/>
      <w:bookmarkStart w:id="70" w:name="_Toc15654576"/>
      <w:bookmarkStart w:id="71" w:name="_Toc16257699"/>
      <w:bookmarkStart w:id="72" w:name="_Toc16861051"/>
      <w:bookmarkStart w:id="73" w:name="_Toc27878"/>
      <w:bookmarkStart w:id="74" w:name="_Toc17467209"/>
      <w:r>
        <w:rPr>
          <w:rFonts w:ascii="黑体" w:eastAsia="黑体" w:hAnsi="宋体" w:hint="eastAsia"/>
          <w:b/>
          <w:color w:val="000000"/>
          <w:sz w:val="28"/>
          <w:szCs w:val="28"/>
        </w:rPr>
        <w:t>1.美国原油库存情况</w:t>
      </w:r>
      <w:bookmarkEnd w:id="67"/>
      <w:bookmarkEnd w:id="68"/>
      <w:bookmarkEnd w:id="69"/>
      <w:bookmarkEnd w:id="70"/>
      <w:bookmarkEnd w:id="71"/>
      <w:bookmarkEnd w:id="72"/>
      <w:bookmarkEnd w:id="74"/>
      <w:r>
        <w:rPr>
          <w:rFonts w:ascii="黑体" w:eastAsia="黑体" w:hAnsi="宋体" w:hint="eastAsia"/>
          <w:b/>
          <w:color w:val="000000"/>
          <w:sz w:val="28"/>
          <w:szCs w:val="28"/>
        </w:rPr>
        <w:t xml:space="preserve"> </w:t>
      </w:r>
    </w:p>
    <w:p w:rsidR="006667CE" w:rsidRPr="00DE3CBA" w:rsidRDefault="00D82BDA" w:rsidP="00666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653754">
        <w:rPr>
          <w:rFonts w:ascii="华文仿宋" w:eastAsia="华文仿宋" w:hAnsi="华文仿宋" w:cs="华文仿宋"/>
          <w:color w:val="333335"/>
          <w:kern w:val="2"/>
          <w:sz w:val="28"/>
          <w:szCs w:val="28"/>
          <w:shd w:val="clear" w:color="auto" w:fill="FFFFFF"/>
        </w:rPr>
        <w:t>美国能源署(EIA)周三(8月14日)公布的数据显示，美国上周原油库存意外增加，因炼厂削减产出，而当周汽油和馏分油库存则下降。EIA公布，美国截至8月9日当周EIA原油库存变动实际增加158万桶，预期降低219万桶，前值增加238万桶;美国截至8月9日当周EIA汽油库存实际公布减少141.20万桶，预期增加61.6万桶，前值增加443.7万桶;美国截至8月9日当周EIA精炼油库存实际公布减少193.80万桶，预期增加87.5万桶，前值增加152.9万桶。EIA称，</w:t>
      </w:r>
      <w:r w:rsidRPr="00653754">
        <w:rPr>
          <w:rFonts w:ascii="华文仿宋" w:eastAsia="华文仿宋" w:hAnsi="华文仿宋" w:cs="华文仿宋"/>
          <w:color w:val="333335"/>
          <w:kern w:val="2"/>
          <w:sz w:val="28"/>
          <w:szCs w:val="28"/>
          <w:shd w:val="clear" w:color="auto" w:fill="FFFFFF"/>
        </w:rPr>
        <w:lastRenderedPageBreak/>
        <w:t>俄克拉荷马库欣仓库的原油库存减少250万桶。美国石油协会(API)公布的数据显示，美国截至8月9日当周API原油库存增加370万桶，预期减少276.1万桶;汽油库存增加370万桶;精炼油库存减少130万桶</w:t>
      </w:r>
      <w:r w:rsidR="006667CE" w:rsidRPr="00DE3CBA">
        <w:rPr>
          <w:rFonts w:ascii="华文仿宋" w:eastAsia="华文仿宋" w:hAnsi="华文仿宋" w:cs="华文仿宋" w:hint="eastAsia"/>
          <w:color w:val="333335"/>
          <w:kern w:val="2"/>
          <w:sz w:val="28"/>
          <w:szCs w:val="28"/>
          <w:shd w:val="clear" w:color="auto" w:fill="FFFFFF"/>
        </w:rPr>
        <w:t>。</w:t>
      </w:r>
    </w:p>
    <w:p w:rsidR="00F6162F" w:rsidRPr="006667CE"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75" w:name="_Toc14938352"/>
      <w:bookmarkStart w:id="76" w:name="_Toc15022878"/>
      <w:bookmarkStart w:id="77" w:name="_Toc15049635"/>
      <w:bookmarkStart w:id="78" w:name="_Toc15654577"/>
      <w:bookmarkStart w:id="79" w:name="_Toc16257700"/>
      <w:bookmarkStart w:id="80" w:name="_Toc16861052"/>
      <w:bookmarkStart w:id="81" w:name="_Toc17467210"/>
      <w:r>
        <w:rPr>
          <w:rFonts w:ascii="黑体" w:eastAsia="黑体" w:hint="eastAsia"/>
          <w:b/>
          <w:sz w:val="28"/>
          <w:szCs w:val="28"/>
        </w:rPr>
        <w:t>2.美国经济形势</w:t>
      </w:r>
      <w:bookmarkEnd w:id="75"/>
      <w:bookmarkEnd w:id="76"/>
      <w:bookmarkEnd w:id="77"/>
      <w:bookmarkEnd w:id="78"/>
      <w:bookmarkEnd w:id="79"/>
      <w:bookmarkEnd w:id="80"/>
      <w:bookmarkEnd w:id="81"/>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82" w:name="_Toc14938353"/>
      <w:bookmarkStart w:id="83" w:name="_Toc15022879"/>
      <w:bookmarkStart w:id="84" w:name="_Toc15049636"/>
      <w:bookmarkStart w:id="85" w:name="_Toc15654578"/>
      <w:bookmarkStart w:id="86" w:name="_Toc16257701"/>
      <w:r w:rsidRPr="00DE3CBA">
        <w:rPr>
          <w:rFonts w:ascii="华文仿宋" w:eastAsia="华文仿宋" w:hAnsi="华文仿宋" w:cs="华文仿宋" w:hint="eastAsia"/>
          <w:color w:val="333335"/>
          <w:kern w:val="2"/>
          <w:sz w:val="28"/>
          <w:szCs w:val="28"/>
          <w:shd w:val="clear" w:color="auto" w:fill="FFFFFF"/>
        </w:rPr>
        <w:t>本周</w:t>
      </w:r>
      <w:r w:rsidRPr="009A584D">
        <w:rPr>
          <w:rFonts w:ascii="华文仿宋" w:eastAsia="华文仿宋" w:hAnsi="华文仿宋" w:cs="华文仿宋"/>
          <w:color w:val="333335"/>
          <w:kern w:val="2"/>
          <w:sz w:val="28"/>
          <w:szCs w:val="28"/>
          <w:shd w:val="clear" w:color="auto" w:fill="FFFFFF"/>
        </w:rPr>
        <w:t>由于零售商塔吉特和劳氏业绩超预期，短暂消除了人们对经济衰退的部分担忧，美股攀升。因会议纪要未表明美联储准备大幅降息，美国股市收窄涨幅。</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截至收盘，道指上涨240.29点，报26202.73点，涨幅为0.9%;标普500上涨23.92点，报2924.43点，涨幅为0.8%;纳指上涨71.65点，报8020.21点，涨幅为0.9%。</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在美联储公布最近一次政策会议的会议纪要后，期货市场对今年美联储政策宽松幅度的预期几乎没有变化。</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1月联邦基金期货显示2019年底利率料在1.49%，会议纪要发布前夕为1.485%。有效联邦基金利率目前为2.13%，意味着市场预期今年美联储还将降息近65个基点。</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联邦基金期货显示，市场预期9月底之前有超过25个基点的降息，到明年8月底有1整个百分点的降息。</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lastRenderedPageBreak/>
        <w:t>会议上虽然一些委员赞成降息50个基点，但也有部分与会者希望维持利率不变。双方的观点力度两相平衡，使此次纪要公布对市场的影响中性。而且在7月议息会议之后，内外部形势又有了新的发展，这份会议纪要其实已经“过时”了。</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金融博客零对冲表示，美联储会议纪要中提及“资产购买”不少于6次，美联储明确表明，在标普500指数低于历史高位不到5%的时候，FOMC就已经在考虑下一轮QE了，多位委员表示，美联储过去十年本可以更激进地使用QE。</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零对冲写道，美联储为何要转向QE?这是因为其它央行都在这么做;此外纪要中还不下15次地提及有效下限(EffectiveLowerBound)，有效下限是负利率政策的核心代号;由此可见特朗普应该继续维持其对鲍威尔的高压政策，因为这看起来似乎已经在起作用。</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因业绩好于预期，折扣零售商塔吉特股价创下历史新高，该公司的业绩为分析师提供了进一步的证据，证明实体店和在线销售的结合是有价值的。</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家居装修零售商劳氏的业绩也十分亮丽。该公司第二季度净利润从15.2亿美元增至16.8亿美元，合每股收益2.14美元，销售额增长0.5%，至209.9亿美元。</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塔吉特、劳氏和家得宝等公司的业绩至少暂时缓解了市场对美国经济的担忧。</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lastRenderedPageBreak/>
        <w:t>另外，美国总统特朗普周三收回了他此前关于财政刺激的言论，称他不打算通过将资本利得挂钩指数来减税，因为这样做会被视为“有点精英主义”，会让富人受益。</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经济数据面</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美国全国房地产经纪商协会周三报告，美国7月二手房销售同比增长2.5%，按年计为542万套，高于540万套的预测中值。</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意大利总理孔特周二辞职后，一个潜在的中左翼联合政府的出现似乎降低了提前举行大选的可能性。意大利10年期国债收益率下跌2个基点，至1.333%。</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其他市场</w:t>
      </w:r>
    </w:p>
    <w:p w:rsidR="00CB0B36" w:rsidRPr="00DE3CBA" w:rsidRDefault="00D82BDA" w:rsidP="00D82BDA">
      <w:pPr>
        <w:pStyle w:val="aa"/>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WTI10月原油期货收跌0.45美元，跌幅0.80%，报55.68美元/桶</w:t>
      </w:r>
      <w:r w:rsidR="00CB0B36" w:rsidRPr="00DE3CBA">
        <w:rPr>
          <w:rFonts w:ascii="华文仿宋" w:eastAsia="华文仿宋" w:hAnsi="华文仿宋" w:cs="华文仿宋" w:hint="eastAsia"/>
          <w:color w:val="333335"/>
          <w:kern w:val="2"/>
          <w:sz w:val="28"/>
          <w:szCs w:val="28"/>
          <w:shd w:val="clear" w:color="auto" w:fill="FFFFFF"/>
        </w:rPr>
        <w:t>。</w:t>
      </w:r>
    </w:p>
    <w:p w:rsidR="00F6162F" w:rsidRDefault="00F6162F" w:rsidP="00F6162F">
      <w:pPr>
        <w:pStyle w:val="aa"/>
        <w:ind w:firstLineChars="200" w:firstLine="643"/>
        <w:outlineLvl w:val="1"/>
        <w:rPr>
          <w:rFonts w:cs="Arial"/>
          <w:b/>
          <w:bCs/>
          <w:sz w:val="32"/>
          <w:szCs w:val="32"/>
        </w:rPr>
      </w:pPr>
      <w:bookmarkStart w:id="87" w:name="_Toc16861053"/>
      <w:bookmarkStart w:id="88" w:name="_Toc17467211"/>
      <w:r>
        <w:rPr>
          <w:rFonts w:cs="Arial" w:hint="eastAsia"/>
          <w:b/>
          <w:bCs/>
          <w:sz w:val="32"/>
          <w:szCs w:val="32"/>
        </w:rPr>
        <w:t>3.世界经济形势</w:t>
      </w:r>
      <w:bookmarkEnd w:id="82"/>
      <w:bookmarkEnd w:id="83"/>
      <w:bookmarkEnd w:id="84"/>
      <w:bookmarkEnd w:id="85"/>
      <w:bookmarkEnd w:id="86"/>
      <w:bookmarkEnd w:id="87"/>
      <w:bookmarkEnd w:id="88"/>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8月22日消息，摩根士丹利表示，随着制造业疲弱开始蔓延，一些全球经济体的下行趋势正变得具有传染性。摩根士丹利警告客户，“经济放缓的车轮正在转动。”</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“尽管我们一直在下调增长预测，但我们仍然强调，风险仍明显偏向下行，”该行首席经济学家Chetan Ahya在周二发布的一份报告中警告称，“我们预计，如果贸易紧张局势进一步升级……将在三个季度内陷入全球经济衰退(即全球经济增速低于2.5%)。”</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lastRenderedPageBreak/>
        <w:t>Ahya补充说，金融环境趋紧的风险很高，而且还在上升，这将引发全球经济衰退。</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这位经济学家写道，尽管有人声称美国仍是全球经济减速的一个例外，但国际经济放缓的影响已经渗透到美国的数据中。 Ahya强调了过去7个月非农就业数据“动能明显减弱”，7月份的6个月平均就业人数从1月份的23.4万人降至14.1万人。</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最近的制造业晴雨表也令人担忧。7月份IHS Markit制造业采购经理人指数(PMI)从6月份的50.6降至50.4，为2009年9月以来的最低水平。PMI高于50表示经济处于扩张状态，低于50表示收缩。</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IHS Markit首席商业经济学家克里斯-威廉姆森于8月1日表示，“国内企业支出下降和出口下滑是经济衰退的主要驱动因素，随着前景变得更加黯淡，企业会加大削减支出力度。”美国制造商对未来一年产出的预期已降至自2012年首次发布可比数据以来的最低水平。</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该报告中的就业指标跌至2013年7月以来的最低水平。</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摩根士丹利报告显示，如果贸易阻力不减弱，企业投资和其他劳动力市场指标可能会进一步下滑。</w:t>
      </w:r>
    </w:p>
    <w:p w:rsidR="00D82BDA" w:rsidRPr="009A584D"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t>“关税上涨可能会加剧企业利润率和盈利能力目前面临的下行压力。因此，企业可能很快进入下一阶段，削减招聘，“Ahya补充道，“事实上，股市波动在一定程度上推动了8月份消费者信心下降。”</w:t>
      </w:r>
    </w:p>
    <w:p w:rsidR="00CB0B36" w:rsidRPr="005B2D04" w:rsidRDefault="00D82BDA" w:rsidP="00D82BDA">
      <w:pPr>
        <w:pStyle w:val="aa"/>
        <w:ind w:firstLineChars="200" w:firstLine="560"/>
        <w:rPr>
          <w:rFonts w:ascii="华文仿宋" w:eastAsia="华文仿宋" w:hAnsi="华文仿宋" w:cs="华文仿宋"/>
          <w:color w:val="333335"/>
          <w:kern w:val="2"/>
          <w:sz w:val="28"/>
          <w:szCs w:val="28"/>
          <w:shd w:val="clear" w:color="auto" w:fill="FFFFFF"/>
        </w:rPr>
      </w:pPr>
      <w:r w:rsidRPr="009A584D">
        <w:rPr>
          <w:rFonts w:ascii="华文仿宋" w:eastAsia="华文仿宋" w:hAnsi="华文仿宋" w:cs="华文仿宋"/>
          <w:color w:val="333335"/>
          <w:kern w:val="2"/>
          <w:sz w:val="28"/>
          <w:szCs w:val="28"/>
          <w:shd w:val="clear" w:color="auto" w:fill="FFFFFF"/>
        </w:rPr>
        <w:lastRenderedPageBreak/>
        <w:t>到目前为止，8月份是美国股市近年来最动荡的月份之一，标准普尔500指数有一半以上的交易日波动幅度在1%以上。尽管标准普尔500种股票指数今年以来上涨了超15%，但由于投资者担忧市场最新的经济衰退预警，该指数本月累计下跌了2.5%以上</w:t>
      </w:r>
      <w:r>
        <w:rPr>
          <w:rFonts w:ascii="华文仿宋" w:eastAsia="华文仿宋" w:hAnsi="华文仿宋" w:cs="华文仿宋" w:hint="eastAsia"/>
          <w:color w:val="333335"/>
          <w:kern w:val="2"/>
          <w:sz w:val="28"/>
          <w:szCs w:val="28"/>
          <w:shd w:val="clear" w:color="auto" w:fill="FFFFFF"/>
        </w:rPr>
        <w:t>。</w:t>
      </w:r>
    </w:p>
    <w:p w:rsidR="00F6162F" w:rsidRDefault="00F6162F" w:rsidP="00F6162F">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89" w:name="_Toc15022880"/>
      <w:bookmarkStart w:id="90" w:name="_Toc15049637"/>
      <w:bookmarkStart w:id="91" w:name="_Toc15654579"/>
      <w:bookmarkStart w:id="92" w:name="_Toc16257702"/>
      <w:bookmarkStart w:id="93" w:name="_Toc16861054"/>
      <w:bookmarkStart w:id="94" w:name="_Toc17467212"/>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73"/>
      <w:bookmarkEnd w:id="89"/>
      <w:bookmarkEnd w:id="90"/>
      <w:bookmarkEnd w:id="91"/>
      <w:bookmarkEnd w:id="92"/>
      <w:bookmarkEnd w:id="93"/>
      <w:bookmarkEnd w:id="94"/>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喀</w:t>
            </w:r>
            <w:r>
              <w:rPr>
                <w:rFonts w:ascii="华文仿宋" w:eastAsia="华文仿宋" w:hAnsi="华文仿宋" w:cs="Helvetica" w:hint="eastAsia"/>
                <w:color w:val="333333"/>
                <w:kern w:val="0"/>
                <w:sz w:val="28"/>
                <w:szCs w:val="28"/>
              </w:rPr>
              <w:lastRenderedPageBreak/>
              <w:t>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越</w:t>
            </w:r>
            <w:r>
              <w:rPr>
                <w:rFonts w:ascii="华文仿宋" w:eastAsia="华文仿宋" w:hAnsi="华文仿宋" w:cs="Helvetica" w:hint="eastAsia"/>
                <w:color w:val="333333"/>
                <w:kern w:val="0"/>
                <w:sz w:val="28"/>
                <w:szCs w:val="28"/>
              </w:rPr>
              <w:lastRenderedPageBreak/>
              <w:t>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伊</w:t>
            </w:r>
            <w:r>
              <w:rPr>
                <w:rFonts w:ascii="华文仿宋" w:eastAsia="华文仿宋" w:hAnsi="华文仿宋" w:cs="Helvetica" w:hint="eastAsia"/>
                <w:color w:val="333333"/>
                <w:kern w:val="0"/>
                <w:sz w:val="28"/>
                <w:szCs w:val="28"/>
              </w:rPr>
              <w:lastRenderedPageBreak/>
              <w:t>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w:t>
            </w:r>
            <w:r>
              <w:rPr>
                <w:rFonts w:ascii="华文仿宋" w:eastAsia="华文仿宋" w:hAnsi="华文仿宋" w:cs="Helvetica" w:hint="eastAsia"/>
                <w:color w:val="333333"/>
                <w:kern w:val="0"/>
                <w:sz w:val="28"/>
                <w:szCs w:val="28"/>
              </w:rPr>
              <w:lastRenderedPageBreak/>
              <w:t>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w:t>
            </w:r>
            <w:r>
              <w:rPr>
                <w:rFonts w:ascii="华文仿宋" w:eastAsia="华文仿宋" w:hAnsi="华文仿宋" w:cs="Helvetica" w:hint="eastAsia"/>
                <w:color w:val="333333"/>
                <w:kern w:val="0"/>
                <w:sz w:val="28"/>
                <w:szCs w:val="28"/>
              </w:rPr>
              <w:lastRenderedPageBreak/>
              <w:t>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95" w:name="_Toc19701"/>
      <w:bookmarkStart w:id="96" w:name="_Toc15022881"/>
      <w:bookmarkStart w:id="97" w:name="_Toc15049638"/>
      <w:bookmarkStart w:id="98" w:name="_Toc15654580"/>
      <w:bookmarkStart w:id="99" w:name="_Toc16257703"/>
      <w:bookmarkStart w:id="100" w:name="_Toc16861055"/>
      <w:bookmarkStart w:id="101" w:name="_Toc17467213"/>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95"/>
      <w:bookmarkEnd w:id="96"/>
      <w:bookmarkEnd w:id="97"/>
      <w:bookmarkEnd w:id="98"/>
      <w:bookmarkEnd w:id="99"/>
      <w:bookmarkEnd w:id="100"/>
      <w:bookmarkEnd w:id="101"/>
    </w:p>
    <w:p w:rsidR="00D82BDA" w:rsidRPr="008D47B7" w:rsidRDefault="00D82BDA" w:rsidP="00D82BD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02" w:name="_Toc2934025"/>
      <w:bookmarkStart w:id="103" w:name="_Toc2934046"/>
      <w:bookmarkStart w:id="104" w:name="_Toc1736583"/>
      <w:bookmarkStart w:id="105" w:name="_Toc4160086"/>
      <w:bookmarkStart w:id="106" w:name="_Toc4768336"/>
      <w:bookmarkStart w:id="107" w:name="_Toc5976978"/>
      <w:bookmarkStart w:id="108" w:name="_Toc5281983"/>
      <w:bookmarkStart w:id="109" w:name="_Toc4768356"/>
      <w:bookmarkStart w:id="110" w:name="_Toc5976958"/>
      <w:bookmarkStart w:id="111" w:name="_Toc10211767"/>
      <w:bookmarkStart w:id="112" w:name="_Toc10731579"/>
      <w:bookmarkStart w:id="113" w:name="_Toc12625691"/>
      <w:bookmarkStart w:id="114" w:name="_Toc12625781"/>
      <w:bookmarkStart w:id="115" w:name="_Toc15022882"/>
      <w:bookmarkStart w:id="116" w:name="_Toc15049639"/>
      <w:bookmarkStart w:id="117" w:name="_Toc15654581"/>
      <w:bookmarkStart w:id="118" w:name="_Toc16257704"/>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4</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47</w:t>
      </w:r>
      <w:r w:rsidRPr="00DE3CBA">
        <w:rPr>
          <w:rFonts w:ascii="华文仿宋" w:eastAsia="华文仿宋" w:hAnsi="华文仿宋" w:cs="华文仿宋" w:hint="eastAsia"/>
          <w:color w:val="333335"/>
          <w:kern w:val="2"/>
          <w:sz w:val="28"/>
          <w:szCs w:val="28"/>
          <w:shd w:val="clear" w:color="auto" w:fill="FFFFFF"/>
        </w:rPr>
        <w:t>- 5</w:t>
      </w:r>
      <w:r>
        <w:rPr>
          <w:rFonts w:ascii="华文仿宋" w:eastAsia="华文仿宋" w:hAnsi="华文仿宋" w:cs="华文仿宋" w:hint="eastAsia"/>
          <w:color w:val="333335"/>
          <w:kern w:val="2"/>
          <w:sz w:val="28"/>
          <w:szCs w:val="28"/>
          <w:shd w:val="clear" w:color="auto" w:fill="FFFFFF"/>
        </w:rPr>
        <w:t>6</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34</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58</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23</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60</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3</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上升走</w:t>
      </w:r>
      <w:r w:rsidRPr="00DE3CBA">
        <w:rPr>
          <w:rFonts w:ascii="华文仿宋" w:eastAsia="华文仿宋" w:hAnsi="华文仿宋" w:cs="华文仿宋" w:hint="eastAsia"/>
          <w:color w:val="333335"/>
          <w:kern w:val="2"/>
          <w:sz w:val="28"/>
          <w:szCs w:val="28"/>
          <w:shd w:val="clear" w:color="auto" w:fill="FFFFFF"/>
        </w:rPr>
        <w:t>势。</w:t>
      </w:r>
      <w:r w:rsidRPr="00D916A9">
        <w:rPr>
          <w:rFonts w:ascii="华文仿宋" w:eastAsia="华文仿宋" w:hAnsi="华文仿宋" w:cs="华文仿宋"/>
          <w:color w:val="333335"/>
          <w:kern w:val="2"/>
          <w:sz w:val="28"/>
          <w:szCs w:val="28"/>
          <w:shd w:val="clear" w:color="auto" w:fill="FFFFFF"/>
        </w:rPr>
        <w:t>虽然上周美国原油库存降幅超过预期，但美联储会议纪要令降息预期适度降温，这令油价反弹空间受限。美国WTI原油期货价格盘中最低触及55.82美元/桶，布伦特原油期货价格盘中最高触及61.41美元/桶。基本面利好因素：美国能源信息署(EIA)周三(8月21日)公布报告显示，截至8月16日当周，美国原油库存减少273.2万桶至4.378亿桶，市场预估为减少188.9万桶。更多数据显示，上周俄克拉荷马州库欣原油库存减少248.5万桶，连续7周录得下滑。此外，上周美国国内原油产量继续持平于1230万桶/日。据《华盛顿邮报》19日报道，美国商务部长罗斯宣布，该部门将把华为购买美国产品的“临时许可证”再延长90天，截止日期大约是11月19日。不过证券时报报道，8月19日晚间，华为针对美国商务部延期“临时通用许可证”做出声明，表示反对美国商务部将另外46家华为实体列入实体清单，美国选择在这</w:t>
      </w:r>
      <w:r w:rsidRPr="00D916A9">
        <w:rPr>
          <w:rFonts w:ascii="华文仿宋" w:eastAsia="华文仿宋" w:hAnsi="华文仿宋" w:cs="华文仿宋"/>
          <w:color w:val="333335"/>
          <w:kern w:val="2"/>
          <w:sz w:val="28"/>
          <w:szCs w:val="28"/>
          <w:shd w:val="clear" w:color="auto" w:fill="FFFFFF"/>
        </w:rPr>
        <w:lastRenderedPageBreak/>
        <w:t>个时间点做出这个决定，再次证明该决定是政治驱动的结果，与美国国家安全毫无关系。美国油服公司贝克休斯(Baker Hughes)周五(8月16日)公布数据显示，截至8月16日当周，美国石油活跃钻井数增加6座至770座，7周来首次录得增长且创4月来最大单周增幅。美国石油活跃钻井数7月累计减少了17座，为3月来最大降幅。连续八个月录得减少创2016年5月以来最长月线连降周期，当时曾连续九个月录得减少。6月减少7座，而5月减少5座。因美国油企开始减少新钻井的建造，从而将注意力转向盈利增长而非产量增长。科威特石油部长法迪勒(Khaled al-Fadhel)周一(8月12日)发表讲话称，该国已经“完全履行”减产承诺，目前的减产幅度远高于承诺的规模。法迪勒指出：“7月科威特减产执行率已经高达160%。”与此同时，他认为市场对全球经济放缓拖累原油需求表现的担忧“被夸大了”，相信下半年全球原油需求将会抬头，有助于逐步削减库存水平。作为石油输出国组织(OPEC)最大产油国，近来数月沙特原油出口一直不足700万桶/日，并明确表态7月和8月该国原油出口将会继续低于700万桶/日，从而“避免原油库存的不断攀升，尤其是在当前供应过剩的情况下”。对于8月和9月，沙特也表示会继续限制出口，从而降低供应过剩水平。虽然OPEC减产行动稳步推进，但全球经济放缓迹象愈发明显以及贸易局势紧张化，均令原油需求前景悲观。基本面利空因素：备受关注的美联储7月会议纪要最终公布，纪要显示此次降息决定是美联储官员一致同意。不过再次证明决策者将此次降息视为“周期中期调整”。这令市场对美联储进一步降息的预期下降，部分分析师甚至认为在FOMC会议纪要公布之后，美联储可能不太会再降息。美国能源信息署(EIA)周三(8月21日)公布报告显示，截至8月16日当周，美国精炼油库存增加261万桶，市场预估为增加58.4万桶。美国汽油库存增加31.2万桶，市场预估为增加6.9万</w:t>
      </w:r>
      <w:r w:rsidRPr="00D916A9">
        <w:rPr>
          <w:rFonts w:ascii="华文仿宋" w:eastAsia="华文仿宋" w:hAnsi="华文仿宋" w:cs="华文仿宋"/>
          <w:color w:val="333335"/>
          <w:kern w:val="2"/>
          <w:sz w:val="28"/>
          <w:szCs w:val="28"/>
          <w:shd w:val="clear" w:color="auto" w:fill="FFFFFF"/>
        </w:rPr>
        <w:lastRenderedPageBreak/>
        <w:t>桶。石油输出国组织(OPEC)周五(8月16日)发布最新月报指出，经济放缓忧虑将在2019年内成为原油需求面的重大威胁，同时非OPEC产油国产量持续攀升也将在2020年带来供应过剩压力。在最新月报中，OPEC将2019年全球原油需求增长预期下调4万桶/日至110万桶/日，并指出2020年恐重新陷入供应过剩局面。美国2年期和10年期国债收益率曲线自2007年来首次出现倒挂，引发市场对美国经济即将陷入衰退的担忧。同时国际货币基金组织(IMF)近期也再次下调了对全球经济增长的预期，因中美贸易争端仍在继续，英国退欧担忧挥之不去，通胀依然温和。IMF在周二发布的一份报告中表示，2019年全球经济预计将增长3.2%。修正后的经济增长数据比IMF 4月份的预测低0.1个百分点，也比IMF年初的增长预测低0.3个百分点。国际能源署(IEA)周五(8月9日)发布最新月报显示，下调今明两年全球原油需求增速预期，因经济放缓迹象愈发明显以及中美贸易紧张关系带来利空影响。IEA目前预期2019年全球原油需求增速为110万桶/日，2020年为130万桶/日，较之前预期分别下调10万桶/日和5万桶/日</w:t>
      </w:r>
      <w:r w:rsidRPr="008D47B7">
        <w:rPr>
          <w:rFonts w:ascii="华文仿宋" w:eastAsia="华文仿宋" w:hAnsi="华文仿宋" w:cs="华文仿宋"/>
          <w:color w:val="333335"/>
          <w:kern w:val="2"/>
          <w:sz w:val="28"/>
          <w:szCs w:val="28"/>
          <w:shd w:val="clear" w:color="auto" w:fill="FFFFFF"/>
        </w:rPr>
        <w:t>。</w:t>
      </w:r>
    </w:p>
    <w:p w:rsidR="00CB0B36" w:rsidRPr="00C84381" w:rsidRDefault="00D82BDA" w:rsidP="00D82BDA">
      <w:pPr>
        <w:pStyle w:val="aa"/>
        <w:spacing w:line="360" w:lineRule="auto"/>
        <w:ind w:firstLineChars="200" w:firstLine="560"/>
        <w:rPr>
          <w:rFonts w:ascii="华文仿宋" w:eastAsia="华文仿宋" w:hAnsi="华文仿宋" w:cs="华文仿宋"/>
          <w:sz w:val="28"/>
          <w:szCs w:val="28"/>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3</w:t>
      </w:r>
      <w:r w:rsidRPr="00DE3CBA">
        <w:rPr>
          <w:rFonts w:ascii="华文仿宋" w:eastAsia="华文仿宋" w:hAnsi="华文仿宋" w:cs="华文仿宋" w:hint="eastAsia"/>
          <w:color w:val="333335"/>
          <w:kern w:val="2"/>
          <w:sz w:val="28"/>
          <w:szCs w:val="28"/>
          <w:shd w:val="clear" w:color="auto" w:fill="FFFFFF"/>
        </w:rPr>
        <w:t>-5</w:t>
      </w:r>
      <w:r>
        <w:rPr>
          <w:rFonts w:ascii="华文仿宋" w:eastAsia="华文仿宋" w:hAnsi="华文仿宋" w:cs="华文仿宋" w:hint="eastAsia"/>
          <w:color w:val="333335"/>
          <w:kern w:val="2"/>
          <w:sz w:val="28"/>
          <w:szCs w:val="28"/>
          <w:shd w:val="clear" w:color="auto" w:fill="FFFFFF"/>
        </w:rPr>
        <w:t>7</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61</w:t>
      </w:r>
      <w:r w:rsidRPr="00DE3CBA">
        <w:rPr>
          <w:rFonts w:ascii="华文仿宋" w:eastAsia="华文仿宋" w:hAnsi="华文仿宋" w:cs="华文仿宋" w:hint="eastAsia"/>
          <w:color w:val="333335"/>
          <w:kern w:val="2"/>
          <w:sz w:val="28"/>
          <w:szCs w:val="28"/>
          <w:shd w:val="clear" w:color="auto" w:fill="FFFFFF"/>
        </w:rPr>
        <w:t>美元/桶</w:t>
      </w:r>
      <w:r w:rsidR="00CB0B36" w:rsidRPr="00C84381">
        <w:rPr>
          <w:rFonts w:ascii="华文仿宋" w:eastAsia="华文仿宋" w:hAnsi="华文仿宋" w:cs="华文仿宋" w:hint="eastAsia"/>
          <w:sz w:val="28"/>
          <w:szCs w:val="28"/>
        </w:rPr>
        <w:t>。</w:t>
      </w:r>
    </w:p>
    <w:p w:rsidR="002F12E4" w:rsidRDefault="004F4F55">
      <w:pPr>
        <w:spacing w:line="360" w:lineRule="auto"/>
        <w:outlineLvl w:val="0"/>
        <w:rPr>
          <w:rFonts w:ascii="黑体" w:eastAsia="黑体" w:hAnsi="宋体"/>
          <w:b/>
          <w:sz w:val="28"/>
          <w:szCs w:val="28"/>
        </w:rPr>
      </w:pPr>
      <w:bookmarkStart w:id="119" w:name="_Toc16861056"/>
      <w:bookmarkStart w:id="120" w:name="_Toc17467214"/>
      <w:r>
        <w:rPr>
          <w:rFonts w:ascii="黑体" w:eastAsia="黑体" w:hAnsi="宋体" w:hint="eastAsia"/>
          <w:b/>
          <w:sz w:val="28"/>
          <w:szCs w:val="28"/>
        </w:rPr>
        <w:t>二、 石脑油</w:t>
      </w:r>
      <w:bookmarkEnd w:id="21"/>
      <w:bookmarkEnd w:id="2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F12E4" w:rsidRDefault="004F4F55">
      <w:pPr>
        <w:pStyle w:val="2"/>
        <w:spacing w:line="240" w:lineRule="auto"/>
        <w:rPr>
          <w:rFonts w:ascii="宋体" w:hAnsi="宋体" w:cs="Arial"/>
          <w:b w:val="0"/>
          <w:bCs w:val="0"/>
          <w:kern w:val="0"/>
          <w:szCs w:val="28"/>
        </w:rPr>
      </w:pPr>
      <w:bookmarkStart w:id="121" w:name="_Toc460250404"/>
      <w:bookmarkStart w:id="122" w:name="_Toc536797013"/>
      <w:bookmarkStart w:id="123" w:name="_Toc505350008"/>
      <w:bookmarkStart w:id="124" w:name="_Toc2934047"/>
      <w:bookmarkStart w:id="125" w:name="_Toc2934026"/>
      <w:bookmarkStart w:id="126" w:name="_Toc1736584"/>
      <w:bookmarkStart w:id="127" w:name="_Toc5281984"/>
      <w:bookmarkStart w:id="128" w:name="_Toc4768357"/>
      <w:bookmarkStart w:id="129" w:name="_Toc4160087"/>
      <w:bookmarkStart w:id="130" w:name="_Toc4768337"/>
      <w:bookmarkStart w:id="131" w:name="_Toc5976959"/>
      <w:bookmarkStart w:id="132" w:name="_Toc5976979"/>
      <w:bookmarkStart w:id="133" w:name="_Toc10211768"/>
      <w:bookmarkStart w:id="134" w:name="_Toc10731580"/>
      <w:bookmarkStart w:id="135" w:name="_Toc12625692"/>
      <w:bookmarkStart w:id="136" w:name="_Toc12625782"/>
      <w:bookmarkStart w:id="137" w:name="_Toc15022883"/>
      <w:bookmarkStart w:id="138" w:name="_Toc15049640"/>
      <w:bookmarkStart w:id="139" w:name="_Toc15654582"/>
      <w:bookmarkStart w:id="140" w:name="_Toc16257705"/>
      <w:bookmarkStart w:id="141" w:name="_Toc16861057"/>
      <w:bookmarkStart w:id="142" w:name="_Toc17467215"/>
      <w:r>
        <w:rPr>
          <w:rFonts w:hint="eastAsia"/>
        </w:rPr>
        <w:t>2. 1</w:t>
      </w:r>
      <w:r>
        <w:rPr>
          <w:rFonts w:hint="eastAsia"/>
          <w:kern w:val="0"/>
        </w:rPr>
        <w:t>国际石脑油市场价格</w:t>
      </w:r>
      <w:bookmarkEnd w:id="23"/>
      <w:bookmarkEnd w:id="2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786646" w:rsidP="00AD48C6">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143" w:name="_Toc281568202"/>
            <w:bookmarkStart w:id="144" w:name="_Toc239847715"/>
            <w:bookmarkStart w:id="145" w:name="_Toc296600812"/>
            <w:bookmarkStart w:id="146" w:name="_Toc460250405"/>
            <w:bookmarkStart w:id="147"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sidR="00AD48C6">
              <w:rPr>
                <w:rFonts w:ascii="华文仿宋" w:eastAsia="华文仿宋" w:hAnsi="华文仿宋" w:cs="Times New Roman" w:hint="eastAsia"/>
                <w:kern w:val="2"/>
                <w:sz w:val="28"/>
                <w:szCs w:val="28"/>
              </w:rPr>
              <w:t>22</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AD48C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lastRenderedPageBreak/>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51.05美元/桶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51.09美元/桶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0.25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121.548-121.643</w:t>
            </w:r>
          </w:p>
        </w:tc>
      </w:tr>
      <w:tr w:rsidR="00AD48C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473.00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474.50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2.25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125.132-125.529</w:t>
            </w:r>
          </w:p>
        </w:tc>
      </w:tr>
      <w:tr w:rsidR="00AD48C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445.16</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446.66</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1.39</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117.767-118.164</w:t>
            </w:r>
          </w:p>
        </w:tc>
      </w:tr>
      <w:tr w:rsidR="00AD48C6">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450.75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451.25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120.521-120.655</w:t>
            </w:r>
          </w:p>
        </w:tc>
      </w:tr>
      <w:tr w:rsidR="00AD48C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446.75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447.25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119.452-119.586</w:t>
            </w:r>
          </w:p>
        </w:tc>
      </w:tr>
      <w:tr w:rsidR="00AD48C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436.50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437.00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116.711-116.845</w:t>
            </w:r>
          </w:p>
        </w:tc>
      </w:tr>
      <w:tr w:rsidR="00AD48C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444.25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444.75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118.783-118.917</w:t>
            </w:r>
          </w:p>
        </w:tc>
      </w:tr>
      <w:tr w:rsidR="00AD48C6">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433.69</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433.79</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-2.72美分/加仑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123.870-123.970</w:t>
            </w:r>
          </w:p>
        </w:tc>
      </w:tr>
      <w:tr w:rsidR="00AD48C6">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D48C6" w:rsidRPr="00AD48C6" w:rsidRDefault="00AD48C6">
            <w:pPr>
              <w:pStyle w:val="aa"/>
              <w:spacing w:before="0" w:beforeAutospacing="0" w:after="0" w:afterAutospacing="0" w:line="390" w:lineRule="atLeast"/>
              <w:jc w:val="center"/>
              <w:rPr>
                <w:rFonts w:ascii="华文仿宋" w:eastAsia="华文仿宋" w:hAnsi="华文仿宋" w:cs="华文仿宋"/>
                <w:sz w:val="28"/>
                <w:szCs w:val="28"/>
              </w:rPr>
            </w:pPr>
            <w:r w:rsidRPr="00AD48C6">
              <w:rPr>
                <w:rFonts w:ascii="华文仿宋" w:eastAsia="华文仿宋" w:hAnsi="华文仿宋" w:cs="华文仿宋" w:hint="eastAsia"/>
                <w:sz w:val="28"/>
                <w:szCs w:val="28"/>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148" w:name="_Toc5976980"/>
      <w:bookmarkStart w:id="149" w:name="_Toc4768358"/>
      <w:bookmarkStart w:id="150" w:name="_Toc5976960"/>
      <w:bookmarkStart w:id="151" w:name="_Toc5281985"/>
      <w:bookmarkStart w:id="152" w:name="_Toc4768338"/>
      <w:bookmarkStart w:id="153" w:name="_Toc4160088"/>
      <w:bookmarkStart w:id="154" w:name="_Toc1736585"/>
      <w:bookmarkStart w:id="155" w:name="_Toc2934027"/>
      <w:bookmarkStart w:id="156" w:name="_Toc536797014"/>
      <w:bookmarkStart w:id="157" w:name="_Toc2934048"/>
      <w:bookmarkStart w:id="158" w:name="_Toc10211769"/>
      <w:bookmarkStart w:id="159" w:name="_Toc10731581"/>
      <w:bookmarkStart w:id="160" w:name="_Toc12625693"/>
      <w:bookmarkStart w:id="161" w:name="_Toc12625783"/>
      <w:bookmarkStart w:id="162" w:name="_Toc15022884"/>
      <w:bookmarkStart w:id="163" w:name="_Toc15049641"/>
      <w:bookmarkStart w:id="164" w:name="_Toc15654583"/>
      <w:bookmarkStart w:id="165" w:name="_Toc16257706"/>
      <w:bookmarkStart w:id="166" w:name="_Toc16861058"/>
      <w:bookmarkStart w:id="167" w:name="_Toc17467216"/>
      <w:r>
        <w:rPr>
          <w:rFonts w:asciiTheme="minorEastAsia" w:eastAsiaTheme="minorEastAsia" w:hAnsiTheme="minorEastAsia" w:hint="eastAsia"/>
          <w:bCs w:val="0"/>
          <w:color w:val="000000" w:themeColor="text1"/>
          <w:szCs w:val="28"/>
        </w:rPr>
        <w:t>2.2地炼石脑油市场</w:t>
      </w:r>
      <w:bookmarkEnd w:id="25"/>
      <w:bookmarkEnd w:id="2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1501E5" w:rsidRPr="001501E5" w:rsidRDefault="00E63712" w:rsidP="001501E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01E5">
        <w:rPr>
          <w:rFonts w:ascii="华文仿宋" w:eastAsia="华文仿宋" w:hAnsi="华文仿宋" w:cs="华文仿宋"/>
          <w:color w:val="333335"/>
          <w:kern w:val="2"/>
          <w:sz w:val="28"/>
          <w:szCs w:val="28"/>
          <w:shd w:val="clear" w:color="auto" w:fill="FFFFFF"/>
        </w:rPr>
        <w:t>石脑油：</w:t>
      </w:r>
      <w:r w:rsidR="001501E5" w:rsidRPr="001501E5">
        <w:rPr>
          <w:rFonts w:ascii="华文仿宋" w:eastAsia="华文仿宋" w:hAnsi="华文仿宋" w:cs="华文仿宋"/>
          <w:color w:val="333335"/>
          <w:kern w:val="2"/>
          <w:sz w:val="28"/>
          <w:szCs w:val="28"/>
          <w:shd w:val="clear" w:color="auto" w:fill="FFFFFF"/>
        </w:rPr>
        <w:t>适逢新加坡国庆日及哈芝节公共假期，场内交投清淡，现货市场递价延续弱势，但并未出现继续下移，本周期供应端未现明显变化，不过需求端继续受到装置检修干扰，同时替代性商品液化石油气继续向石脑油市场施加压力，这抑制了亚洲石脑油价格运行。市场消息反馈，印尼Chandra Asri公司经营的唯一一套石脑油裂解装置自8月初关闭检修，计划停车周期为55天，同时JG Summit及亚洲最大的石脑油进口商-台塑石化公司石脑油裂解装置即将停车检修利空亚</w:t>
      </w:r>
      <w:r w:rsidR="001501E5" w:rsidRPr="001501E5">
        <w:rPr>
          <w:rFonts w:ascii="华文仿宋" w:eastAsia="华文仿宋" w:hAnsi="华文仿宋" w:cs="华文仿宋"/>
          <w:color w:val="333335"/>
          <w:kern w:val="2"/>
          <w:sz w:val="28"/>
          <w:szCs w:val="28"/>
          <w:shd w:val="clear" w:color="auto" w:fill="FFFFFF"/>
        </w:rPr>
        <w:lastRenderedPageBreak/>
        <w:t>洲市场。不过，周内来自韩国及马来西亚的裂解原料需求对市场交投形成一定提振，但后期需求缩减在所难免，亚洲石脑油市场价格运行将延续弱势。</w:t>
      </w:r>
    </w:p>
    <w:p w:rsidR="007D72AD" w:rsidRPr="00DE3C73" w:rsidRDefault="001501E5" w:rsidP="00DE3C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01E5">
        <w:rPr>
          <w:rFonts w:ascii="华文仿宋" w:eastAsia="华文仿宋" w:hAnsi="华文仿宋" w:cs="华文仿宋"/>
          <w:color w:val="333335"/>
          <w:kern w:val="2"/>
          <w:sz w:val="28"/>
          <w:szCs w:val="28"/>
          <w:shd w:val="clear" w:color="auto" w:fill="FFFFFF"/>
        </w:rPr>
        <w:t>随着亚洲石脑油价格中枢下移，挂靠MOPJ价格的国内主营炼厂石脑油结算预测下跌幅度扩张，截至8月16日，预测2019年8月中石化石脑油含税结算价跌178至3652元/吨。国内炼化及煤基石脑油市场方面，近期原油回升以及汽油市场转强对石脑油产业链形成了积极支撑，国内石脑油主力价区产品报盘集中上修，成交均价出现较宽幅上移，不过山东东营、淄博等地炼厂受到台风影响，装车受阻库存压力攀升，目前市场售价随原油下行而重新下行修正，需求端有所恢复，社会库存加速消化，短线石脑油市场以横盘整理为主，汽油市场高活性将持续施加利好，但原油端下行压力仍重，石脑油递价水平难以有所突破</w:t>
      </w:r>
      <w:r w:rsidR="007D72AD" w:rsidRPr="007D72AD">
        <w:rPr>
          <w:rFonts w:ascii="华文仿宋" w:eastAsia="华文仿宋" w:hAnsi="华文仿宋" w:cs="华文仿宋"/>
          <w:sz w:val="28"/>
          <w:szCs w:val="28"/>
        </w:rPr>
        <w:t>。</w:t>
      </w: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168" w:name="_Toc296600813"/>
      <w:bookmarkStart w:id="169" w:name="_Toc460250406"/>
      <w:bookmarkStart w:id="170" w:name="_Toc505350010"/>
      <w:bookmarkStart w:id="171" w:name="_Toc536797015"/>
      <w:bookmarkStart w:id="172" w:name="_Toc1736586"/>
      <w:bookmarkStart w:id="173" w:name="_Toc281568203"/>
      <w:bookmarkStart w:id="174" w:name="_Toc2934028"/>
      <w:bookmarkStart w:id="175" w:name="_Toc2934049"/>
      <w:bookmarkStart w:id="176" w:name="_Toc4160089"/>
      <w:bookmarkStart w:id="177" w:name="_Toc4768339"/>
      <w:bookmarkStart w:id="178" w:name="_Toc5281986"/>
      <w:bookmarkStart w:id="179" w:name="_Toc4768359"/>
      <w:bookmarkStart w:id="180" w:name="_Toc5976981"/>
      <w:bookmarkStart w:id="181" w:name="_Toc5976961"/>
      <w:bookmarkStart w:id="182" w:name="_Toc10211770"/>
      <w:bookmarkStart w:id="183" w:name="_Toc10731582"/>
      <w:bookmarkStart w:id="184" w:name="_Toc12625694"/>
      <w:bookmarkStart w:id="185" w:name="_Toc12625784"/>
      <w:bookmarkStart w:id="186" w:name="_Toc15022885"/>
      <w:bookmarkStart w:id="187" w:name="_Toc15049642"/>
      <w:bookmarkStart w:id="188" w:name="_Toc15654584"/>
      <w:bookmarkStart w:id="189" w:name="_Toc16257707"/>
      <w:bookmarkStart w:id="190" w:name="_Toc16861059"/>
      <w:bookmarkStart w:id="191" w:name="_Toc17467217"/>
      <w:r>
        <w:rPr>
          <w:rFonts w:asciiTheme="minorEastAsia" w:eastAsiaTheme="minorEastAsia" w:hAnsiTheme="minorEastAsia" w:hint="eastAsia"/>
          <w:b/>
          <w:sz w:val="28"/>
          <w:szCs w:val="28"/>
        </w:rPr>
        <w:t>2.3本周国内石脑油价格汇总</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80"/>
        <w:gridCol w:w="1520"/>
        <w:gridCol w:w="1540"/>
        <w:gridCol w:w="1400"/>
        <w:gridCol w:w="1540"/>
        <w:gridCol w:w="1540"/>
        <w:gridCol w:w="1720"/>
      </w:tblGrid>
      <w:tr w:rsidR="00DC496E" w:rsidRPr="00E63712" w:rsidTr="00E63712">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C496E" w:rsidRPr="00E63712" w:rsidRDefault="00DC496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DC496E" w:rsidRPr="00E63712" w:rsidRDefault="00DC496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C496E" w:rsidRPr="00E63712" w:rsidRDefault="00DC496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DC496E" w:rsidRPr="00E63712" w:rsidRDefault="00DC496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C496E" w:rsidRDefault="00DC496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C496E" w:rsidRDefault="00DC496E">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DC496E" w:rsidRDefault="00DC496E">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5850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6280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6180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DC496E"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DC496E"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DC496E"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4756</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4456</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西北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90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4480</w:t>
            </w:r>
          </w:p>
        </w:tc>
      </w:tr>
      <w:tr w:rsidR="00DC496E"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C496E"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C496E" w:rsidRPr="00E63712" w:rsidRDefault="00DC496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DC496E" w:rsidRDefault="00DC496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192" w:name="_Toc5281987"/>
      <w:bookmarkStart w:id="193" w:name="_Toc4160090"/>
      <w:bookmarkStart w:id="194" w:name="_Toc4768340"/>
      <w:bookmarkStart w:id="195" w:name="_Toc5976982"/>
      <w:bookmarkStart w:id="196" w:name="_Toc4768360"/>
      <w:bookmarkStart w:id="197" w:name="_Toc5976962"/>
      <w:bookmarkStart w:id="198" w:name="_Toc2934050"/>
      <w:bookmarkStart w:id="199" w:name="_Toc2934029"/>
      <w:bookmarkStart w:id="200" w:name="_Toc281568204"/>
      <w:bookmarkStart w:id="201" w:name="_Toc505350011"/>
      <w:bookmarkStart w:id="202" w:name="_Toc1736587"/>
      <w:bookmarkStart w:id="203" w:name="_Toc536797016"/>
      <w:bookmarkStart w:id="204" w:name="_Toc460250407"/>
      <w:bookmarkStart w:id="205" w:name="_Toc296600814"/>
      <w:bookmarkStart w:id="206" w:name="_Toc10211771"/>
      <w:bookmarkStart w:id="207" w:name="_Toc10731583"/>
      <w:bookmarkStart w:id="208" w:name="_Toc12625695"/>
      <w:bookmarkStart w:id="209" w:name="_Toc12625785"/>
      <w:bookmarkStart w:id="210" w:name="_Toc15022886"/>
      <w:bookmarkStart w:id="211" w:name="_Toc15049643"/>
      <w:bookmarkStart w:id="212" w:name="_Toc15654585"/>
      <w:bookmarkStart w:id="213" w:name="_Toc16257708"/>
      <w:bookmarkStart w:id="214" w:name="_Toc16861060"/>
      <w:bookmarkStart w:id="215" w:name="_Toc239847719"/>
      <w:bookmarkStart w:id="216" w:name="_Toc158203132"/>
      <w:bookmarkStart w:id="217" w:name="_Toc17467218"/>
      <w:r>
        <w:rPr>
          <w:rFonts w:asciiTheme="minorEastAsia" w:eastAsiaTheme="minorEastAsia" w:hAnsiTheme="minorEastAsia" w:hint="eastAsia"/>
          <w:szCs w:val="28"/>
        </w:rPr>
        <w:t>2.4山东地炼石脑油价格走势图</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7"/>
    </w:p>
    <w:p w:rsidR="002F12E4" w:rsidRDefault="002F12E4">
      <w:pPr>
        <w:rPr>
          <w:sz w:val="20"/>
          <w:szCs w:val="20"/>
        </w:rPr>
      </w:pPr>
    </w:p>
    <w:p w:rsidR="003135BD" w:rsidRDefault="00DC496E">
      <w:pPr>
        <w:rPr>
          <w:sz w:val="20"/>
          <w:szCs w:val="20"/>
        </w:rPr>
      </w:pPr>
      <w:r>
        <w:rPr>
          <w:noProof/>
          <w:sz w:val="20"/>
          <w:szCs w:val="20"/>
        </w:rPr>
        <w:drawing>
          <wp:inline distT="0" distB="0" distL="0" distR="0">
            <wp:extent cx="5105400" cy="31432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05400" cy="314325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218" w:name="_Toc237428455"/>
      <w:bookmarkStart w:id="219" w:name="_Toc460250408"/>
      <w:bookmarkStart w:id="220" w:name="_Toc5976963"/>
      <w:bookmarkStart w:id="221" w:name="_Toc296600816"/>
      <w:bookmarkStart w:id="222" w:name="_Toc2934030"/>
      <w:bookmarkStart w:id="223" w:name="_Toc536797017"/>
      <w:bookmarkStart w:id="224" w:name="_Toc5976983"/>
      <w:bookmarkStart w:id="225" w:name="_Toc1736588"/>
      <w:bookmarkStart w:id="226" w:name="_Toc4768361"/>
      <w:bookmarkStart w:id="227" w:name="_Toc281568206"/>
      <w:bookmarkStart w:id="228" w:name="_Toc5281988"/>
      <w:bookmarkStart w:id="229" w:name="_Toc4160091"/>
      <w:bookmarkStart w:id="230" w:name="_Toc4768341"/>
      <w:bookmarkStart w:id="231" w:name="_Toc505350012"/>
      <w:bookmarkStart w:id="232" w:name="_Toc2934051"/>
      <w:bookmarkStart w:id="233" w:name="_Toc10211772"/>
      <w:bookmarkStart w:id="234" w:name="_Toc10731584"/>
      <w:bookmarkStart w:id="235" w:name="_Toc12625696"/>
      <w:bookmarkStart w:id="236" w:name="_Toc12625786"/>
      <w:bookmarkStart w:id="237" w:name="_Toc15022887"/>
      <w:bookmarkStart w:id="238" w:name="_Toc15049644"/>
      <w:bookmarkStart w:id="239" w:name="_Toc15654586"/>
      <w:bookmarkStart w:id="240" w:name="_Toc16257709"/>
      <w:bookmarkStart w:id="241" w:name="_Toc16861061"/>
      <w:bookmarkStart w:id="242" w:name="_Toc17467219"/>
      <w:bookmarkEnd w:id="215"/>
      <w:bookmarkEnd w:id="216"/>
      <w:r>
        <w:rPr>
          <w:rFonts w:ascii="黑体" w:eastAsia="黑体" w:hint="eastAsia"/>
          <w:b/>
          <w:sz w:val="28"/>
          <w:szCs w:val="28"/>
        </w:rPr>
        <w:t>三、本周国内油品市场分析及预测</w:t>
      </w:r>
      <w:bookmarkStart w:id="243" w:name="_Toc460250409"/>
      <w:bookmarkStart w:id="244" w:name="_Toc281568207"/>
      <w:bookmarkStart w:id="245" w:name="_Toc296600817"/>
      <w:bookmarkStart w:id="246" w:name="_Toc237428456"/>
      <w:bookmarkStart w:id="247" w:name="_Toc17657190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2F12E4" w:rsidRDefault="004F4F55">
      <w:pPr>
        <w:pStyle w:val="1"/>
        <w:spacing w:line="360" w:lineRule="auto"/>
        <w:rPr>
          <w:rFonts w:asciiTheme="minorEastAsia" w:eastAsiaTheme="minorEastAsia" w:hAnsiTheme="minorEastAsia"/>
          <w:kern w:val="2"/>
          <w:sz w:val="28"/>
          <w:szCs w:val="28"/>
        </w:rPr>
      </w:pPr>
      <w:bookmarkStart w:id="248" w:name="_Toc505350013"/>
      <w:bookmarkStart w:id="249" w:name="_Toc536797018"/>
      <w:bookmarkStart w:id="250" w:name="_Toc2934031"/>
      <w:bookmarkStart w:id="251" w:name="_Toc4160092"/>
      <w:bookmarkStart w:id="252" w:name="_Toc4768342"/>
      <w:bookmarkStart w:id="253" w:name="_Toc1736589"/>
      <w:bookmarkStart w:id="254" w:name="_Toc4768362"/>
      <w:bookmarkStart w:id="255" w:name="_Toc2934052"/>
      <w:bookmarkStart w:id="256" w:name="_Toc5281989"/>
      <w:bookmarkStart w:id="257" w:name="_Toc5976984"/>
      <w:bookmarkStart w:id="258" w:name="_Toc5976964"/>
      <w:bookmarkStart w:id="259" w:name="_Toc10211773"/>
      <w:bookmarkStart w:id="260" w:name="_Toc10731585"/>
      <w:bookmarkStart w:id="261" w:name="_Toc12625697"/>
      <w:bookmarkStart w:id="262" w:name="_Toc12625787"/>
      <w:bookmarkStart w:id="263" w:name="_Toc15022888"/>
      <w:bookmarkStart w:id="264" w:name="_Toc15049645"/>
      <w:bookmarkStart w:id="265" w:name="_Toc15654587"/>
      <w:bookmarkStart w:id="266" w:name="_Toc16257710"/>
      <w:bookmarkStart w:id="267" w:name="_Toc16861062"/>
      <w:bookmarkStart w:id="268" w:name="_Toc17467220"/>
      <w:r>
        <w:rPr>
          <w:rFonts w:asciiTheme="minorEastAsia" w:eastAsiaTheme="minorEastAsia" w:hAnsiTheme="minorEastAsia" w:hint="eastAsia"/>
          <w:kern w:val="2"/>
          <w:sz w:val="28"/>
          <w:szCs w:val="28"/>
        </w:rPr>
        <w:t>3．1  成品油市场动态</w:t>
      </w:r>
      <w:bookmarkEnd w:id="243"/>
      <w:bookmarkEnd w:id="244"/>
      <w:bookmarkEnd w:id="24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t>本周，国际原油期货呈现上行走势，据测算第二个工作日参考原油变化率为2.79%。受此影响，国内成品油市场购销氛围略显清淡，各地主营单位汽柴油销</w:t>
      </w:r>
      <w:r w:rsidRPr="00DE3C73">
        <w:rPr>
          <w:rFonts w:ascii="华文仿宋" w:eastAsia="华文仿宋" w:hAnsi="华文仿宋"/>
          <w:sz w:val="28"/>
          <w:szCs w:val="28"/>
        </w:rPr>
        <w:lastRenderedPageBreak/>
        <w:t>售执行优惠政策。与此同时，山东地炼汽柴油行情先扬后抑，部分炼厂报价开始理性回调，且成交保持100元/吨左右优惠。具体来看出货方面：外盘油价续涨提振业者心态，区内油市看涨气氛热烈，下游买家购进操作频繁，市场交投气氛温和。临近周末，随着原油涨势减弱，中间商多持币观望，下游用户则按需小单采购，因此地炼整体出货表现不佳，库存普遍处于中低位。</w:t>
      </w:r>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t>后市前瞻：进入下周，国际原油期价保持震荡态势，以WTI为例，主流运行区间在54-58(均值56)美元/桶之间。在缺少消息面明确指引下，山东地炼成品油行情恐将持续盘整态势，买卖双方操作十分谨慎，市场交投气氛平平。综上所述，预计下周山东地炼汽柴油价格稳中个别涨跌不一。</w:t>
      </w:r>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t>本周(8月16日-8月22日)，华北地区主营汽柴油高位盘整，市场交投气氛依然清淡。分析来看，本周二零售价兑现大幅下调，但国际油价连续上涨抵消部分利空影响，且新一轮变化率转为正向区间运行，消息方面指引尚可。山东地炼汽柴行情温和上调，外采成本继续推涨。与此同时，部分主营局部地区汽柴资源仍不充裕，故区内主营汽柴行情维持坚挺，但临近月底主营销售进度差别不一，个别主营窄幅波动或暗中加大优惠力度。下游业者逢低谨慎按需补仓，补仓完成后退市消库，市场交投气氛转为清淡。后市来看，国际原油或震荡偏强走势，变化率有望继续正向拉宽运行，本轮零售价存上调预期。预计短期华北汽柴油或窄幅波动为主，整体购销氛围难改清淡。</w:t>
      </w:r>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t>华南地区成品油行情继续上涨，市场购销气氛平淡。具体来看，原油期货价格震荡走高，零售价下调如期兑现，而后新一轮计价周期，变化率正向开端，消息方面表现尚可。受此影响，山东地炼汽柴油价格连续小涨，主营单位外采成本</w:t>
      </w:r>
      <w:r w:rsidRPr="00DE3C73">
        <w:rPr>
          <w:rFonts w:ascii="华文仿宋" w:eastAsia="华文仿宋" w:hAnsi="华文仿宋"/>
          <w:sz w:val="28"/>
          <w:szCs w:val="28"/>
        </w:rPr>
        <w:lastRenderedPageBreak/>
        <w:t>居高难下，汽柴油价格顺势走高，其中柴油价格已涨至到位价。由于价格涨至高位，下游业者抵触情绪升温，市场交投气氛清淡难改。后市来看，原油期货不乏震荡小涨可能，零售价存上调预期，消息方面支撑尚可。另外，下旬主营单位销售进度不一，预计下周华南地区汽柴油行情或保持坚挺，交投气氛改善不易。</w:t>
      </w:r>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t>华东地区成品油仍有走高，市场交投气氛表现一般。具体来看，国际油价震荡上涨，周二零售价兑现下调，新一轮变化率则转为正向运行，消息面对市场支撑逐步显现。尽管此前零售价下调预期强烈，但由于华东主营外采成本进一步推涨，迫于成本压力，且后期原油上涨提振作用下，汽柴行情进一步走高，部分主营销售进度较差，暗中维持宽松优惠。下游用户心态不一，部分业者适度补充库存，但市场整体购销行情不太旺盛。后市而言，国际油价或仍震荡走高，加之外采成本居高不下，预计短期华东地区成品油行情依旧坚挺运行，部分单位价格或仍有上涨，市场交投气氛维持平淡。</w:t>
      </w:r>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t>华中地区终端需求分化 区内呈现汽强柴弱格局 具体分析如下，本周国际油价接连收涨，但依然难改零售价兑现下调的局面，故消息面较为震荡。而地炼受原油带动近期报价不断走高，主营外采成本有所支撑。再加上柴油终端需求提升缓慢，而汽油消耗仍维持稳好，故本周区内主营汽油报价在涨跌调整之后逐渐呈现上涨势头，而柴油明显推涨乏力。各主营单位根据自身销售情况灵活调整优惠政策，下游消库观望，入市趋于谨慎，整体购销气氛平平。后市来看，国际原油或仍有一定支撑，本轮零售价上调概率较大，消息面向好发展。故预计短期内区内汽柴价格或较为坚挺，部分单位报价仍有走高，不过部分欠量单位出货将维持宽松优惠，下游入市心态或有好转，但因前期有所备货，入市采购较为有限。</w:t>
      </w:r>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lastRenderedPageBreak/>
        <w:t>西南地区柴油行情跌后反弹，汽油行情保持震荡上行，整体交投氛围平淡。分析来看：本周二成品油零售价下调兑现，但由于周内国际油价震荡上行，新一轮变化率转为正向，消息面利好支撑力度增加。主营单位销售策略不一，汽柴价格涨跌互现。其中，柴油需求疲软，且主营批发价格前期涨至高位，随着零售价下调，部分地区价格回落;汽油需求面仍有支撑，加之，部分地区主营汽油资源偏紧，因此价格多有推涨。业者前期多已备货到位，周内多消库为主，市场成交量淡。不过，市场在看涨气氛之下，四川主营却降价促销，业者集中补货，当地成交一度向好。就后市而言，国际油价或继续保持震荡上行，变化率正向发展，上调预期对市场较有提振。预计短期内西南地区汽柴行情或继续走高。不过，主营柴油价格多接近批发限价，后期上涨空间不大。业者消库之余按需采购，市场成交难见活跃。</w:t>
      </w:r>
    </w:p>
    <w:p w:rsidR="00DE3C73" w:rsidRPr="00DE3C73" w:rsidRDefault="00DE3C73" w:rsidP="00DE3C73">
      <w:pPr>
        <w:pStyle w:val="aa"/>
        <w:ind w:firstLineChars="200" w:firstLine="560"/>
        <w:rPr>
          <w:rFonts w:ascii="华文仿宋" w:eastAsia="华文仿宋" w:hAnsi="华文仿宋"/>
          <w:sz w:val="28"/>
          <w:szCs w:val="28"/>
        </w:rPr>
      </w:pPr>
      <w:r w:rsidRPr="00DE3C73">
        <w:rPr>
          <w:rFonts w:ascii="华文仿宋" w:eastAsia="华文仿宋" w:hAnsi="华文仿宋"/>
          <w:sz w:val="28"/>
          <w:szCs w:val="28"/>
        </w:rPr>
        <w:t>西北地炼汽柴行情跌后趋稳，市场成交气氛平平。分析来看：本周二成品油零售价下调兑现，区内销售公司价格提前下调，汽柴均跌100元/吨。进入新一轮计价周期，国际油价上涨为主，变化率正向区间延伸，上调预期表现明显。不过，柴油需求提升有限，汽油需求亦趋于平稳。再者，业者前期适量补货，周内消库库存为主，入市补货有限，市场成交刚需为主。就后市而言，国际油价震荡走高，变化率正向延伸，上调预期对市场较有支撑，预计短线西北地炼汽柴行情维持坚挺。业者按需适量补货，市场成交或有一定改善。</w:t>
      </w:r>
    </w:p>
    <w:p w:rsidR="00E63712" w:rsidRDefault="00E63712" w:rsidP="00DE3C73">
      <w:pPr>
        <w:pStyle w:val="aa"/>
        <w:spacing w:line="360" w:lineRule="auto"/>
        <w:ind w:firstLineChars="200" w:firstLine="560"/>
        <w:rPr>
          <w:rFonts w:ascii="华文仿宋" w:eastAsia="华文仿宋" w:hAnsi="华文仿宋"/>
          <w:sz w:val="28"/>
          <w:szCs w:val="28"/>
        </w:rPr>
      </w:pP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269" w:name="_Toc1736590"/>
      <w:bookmarkStart w:id="270" w:name="_Toc505350014"/>
      <w:bookmarkStart w:id="271" w:name="_Toc2934053"/>
      <w:bookmarkStart w:id="272" w:name="_Toc2934032"/>
      <w:bookmarkStart w:id="273" w:name="_Toc536797019"/>
      <w:bookmarkStart w:id="274" w:name="_Toc10211774"/>
      <w:bookmarkStart w:id="275" w:name="_Toc10731586"/>
      <w:bookmarkStart w:id="276" w:name="_Toc12625698"/>
      <w:bookmarkStart w:id="277" w:name="_Toc12625788"/>
      <w:bookmarkStart w:id="278" w:name="_Toc15022889"/>
      <w:bookmarkStart w:id="279" w:name="_Toc15049646"/>
      <w:bookmarkStart w:id="280" w:name="_Toc15654588"/>
      <w:bookmarkStart w:id="281" w:name="_Toc16257711"/>
      <w:bookmarkStart w:id="282" w:name="_Toc16861063"/>
      <w:bookmarkStart w:id="283" w:name="_Toc460250410"/>
      <w:bookmarkStart w:id="284" w:name="_Toc180485827"/>
      <w:bookmarkStart w:id="285" w:name="_Toc281568208"/>
      <w:bookmarkStart w:id="286" w:name="_Toc296600818"/>
      <w:bookmarkStart w:id="287" w:name="_Toc369858747"/>
      <w:bookmarkStart w:id="288" w:name="_Toc296600819"/>
      <w:bookmarkStart w:id="289" w:name="_Toc281568211"/>
      <w:bookmarkStart w:id="290" w:name="_Toc17467221"/>
      <w:bookmarkEnd w:id="246"/>
      <w:bookmarkEnd w:id="247"/>
      <w:r>
        <w:rPr>
          <w:rFonts w:ascii="黑体" w:eastAsia="黑体" w:hint="eastAsia"/>
          <w:b/>
          <w:sz w:val="28"/>
          <w:szCs w:val="28"/>
        </w:rPr>
        <w:lastRenderedPageBreak/>
        <w:t>四、国内溶剂油市场综述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90"/>
    </w:p>
    <w:p w:rsidR="002300C3" w:rsidRPr="002300C3" w:rsidRDefault="00DF7CAA" w:rsidP="002300C3">
      <w:pPr>
        <w:widowControl/>
        <w:ind w:firstLineChars="200" w:firstLine="560"/>
        <w:jc w:val="left"/>
        <w:rPr>
          <w:rFonts w:ascii="华文仿宋" w:eastAsia="华文仿宋" w:hAnsi="华文仿宋" w:cs="宋体"/>
          <w:kern w:val="0"/>
          <w:sz w:val="28"/>
          <w:szCs w:val="28"/>
        </w:rPr>
      </w:pPr>
      <w:bookmarkStart w:id="291" w:name="_Toc505350015"/>
      <w:bookmarkStart w:id="292" w:name="_Toc460250411"/>
      <w:bookmarkEnd w:id="283"/>
      <w:bookmarkEnd w:id="284"/>
      <w:bookmarkEnd w:id="285"/>
      <w:bookmarkEnd w:id="286"/>
      <w:bookmarkEnd w:id="287"/>
      <w:r>
        <w:rPr>
          <w:rFonts w:ascii="华文仿宋" w:eastAsia="华文仿宋" w:hAnsi="华文仿宋" w:cs="宋体" w:hint="eastAsia"/>
          <w:kern w:val="0"/>
          <w:sz w:val="28"/>
          <w:szCs w:val="28"/>
        </w:rPr>
        <w:t>本周</w:t>
      </w:r>
      <w:r w:rsidR="00DC496E" w:rsidRPr="00DC496E">
        <w:rPr>
          <w:rFonts w:ascii="华文仿宋" w:eastAsia="华文仿宋" w:hAnsi="华文仿宋" w:cs="宋体"/>
          <w:kern w:val="0"/>
          <w:sz w:val="28"/>
          <w:szCs w:val="28"/>
        </w:rPr>
        <w:t>布兰特原油收跌0.38美元，或0.6%，报每桶59.92美元。美国原油收低0.33美元，或0.6%，报每桶55.35美元。周四油价走低，因对全球经济感到担忧，以及美国降息前景的不确定性，令股市紧张不安。本轮第3个工作日，原油估价61.311较基准价涨2.036或3.44%，暂预计9月3日24时成品油零限价上调115元/吨。昨日非标系列商谈小幅下探，因成品油高位成交信心不足，油价偏向下行。预计今日非标商谈继续松动，国标横盘运行。不过华南面临台风登陆可能，短线成交活性或有抑制。截至8月23日，监测数据显示，两大集团国标6#溶剂油均价5040元/吨，国标120#溶剂油均价6040元/吨。山东地区国标6#溶剂油均价4870元/吨，国标120#溶剂油均价4863元/吨，国标200#溶剂油均价5562元/吨。非标120#溶剂油均价4100元/吨;非标200#溶剂油均价5050元/吨。国际油市收跌，地炼汽柴油价下探趋势增强，对非标溶剂油价格支撑愈显弱势，今日地炼溶剂油市场虽继续持稳，但厂家言谈间已有下调意愿。非标成交继续松动，200#让利稍微明显，轻油碍于成本面因素对外明稳暗降。两大集团沿海市场严格控制计划量，报价继续走稳;长岭炼化国标6#、120#报价上调80-110元/吨不等，周边及华南物流商采购成交上升，未来一周两地稳价看坚。另下轮调价窗口窄幅看涨，后期溶剂看涨可能犹存。目前地炼溶剂油市场供需矛盾可控，双方大体势均力敌，不过旺季临近隐约托起卖方市场地位。并且因库存与原料支撑依旧存在，周末地炼溶剂油市场视原油收盘稳中小幅调整为主，而两大集团炼厂高位坚挺局面将延续</w:t>
      </w:r>
      <w:r w:rsidR="002300C3" w:rsidRPr="002300C3">
        <w:rPr>
          <w:rFonts w:ascii="华文仿宋" w:eastAsia="华文仿宋" w:hAnsi="华文仿宋" w:cs="宋体"/>
          <w:kern w:val="0"/>
          <w:sz w:val="28"/>
          <w:szCs w:val="28"/>
        </w:rPr>
        <w:t>。</w:t>
      </w:r>
    </w:p>
    <w:p w:rsidR="002F12E4" w:rsidRDefault="004F4F55" w:rsidP="00266404">
      <w:pPr>
        <w:pStyle w:val="aa"/>
        <w:outlineLvl w:val="0"/>
        <w:rPr>
          <w:rFonts w:ascii="黑体"/>
          <w:b/>
          <w:bCs/>
          <w:sz w:val="28"/>
          <w:szCs w:val="28"/>
        </w:rPr>
      </w:pPr>
      <w:bookmarkStart w:id="293" w:name="_Toc10211775"/>
      <w:bookmarkStart w:id="294" w:name="_Toc10731587"/>
      <w:bookmarkStart w:id="295" w:name="_Toc12625699"/>
      <w:bookmarkStart w:id="296" w:name="_Toc12625789"/>
      <w:bookmarkStart w:id="297" w:name="_Toc15022890"/>
      <w:bookmarkStart w:id="298" w:name="_Toc15049647"/>
      <w:bookmarkStart w:id="299" w:name="_Toc15654589"/>
      <w:bookmarkStart w:id="300" w:name="_Toc16257712"/>
      <w:bookmarkStart w:id="301" w:name="_Toc16861064"/>
      <w:bookmarkStart w:id="302" w:name="_Toc17467222"/>
      <w:r>
        <w:rPr>
          <w:rFonts w:ascii="黑体" w:hint="eastAsia"/>
          <w:b/>
          <w:bCs/>
          <w:sz w:val="28"/>
          <w:szCs w:val="28"/>
        </w:rPr>
        <w:t>五、本周国内炼厂溶剂油产品价格对比</w:t>
      </w:r>
      <w:bookmarkEnd w:id="288"/>
      <w:bookmarkEnd w:id="289"/>
      <w:bookmarkEnd w:id="291"/>
      <w:bookmarkEnd w:id="292"/>
      <w:bookmarkEnd w:id="293"/>
      <w:bookmarkEnd w:id="294"/>
      <w:bookmarkEnd w:id="295"/>
      <w:bookmarkEnd w:id="296"/>
      <w:bookmarkEnd w:id="297"/>
      <w:bookmarkEnd w:id="298"/>
      <w:bookmarkEnd w:id="299"/>
      <w:bookmarkEnd w:id="300"/>
      <w:bookmarkEnd w:id="301"/>
      <w:bookmarkEnd w:id="302"/>
    </w:p>
    <w:p w:rsidR="002F12E4" w:rsidRDefault="004F4F55">
      <w:pPr>
        <w:rPr>
          <w:rFonts w:ascii="宋体" w:hAnsi="宋体"/>
          <w:sz w:val="20"/>
          <w:szCs w:val="20"/>
        </w:rPr>
      </w:pPr>
      <w:r>
        <w:rPr>
          <w:rFonts w:ascii="宋体" w:hAnsi="宋体" w:hint="eastAsia"/>
          <w:sz w:val="20"/>
          <w:szCs w:val="20"/>
        </w:rPr>
        <w:lastRenderedPageBreak/>
        <w:t>单位：元/吨</w:t>
      </w:r>
    </w:p>
    <w:p w:rsidR="002F12E4" w:rsidRDefault="002F12E4">
      <w:pPr>
        <w:rPr>
          <w:rFonts w:ascii="宋体" w:hAnsi="宋体"/>
          <w:sz w:val="20"/>
          <w:szCs w:val="20"/>
        </w:rPr>
      </w:pPr>
    </w:p>
    <w:tbl>
      <w:tblPr>
        <w:tblW w:w="10221" w:type="dxa"/>
        <w:tblInd w:w="93" w:type="dxa"/>
        <w:tblLook w:val="04A0"/>
      </w:tblPr>
      <w:tblGrid>
        <w:gridCol w:w="1073"/>
        <w:gridCol w:w="1409"/>
        <w:gridCol w:w="1369"/>
        <w:gridCol w:w="997"/>
        <w:gridCol w:w="1389"/>
        <w:gridCol w:w="1149"/>
        <w:gridCol w:w="1418"/>
        <w:gridCol w:w="1417"/>
      </w:tblGrid>
      <w:tr w:rsidR="00337ABE" w:rsidRPr="002300C3" w:rsidTr="002300C3">
        <w:trPr>
          <w:trHeight w:val="405"/>
        </w:trPr>
        <w:tc>
          <w:tcPr>
            <w:tcW w:w="107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409" w:type="dxa"/>
            <w:tcBorders>
              <w:top w:val="single" w:sz="4" w:space="0" w:color="auto"/>
              <w:left w:val="nil"/>
              <w:bottom w:val="single" w:sz="4" w:space="0" w:color="auto"/>
              <w:right w:val="single" w:sz="4" w:space="0" w:color="auto"/>
            </w:tcBorders>
            <w:shd w:val="clear" w:color="000000" w:fill="99CC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69" w:type="dxa"/>
            <w:tcBorders>
              <w:top w:val="single" w:sz="4" w:space="0" w:color="auto"/>
              <w:left w:val="nil"/>
              <w:bottom w:val="single" w:sz="4" w:space="0" w:color="auto"/>
              <w:right w:val="single" w:sz="4" w:space="0" w:color="auto"/>
            </w:tcBorders>
            <w:shd w:val="clear" w:color="000000" w:fill="99CC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97" w:type="dxa"/>
            <w:tcBorders>
              <w:top w:val="single" w:sz="4" w:space="0" w:color="auto"/>
              <w:left w:val="nil"/>
              <w:bottom w:val="single" w:sz="4" w:space="0" w:color="auto"/>
              <w:right w:val="single" w:sz="4" w:space="0" w:color="auto"/>
            </w:tcBorders>
            <w:shd w:val="clear" w:color="000000" w:fill="99CC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89" w:type="dxa"/>
            <w:tcBorders>
              <w:top w:val="single" w:sz="4" w:space="0" w:color="auto"/>
              <w:left w:val="nil"/>
              <w:bottom w:val="single" w:sz="4" w:space="0" w:color="auto"/>
              <w:right w:val="single" w:sz="4" w:space="0" w:color="auto"/>
            </w:tcBorders>
            <w:shd w:val="clear" w:color="000000" w:fill="99CC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49" w:type="dxa"/>
            <w:tcBorders>
              <w:top w:val="single" w:sz="4" w:space="0" w:color="auto"/>
              <w:left w:val="nil"/>
              <w:bottom w:val="single" w:sz="4" w:space="0" w:color="auto"/>
              <w:right w:val="single" w:sz="4"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8" w:type="dxa"/>
            <w:tcBorders>
              <w:top w:val="single" w:sz="4" w:space="0" w:color="auto"/>
              <w:left w:val="nil"/>
              <w:bottom w:val="single" w:sz="4" w:space="0" w:color="auto"/>
              <w:right w:val="single" w:sz="4"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4200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4200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4850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4850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4830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4780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110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4990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4880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337ABE" w:rsidRPr="002300C3" w:rsidRDefault="00337AB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303" w:name="_Toc281568213"/>
      <w:bookmarkStart w:id="304" w:name="_Toc505350016"/>
      <w:bookmarkStart w:id="305" w:name="_Toc460250412"/>
      <w:bookmarkStart w:id="306" w:name="_Toc2934054"/>
      <w:bookmarkStart w:id="307" w:name="_Toc536797020"/>
      <w:bookmarkStart w:id="308" w:name="_Toc296600821"/>
      <w:bookmarkStart w:id="309" w:name="_Toc1736591"/>
      <w:bookmarkStart w:id="310" w:name="_Toc2934033"/>
      <w:bookmarkStart w:id="311" w:name="_Toc4768343"/>
      <w:bookmarkStart w:id="312" w:name="_Toc5281990"/>
      <w:bookmarkStart w:id="313" w:name="_Toc4160093"/>
      <w:bookmarkStart w:id="314" w:name="_Toc5976985"/>
      <w:bookmarkStart w:id="315" w:name="_Toc5976965"/>
      <w:bookmarkStart w:id="316" w:name="_Toc4768363"/>
      <w:bookmarkStart w:id="317" w:name="_Toc10211776"/>
      <w:bookmarkStart w:id="318" w:name="_Toc10731588"/>
      <w:bookmarkStart w:id="319" w:name="_Toc12625700"/>
      <w:bookmarkStart w:id="320" w:name="_Toc12625790"/>
      <w:bookmarkStart w:id="321" w:name="_Toc15022891"/>
      <w:bookmarkStart w:id="322" w:name="_Toc15049648"/>
      <w:bookmarkStart w:id="323" w:name="_Toc15654590"/>
      <w:bookmarkStart w:id="324" w:name="_Toc16257713"/>
      <w:bookmarkStart w:id="325" w:name="_Toc16861065"/>
      <w:bookmarkStart w:id="326" w:name="_Toc17467223"/>
      <w:r>
        <w:rPr>
          <w:rFonts w:ascii="黑体" w:hAnsi="宋体" w:hint="eastAsia"/>
          <w:sz w:val="28"/>
          <w:szCs w:val="28"/>
        </w:rPr>
        <w:t>六、D系列特种溶剂油</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lastRenderedPageBreak/>
        <w:t>单位：元/吨</w:t>
      </w:r>
    </w:p>
    <w:tbl>
      <w:tblPr>
        <w:tblW w:w="9513" w:type="dxa"/>
        <w:jc w:val="center"/>
        <w:tblInd w:w="93" w:type="dxa"/>
        <w:tblLook w:val="04A0"/>
      </w:tblPr>
      <w:tblGrid>
        <w:gridCol w:w="1080"/>
        <w:gridCol w:w="1280"/>
        <w:gridCol w:w="1080"/>
        <w:gridCol w:w="1080"/>
        <w:gridCol w:w="1080"/>
        <w:gridCol w:w="1078"/>
        <w:gridCol w:w="1417"/>
        <w:gridCol w:w="1418"/>
      </w:tblGrid>
      <w:tr w:rsidR="00337ABE" w:rsidRPr="00F93674" w:rsidTr="00F93674">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c>
          <w:tcPr>
            <w:tcW w:w="1418" w:type="dxa"/>
            <w:tcBorders>
              <w:top w:val="single" w:sz="8" w:space="0" w:color="auto"/>
              <w:left w:val="nil"/>
              <w:bottom w:val="single" w:sz="8" w:space="0" w:color="auto"/>
              <w:right w:val="single" w:sz="8"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w:t>
            </w:r>
            <w:r w:rsidRPr="00F93674">
              <w:rPr>
                <w:rFonts w:ascii="华文仿宋" w:eastAsia="华文仿宋" w:hAnsi="华文仿宋" w:cs="宋体" w:hint="eastAsia"/>
                <w:kern w:val="0"/>
                <w:sz w:val="28"/>
                <w:szCs w:val="28"/>
              </w:rPr>
              <w:lastRenderedPageBreak/>
              <w:t>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27" w:name="_Toc460250413"/>
      <w:bookmarkStart w:id="328" w:name="_Toc296600822"/>
      <w:bookmarkStart w:id="329" w:name="_Toc281568214"/>
      <w:bookmarkStart w:id="330" w:name="_Toc505350017"/>
      <w:bookmarkStart w:id="331" w:name="_Toc1736592"/>
      <w:bookmarkStart w:id="332" w:name="_Toc536797021"/>
      <w:bookmarkStart w:id="333" w:name="_Toc4160094"/>
      <w:bookmarkStart w:id="334" w:name="_Toc4768364"/>
      <w:bookmarkStart w:id="335" w:name="_Toc5281991"/>
      <w:bookmarkStart w:id="336" w:name="_Toc2934034"/>
      <w:bookmarkStart w:id="337" w:name="_Toc4768344"/>
      <w:bookmarkStart w:id="338" w:name="_Toc2934055"/>
      <w:bookmarkStart w:id="339" w:name="_Toc5976966"/>
      <w:bookmarkStart w:id="340" w:name="_Toc5976986"/>
      <w:bookmarkStart w:id="341" w:name="_Toc10211777"/>
      <w:bookmarkStart w:id="342" w:name="_Toc10731589"/>
      <w:bookmarkStart w:id="343" w:name="_Toc12625701"/>
      <w:bookmarkStart w:id="344" w:name="_Toc12625791"/>
      <w:bookmarkStart w:id="345" w:name="_Toc15022892"/>
      <w:bookmarkStart w:id="346" w:name="_Toc15049649"/>
      <w:bookmarkStart w:id="347" w:name="_Toc15654591"/>
      <w:bookmarkStart w:id="348" w:name="_Toc16257714"/>
      <w:bookmarkStart w:id="349" w:name="_Toc16861066"/>
      <w:bookmarkStart w:id="350" w:name="_Toc17467224"/>
      <w:r>
        <w:rPr>
          <w:rFonts w:ascii="华文仿宋" w:eastAsia="华文仿宋" w:hAnsi="华文仿宋" w:hint="eastAsia"/>
          <w:bCs w:val="0"/>
          <w:kern w:val="2"/>
          <w:sz w:val="28"/>
          <w:szCs w:val="28"/>
        </w:rPr>
        <w:t>七、重芳烃溶剂油</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65"/>
        <w:gridCol w:w="1058"/>
        <w:gridCol w:w="1058"/>
        <w:gridCol w:w="1150"/>
        <w:gridCol w:w="1058"/>
        <w:gridCol w:w="1139"/>
        <w:gridCol w:w="1416"/>
        <w:gridCol w:w="1416"/>
      </w:tblGrid>
      <w:tr w:rsidR="00337ABE" w:rsidRPr="00B14058" w:rsidTr="001346D7">
        <w:trPr>
          <w:trHeight w:val="825"/>
          <w:jc w:val="center"/>
        </w:trPr>
        <w:tc>
          <w:tcPr>
            <w:tcW w:w="86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139"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6" w:type="dxa"/>
            <w:tcBorders>
              <w:top w:val="single" w:sz="4" w:space="0" w:color="auto"/>
              <w:left w:val="nil"/>
              <w:bottom w:val="single" w:sz="4" w:space="0" w:color="auto"/>
              <w:right w:val="single" w:sz="4" w:space="0" w:color="auto"/>
            </w:tcBorders>
            <w:shd w:val="clear" w:color="000000" w:fill="99CCFF"/>
            <w:vAlign w:val="bottom"/>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c>
          <w:tcPr>
            <w:tcW w:w="1416" w:type="dxa"/>
            <w:tcBorders>
              <w:top w:val="single" w:sz="8" w:space="0" w:color="auto"/>
              <w:left w:val="nil"/>
              <w:bottom w:val="single" w:sz="8" w:space="0" w:color="auto"/>
              <w:right w:val="single" w:sz="8" w:space="0" w:color="auto"/>
            </w:tcBorders>
            <w:shd w:val="clear" w:color="000000" w:fill="99CCFF"/>
            <w:vAlign w:val="bottom"/>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w:t>
            </w:r>
            <w:r w:rsidRPr="00B14058">
              <w:rPr>
                <w:rFonts w:ascii="华文仿宋" w:eastAsia="华文仿宋" w:hAnsi="华文仿宋" w:cs="宋体" w:hint="eastAsia"/>
                <w:kern w:val="0"/>
                <w:sz w:val="28"/>
                <w:szCs w:val="28"/>
              </w:rPr>
              <w:lastRenderedPageBreak/>
              <w:t>邦</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1000#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337ABE"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337ABE"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337ABE"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337ABE"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w:t>
            </w:r>
            <w:r w:rsidRPr="00B14058">
              <w:rPr>
                <w:rFonts w:ascii="华文仿宋" w:eastAsia="华文仿宋" w:hAnsi="华文仿宋" w:cs="宋体" w:hint="eastAsia"/>
                <w:kern w:val="0"/>
                <w:sz w:val="28"/>
                <w:szCs w:val="28"/>
              </w:rPr>
              <w:lastRenderedPageBreak/>
              <w:t>惠州</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C9</w:t>
            </w:r>
          </w:p>
        </w:tc>
        <w:tc>
          <w:tcPr>
            <w:tcW w:w="1058" w:type="dxa"/>
            <w:tcBorders>
              <w:top w:val="nil"/>
              <w:left w:val="nil"/>
              <w:bottom w:val="single" w:sz="8" w:space="0" w:color="auto"/>
              <w:right w:val="single" w:sz="8" w:space="0" w:color="auto"/>
            </w:tcBorders>
            <w:shd w:val="clear" w:color="000000" w:fill="FFFF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51" w:name="_Toc4768345"/>
      <w:bookmarkStart w:id="352" w:name="_Toc2934056"/>
      <w:bookmarkStart w:id="353" w:name="_Toc505350018"/>
      <w:bookmarkStart w:id="354" w:name="_Toc5976987"/>
      <w:bookmarkStart w:id="355" w:name="_Toc4768365"/>
      <w:bookmarkStart w:id="356" w:name="_Toc4160095"/>
      <w:bookmarkStart w:id="357" w:name="_Toc5281992"/>
      <w:bookmarkStart w:id="358" w:name="_Toc5976967"/>
      <w:bookmarkStart w:id="359" w:name="_Toc296600823"/>
      <w:bookmarkStart w:id="360" w:name="_Toc460250414"/>
      <w:bookmarkStart w:id="361" w:name="_Toc281568215"/>
      <w:bookmarkStart w:id="362" w:name="_Toc1736593"/>
      <w:bookmarkStart w:id="363" w:name="_Toc536797022"/>
      <w:bookmarkStart w:id="364" w:name="_Toc180485835"/>
      <w:bookmarkStart w:id="365" w:name="_Toc2934035"/>
      <w:bookmarkStart w:id="366" w:name="_Toc10211778"/>
      <w:bookmarkStart w:id="367" w:name="_Toc10731590"/>
      <w:bookmarkStart w:id="368" w:name="_Toc12625702"/>
      <w:bookmarkStart w:id="369" w:name="_Toc12625792"/>
      <w:bookmarkStart w:id="370" w:name="_Toc15022893"/>
      <w:bookmarkStart w:id="371" w:name="_Toc15049650"/>
      <w:bookmarkStart w:id="372" w:name="_Toc15654592"/>
      <w:bookmarkStart w:id="373" w:name="_Toc16257715"/>
      <w:bookmarkStart w:id="374" w:name="_Toc16861067"/>
      <w:bookmarkStart w:id="375" w:name="_Toc17467225"/>
      <w:r>
        <w:rPr>
          <w:rFonts w:ascii="华文仿宋" w:eastAsia="华文仿宋" w:hAnsi="华文仿宋" w:hint="eastAsia"/>
          <w:bCs w:val="0"/>
          <w:kern w:val="2"/>
          <w:sz w:val="28"/>
          <w:szCs w:val="28"/>
        </w:rPr>
        <w:t>八、正己烷</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80"/>
        <w:gridCol w:w="1300"/>
        <w:gridCol w:w="1080"/>
        <w:gridCol w:w="1080"/>
        <w:gridCol w:w="1460"/>
        <w:gridCol w:w="1460"/>
        <w:gridCol w:w="1480"/>
      </w:tblGrid>
      <w:tr w:rsidR="00337ABE" w:rsidRPr="00B14058" w:rsidTr="00B14058">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300"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6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60" w:type="dxa"/>
            <w:tcBorders>
              <w:top w:val="single" w:sz="4" w:space="0" w:color="auto"/>
              <w:left w:val="nil"/>
              <w:bottom w:val="single" w:sz="4" w:space="0" w:color="auto"/>
              <w:right w:val="single" w:sz="4" w:space="0" w:color="auto"/>
            </w:tcBorders>
            <w:shd w:val="clear" w:color="000000" w:fill="99CCFF"/>
            <w:vAlign w:val="bottom"/>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c>
          <w:tcPr>
            <w:tcW w:w="1480" w:type="dxa"/>
            <w:tcBorders>
              <w:top w:val="single" w:sz="8" w:space="0" w:color="auto"/>
              <w:left w:val="nil"/>
              <w:bottom w:val="single" w:sz="8" w:space="0" w:color="auto"/>
              <w:right w:val="single" w:sz="8" w:space="0" w:color="auto"/>
            </w:tcBorders>
            <w:shd w:val="clear" w:color="000000" w:fill="99CCFF"/>
            <w:vAlign w:val="bottom"/>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2019/8/16</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0A3783" w:rsidRPr="00B14058" w:rsidTr="00B14058">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7600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76" w:name="_Toc281568216"/>
      <w:bookmarkStart w:id="377" w:name="_Toc2934036"/>
      <w:bookmarkStart w:id="378" w:name="_Toc1736594"/>
      <w:bookmarkStart w:id="379" w:name="_Toc5976968"/>
      <w:bookmarkStart w:id="380" w:name="_Toc5976988"/>
      <w:bookmarkStart w:id="381" w:name="_Toc4160096"/>
      <w:bookmarkStart w:id="382" w:name="_Toc4768366"/>
      <w:bookmarkStart w:id="383" w:name="_Toc2934057"/>
      <w:bookmarkStart w:id="384" w:name="_Toc4768346"/>
      <w:bookmarkStart w:id="385" w:name="_Toc296600824"/>
      <w:bookmarkStart w:id="386" w:name="_Toc536797023"/>
      <w:bookmarkStart w:id="387" w:name="_Toc505350019"/>
      <w:bookmarkStart w:id="388" w:name="_Toc5281993"/>
      <w:bookmarkStart w:id="389" w:name="_Toc460250415"/>
      <w:bookmarkStart w:id="390" w:name="_Toc10211779"/>
      <w:bookmarkStart w:id="391" w:name="_Toc10731591"/>
      <w:bookmarkStart w:id="392" w:name="_Toc12625703"/>
      <w:bookmarkStart w:id="393" w:name="_Toc12625793"/>
      <w:bookmarkStart w:id="394" w:name="_Toc15022894"/>
      <w:bookmarkStart w:id="395" w:name="_Toc15049651"/>
      <w:bookmarkStart w:id="396" w:name="_Toc15654593"/>
      <w:bookmarkStart w:id="397" w:name="_Toc16257716"/>
      <w:bookmarkStart w:id="398" w:name="_Toc16861068"/>
      <w:bookmarkStart w:id="399" w:name="_Toc17467226"/>
      <w:r>
        <w:rPr>
          <w:rFonts w:ascii="华文仿宋" w:eastAsia="华文仿宋" w:hAnsi="华文仿宋" w:hint="eastAsia"/>
          <w:bCs w:val="0"/>
          <w:kern w:val="2"/>
          <w:sz w:val="28"/>
          <w:szCs w:val="28"/>
        </w:rPr>
        <w:t>九、2018年11月中国溶剂油进出口数据统计</w:t>
      </w:r>
      <w:bookmarkEnd w:id="27"/>
      <w:bookmarkEnd w:id="28"/>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w:t>
            </w:r>
            <w:r>
              <w:rPr>
                <w:rFonts w:ascii="华文仿宋" w:eastAsia="华文仿宋" w:hAnsi="华文仿宋" w:cs="华文仿宋" w:hint="eastAsia"/>
                <w:color w:val="000000"/>
                <w:kern w:val="0"/>
                <w:sz w:val="28"/>
                <w:szCs w:val="28"/>
              </w:rPr>
              <w:lastRenderedPageBreak/>
              <w:t>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FCD" w:rsidRDefault="00392FCD" w:rsidP="002F12E4">
      <w:r>
        <w:separator/>
      </w:r>
    </w:p>
  </w:endnote>
  <w:endnote w:type="continuationSeparator" w:id="1">
    <w:p w:rsidR="00392FCD" w:rsidRDefault="00392FCD"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D4" w:rsidRDefault="00EF50FB">
    <w:pPr>
      <w:pStyle w:val="a7"/>
      <w:jc w:val="center"/>
    </w:pPr>
    <w:r>
      <w:rPr>
        <w:b/>
        <w:bCs/>
        <w:sz w:val="24"/>
        <w:szCs w:val="24"/>
      </w:rPr>
      <w:fldChar w:fldCharType="begin"/>
    </w:r>
    <w:r w:rsidR="00047AD4">
      <w:rPr>
        <w:b/>
        <w:bCs/>
      </w:rPr>
      <w:instrText>PAGE</w:instrText>
    </w:r>
    <w:r>
      <w:rPr>
        <w:b/>
        <w:bCs/>
        <w:sz w:val="24"/>
        <w:szCs w:val="24"/>
      </w:rPr>
      <w:fldChar w:fldCharType="separate"/>
    </w:r>
    <w:r w:rsidR="009D1533">
      <w:rPr>
        <w:b/>
        <w:bCs/>
        <w:noProof/>
      </w:rPr>
      <w:t>2</w:t>
    </w:r>
    <w:r>
      <w:rPr>
        <w:b/>
        <w:bCs/>
        <w:sz w:val="24"/>
        <w:szCs w:val="24"/>
      </w:rPr>
      <w:fldChar w:fldCharType="end"/>
    </w:r>
    <w:r w:rsidR="00047AD4">
      <w:rPr>
        <w:lang w:val="zh-CN"/>
      </w:rPr>
      <w:t xml:space="preserve"> / </w:t>
    </w:r>
    <w:r>
      <w:rPr>
        <w:b/>
        <w:bCs/>
        <w:sz w:val="24"/>
        <w:szCs w:val="24"/>
      </w:rPr>
      <w:fldChar w:fldCharType="begin"/>
    </w:r>
    <w:r w:rsidR="00047AD4">
      <w:rPr>
        <w:b/>
        <w:bCs/>
      </w:rPr>
      <w:instrText>NUMPAGES</w:instrText>
    </w:r>
    <w:r>
      <w:rPr>
        <w:b/>
        <w:bCs/>
        <w:sz w:val="24"/>
        <w:szCs w:val="24"/>
      </w:rPr>
      <w:fldChar w:fldCharType="separate"/>
    </w:r>
    <w:r w:rsidR="009D1533">
      <w:rPr>
        <w:b/>
        <w:bCs/>
        <w:noProof/>
      </w:rPr>
      <w:t>46</w:t>
    </w:r>
    <w:r>
      <w:rPr>
        <w:b/>
        <w:bCs/>
        <w:sz w:val="24"/>
        <w:szCs w:val="24"/>
      </w:rPr>
      <w:fldChar w:fldCharType="end"/>
    </w:r>
  </w:p>
  <w:p w:rsidR="00047AD4" w:rsidRDefault="00047A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FCD" w:rsidRDefault="00392FCD" w:rsidP="002F12E4">
      <w:r>
        <w:separator/>
      </w:r>
    </w:p>
  </w:footnote>
  <w:footnote w:type="continuationSeparator" w:id="1">
    <w:p w:rsidR="00392FCD" w:rsidRDefault="00392FCD"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D4" w:rsidRDefault="00047AD4">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47AD4" w:rsidRDefault="00047AD4">
    <w:pPr>
      <w:pStyle w:val="a8"/>
      <w:pBdr>
        <w:bottom w:val="none" w:sz="0" w:space="0" w:color="auto"/>
      </w:pBdr>
      <w:tabs>
        <w:tab w:val="clear" w:pos="8306"/>
        <w:tab w:val="left" w:pos="4200"/>
        <w:tab w:val="left" w:pos="4620"/>
      </w:tabs>
      <w:jc w:val="left"/>
    </w:pPr>
    <w:r>
      <w:tab/>
    </w:r>
    <w:r>
      <w:tab/>
    </w:r>
    <w:r>
      <w:tab/>
    </w:r>
    <w:r>
      <w:tab/>
    </w:r>
  </w:p>
  <w:p w:rsidR="00047AD4" w:rsidRDefault="00047AD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161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567F"/>
    <w:rsid w:val="00057ECC"/>
    <w:rsid w:val="00060511"/>
    <w:rsid w:val="00061563"/>
    <w:rsid w:val="00062A8E"/>
    <w:rsid w:val="00063B35"/>
    <w:rsid w:val="00064D33"/>
    <w:rsid w:val="000654E9"/>
    <w:rsid w:val="000659EB"/>
    <w:rsid w:val="000672ED"/>
    <w:rsid w:val="0007498D"/>
    <w:rsid w:val="000824CA"/>
    <w:rsid w:val="000828AD"/>
    <w:rsid w:val="00084C53"/>
    <w:rsid w:val="00085917"/>
    <w:rsid w:val="00085ADA"/>
    <w:rsid w:val="000862A0"/>
    <w:rsid w:val="00087B10"/>
    <w:rsid w:val="0009414D"/>
    <w:rsid w:val="00096A95"/>
    <w:rsid w:val="00097DEF"/>
    <w:rsid w:val="000A0D0E"/>
    <w:rsid w:val="000A3783"/>
    <w:rsid w:val="000B03A3"/>
    <w:rsid w:val="000B1002"/>
    <w:rsid w:val="000B1594"/>
    <w:rsid w:val="000B2483"/>
    <w:rsid w:val="000B4670"/>
    <w:rsid w:val="000C2905"/>
    <w:rsid w:val="000C3871"/>
    <w:rsid w:val="000C409C"/>
    <w:rsid w:val="000C4C8D"/>
    <w:rsid w:val="000D02E6"/>
    <w:rsid w:val="000D07A4"/>
    <w:rsid w:val="000D3112"/>
    <w:rsid w:val="000D3893"/>
    <w:rsid w:val="000D6DB7"/>
    <w:rsid w:val="000D7C1F"/>
    <w:rsid w:val="000E12DD"/>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46D7"/>
    <w:rsid w:val="001351B0"/>
    <w:rsid w:val="00137FFE"/>
    <w:rsid w:val="0014013A"/>
    <w:rsid w:val="00140710"/>
    <w:rsid w:val="001479D7"/>
    <w:rsid w:val="00147D86"/>
    <w:rsid w:val="001501E5"/>
    <w:rsid w:val="00150B7B"/>
    <w:rsid w:val="001546FC"/>
    <w:rsid w:val="00156DA8"/>
    <w:rsid w:val="00165F76"/>
    <w:rsid w:val="00167025"/>
    <w:rsid w:val="00174197"/>
    <w:rsid w:val="001805D9"/>
    <w:rsid w:val="00183F2A"/>
    <w:rsid w:val="001909B4"/>
    <w:rsid w:val="00190EB4"/>
    <w:rsid w:val="00191D80"/>
    <w:rsid w:val="00194FF2"/>
    <w:rsid w:val="00195689"/>
    <w:rsid w:val="001A3318"/>
    <w:rsid w:val="001A3BEB"/>
    <w:rsid w:val="001A58F5"/>
    <w:rsid w:val="001A7ED8"/>
    <w:rsid w:val="001B0F30"/>
    <w:rsid w:val="001B2E5D"/>
    <w:rsid w:val="001B317F"/>
    <w:rsid w:val="001B32BE"/>
    <w:rsid w:val="001B7F7D"/>
    <w:rsid w:val="001C077C"/>
    <w:rsid w:val="001C20CD"/>
    <w:rsid w:val="001C2EBD"/>
    <w:rsid w:val="001C37E2"/>
    <w:rsid w:val="001C5CC6"/>
    <w:rsid w:val="001C6F15"/>
    <w:rsid w:val="001D119C"/>
    <w:rsid w:val="001D1279"/>
    <w:rsid w:val="001D1660"/>
    <w:rsid w:val="001D2FA8"/>
    <w:rsid w:val="001D35A4"/>
    <w:rsid w:val="001D3943"/>
    <w:rsid w:val="001D408B"/>
    <w:rsid w:val="001D48F1"/>
    <w:rsid w:val="001D4DC7"/>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18B5"/>
    <w:rsid w:val="00294EAC"/>
    <w:rsid w:val="0029581D"/>
    <w:rsid w:val="0029698F"/>
    <w:rsid w:val="002A0B34"/>
    <w:rsid w:val="002A1698"/>
    <w:rsid w:val="002A4F6D"/>
    <w:rsid w:val="002B018D"/>
    <w:rsid w:val="002B3AF4"/>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7354"/>
    <w:rsid w:val="003135BD"/>
    <w:rsid w:val="0031365E"/>
    <w:rsid w:val="0032110B"/>
    <w:rsid w:val="003240B9"/>
    <w:rsid w:val="00324F27"/>
    <w:rsid w:val="00326F50"/>
    <w:rsid w:val="00327FC0"/>
    <w:rsid w:val="00334BA1"/>
    <w:rsid w:val="00335FD6"/>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2FCD"/>
    <w:rsid w:val="00393702"/>
    <w:rsid w:val="003945A0"/>
    <w:rsid w:val="00394660"/>
    <w:rsid w:val="00394B51"/>
    <w:rsid w:val="00396825"/>
    <w:rsid w:val="00396ACE"/>
    <w:rsid w:val="00397D27"/>
    <w:rsid w:val="003A05B5"/>
    <w:rsid w:val="003A177D"/>
    <w:rsid w:val="003A1B34"/>
    <w:rsid w:val="003A236C"/>
    <w:rsid w:val="003A354F"/>
    <w:rsid w:val="003A4492"/>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6E1"/>
    <w:rsid w:val="003F29A5"/>
    <w:rsid w:val="003F30FD"/>
    <w:rsid w:val="003F5F7C"/>
    <w:rsid w:val="003F6DCC"/>
    <w:rsid w:val="003F76C3"/>
    <w:rsid w:val="00405A2D"/>
    <w:rsid w:val="00407D07"/>
    <w:rsid w:val="0041068E"/>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5FD1"/>
    <w:rsid w:val="00461576"/>
    <w:rsid w:val="00465A63"/>
    <w:rsid w:val="004663E4"/>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E1A"/>
    <w:rsid w:val="0059652E"/>
    <w:rsid w:val="005965F5"/>
    <w:rsid w:val="00597091"/>
    <w:rsid w:val="00597232"/>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7C50"/>
    <w:rsid w:val="005E01E3"/>
    <w:rsid w:val="005E1F2A"/>
    <w:rsid w:val="005E2512"/>
    <w:rsid w:val="005E5619"/>
    <w:rsid w:val="005F3DC7"/>
    <w:rsid w:val="005F4FD4"/>
    <w:rsid w:val="00603412"/>
    <w:rsid w:val="006124EF"/>
    <w:rsid w:val="00612F43"/>
    <w:rsid w:val="006145D2"/>
    <w:rsid w:val="00616239"/>
    <w:rsid w:val="006229EB"/>
    <w:rsid w:val="00623E59"/>
    <w:rsid w:val="00627BE6"/>
    <w:rsid w:val="00630ED3"/>
    <w:rsid w:val="00632B23"/>
    <w:rsid w:val="00634572"/>
    <w:rsid w:val="0063461D"/>
    <w:rsid w:val="00635578"/>
    <w:rsid w:val="006409F2"/>
    <w:rsid w:val="00640ACF"/>
    <w:rsid w:val="00650197"/>
    <w:rsid w:val="00650D2E"/>
    <w:rsid w:val="00652624"/>
    <w:rsid w:val="00654D32"/>
    <w:rsid w:val="00660BE8"/>
    <w:rsid w:val="00660FA3"/>
    <w:rsid w:val="00661E23"/>
    <w:rsid w:val="006667CE"/>
    <w:rsid w:val="00670DCC"/>
    <w:rsid w:val="00672B6D"/>
    <w:rsid w:val="00673BF4"/>
    <w:rsid w:val="00674F58"/>
    <w:rsid w:val="00677A2A"/>
    <w:rsid w:val="00680293"/>
    <w:rsid w:val="006805C3"/>
    <w:rsid w:val="006813E0"/>
    <w:rsid w:val="00685EB7"/>
    <w:rsid w:val="00685F6D"/>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E6B"/>
    <w:rsid w:val="007056A7"/>
    <w:rsid w:val="00707175"/>
    <w:rsid w:val="00707732"/>
    <w:rsid w:val="0070783A"/>
    <w:rsid w:val="00713A74"/>
    <w:rsid w:val="00715AEB"/>
    <w:rsid w:val="00720A30"/>
    <w:rsid w:val="00721AE4"/>
    <w:rsid w:val="00723454"/>
    <w:rsid w:val="007271CA"/>
    <w:rsid w:val="00730BB5"/>
    <w:rsid w:val="007314A0"/>
    <w:rsid w:val="00731F5F"/>
    <w:rsid w:val="007324AB"/>
    <w:rsid w:val="007326DF"/>
    <w:rsid w:val="0073688D"/>
    <w:rsid w:val="00737AF5"/>
    <w:rsid w:val="00742A37"/>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E9B"/>
    <w:rsid w:val="007B0EA0"/>
    <w:rsid w:val="007B2431"/>
    <w:rsid w:val="007B38A5"/>
    <w:rsid w:val="007B3E0D"/>
    <w:rsid w:val="007B4C66"/>
    <w:rsid w:val="007C001C"/>
    <w:rsid w:val="007C0E95"/>
    <w:rsid w:val="007C32F6"/>
    <w:rsid w:val="007C748B"/>
    <w:rsid w:val="007D28DE"/>
    <w:rsid w:val="007D375F"/>
    <w:rsid w:val="007D70EC"/>
    <w:rsid w:val="007D72AD"/>
    <w:rsid w:val="007E012D"/>
    <w:rsid w:val="007E177D"/>
    <w:rsid w:val="007E52C7"/>
    <w:rsid w:val="007E6808"/>
    <w:rsid w:val="007E6FF7"/>
    <w:rsid w:val="007F0394"/>
    <w:rsid w:val="007F1029"/>
    <w:rsid w:val="007F4AE2"/>
    <w:rsid w:val="007F4B19"/>
    <w:rsid w:val="0080356F"/>
    <w:rsid w:val="00806040"/>
    <w:rsid w:val="008156F9"/>
    <w:rsid w:val="008161B2"/>
    <w:rsid w:val="00820E03"/>
    <w:rsid w:val="00821F3D"/>
    <w:rsid w:val="00823808"/>
    <w:rsid w:val="00825E46"/>
    <w:rsid w:val="00832565"/>
    <w:rsid w:val="008336D0"/>
    <w:rsid w:val="00835D26"/>
    <w:rsid w:val="00836111"/>
    <w:rsid w:val="008370FE"/>
    <w:rsid w:val="00837F73"/>
    <w:rsid w:val="00837FE5"/>
    <w:rsid w:val="008400E1"/>
    <w:rsid w:val="00844D40"/>
    <w:rsid w:val="00847F03"/>
    <w:rsid w:val="0085080D"/>
    <w:rsid w:val="00851423"/>
    <w:rsid w:val="00851ABE"/>
    <w:rsid w:val="00851E9E"/>
    <w:rsid w:val="008526E8"/>
    <w:rsid w:val="00853A64"/>
    <w:rsid w:val="00853E97"/>
    <w:rsid w:val="00854715"/>
    <w:rsid w:val="00856FC8"/>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4685"/>
    <w:rsid w:val="00897839"/>
    <w:rsid w:val="008A0EA8"/>
    <w:rsid w:val="008A551C"/>
    <w:rsid w:val="008A71DE"/>
    <w:rsid w:val="008C599F"/>
    <w:rsid w:val="008D3798"/>
    <w:rsid w:val="008D3C02"/>
    <w:rsid w:val="008D4C33"/>
    <w:rsid w:val="008D6398"/>
    <w:rsid w:val="008E2155"/>
    <w:rsid w:val="008E2C6F"/>
    <w:rsid w:val="008E6CAE"/>
    <w:rsid w:val="008F047D"/>
    <w:rsid w:val="008F309D"/>
    <w:rsid w:val="008F4D12"/>
    <w:rsid w:val="008F6EB4"/>
    <w:rsid w:val="009136FA"/>
    <w:rsid w:val="00914B70"/>
    <w:rsid w:val="009166B6"/>
    <w:rsid w:val="00916884"/>
    <w:rsid w:val="00917A6A"/>
    <w:rsid w:val="00920F2D"/>
    <w:rsid w:val="00921A1B"/>
    <w:rsid w:val="00922FF4"/>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7D1"/>
    <w:rsid w:val="00974AAA"/>
    <w:rsid w:val="00974DF6"/>
    <w:rsid w:val="00974FDE"/>
    <w:rsid w:val="00975441"/>
    <w:rsid w:val="00975BF1"/>
    <w:rsid w:val="00980354"/>
    <w:rsid w:val="00980E9A"/>
    <w:rsid w:val="00987DE6"/>
    <w:rsid w:val="00990170"/>
    <w:rsid w:val="00992AF4"/>
    <w:rsid w:val="00993180"/>
    <w:rsid w:val="00997B04"/>
    <w:rsid w:val="009A3031"/>
    <w:rsid w:val="009A6AB7"/>
    <w:rsid w:val="009B11C6"/>
    <w:rsid w:val="009B1709"/>
    <w:rsid w:val="009B6343"/>
    <w:rsid w:val="009C365B"/>
    <w:rsid w:val="009C52F3"/>
    <w:rsid w:val="009C5E0B"/>
    <w:rsid w:val="009D1533"/>
    <w:rsid w:val="009D30D0"/>
    <w:rsid w:val="009D3DF0"/>
    <w:rsid w:val="009D4038"/>
    <w:rsid w:val="009D4595"/>
    <w:rsid w:val="009D4EB3"/>
    <w:rsid w:val="009E4F67"/>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5050"/>
    <w:rsid w:val="00A26CD6"/>
    <w:rsid w:val="00A31F3B"/>
    <w:rsid w:val="00A33138"/>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6EDC"/>
    <w:rsid w:val="00B002B8"/>
    <w:rsid w:val="00B049AB"/>
    <w:rsid w:val="00B079E9"/>
    <w:rsid w:val="00B10C3E"/>
    <w:rsid w:val="00B14058"/>
    <w:rsid w:val="00B14D22"/>
    <w:rsid w:val="00B16BEF"/>
    <w:rsid w:val="00B16FDE"/>
    <w:rsid w:val="00B1736E"/>
    <w:rsid w:val="00B2427E"/>
    <w:rsid w:val="00B25F3F"/>
    <w:rsid w:val="00B26353"/>
    <w:rsid w:val="00B26CF4"/>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6912"/>
    <w:rsid w:val="00BD1EE5"/>
    <w:rsid w:val="00BD3E25"/>
    <w:rsid w:val="00BD4147"/>
    <w:rsid w:val="00BE0143"/>
    <w:rsid w:val="00BE088D"/>
    <w:rsid w:val="00BE41D1"/>
    <w:rsid w:val="00BE4927"/>
    <w:rsid w:val="00BE576B"/>
    <w:rsid w:val="00BE60C2"/>
    <w:rsid w:val="00BE656B"/>
    <w:rsid w:val="00BF4005"/>
    <w:rsid w:val="00BF56EB"/>
    <w:rsid w:val="00BF5FDD"/>
    <w:rsid w:val="00C010CC"/>
    <w:rsid w:val="00C017F9"/>
    <w:rsid w:val="00C0315D"/>
    <w:rsid w:val="00C04234"/>
    <w:rsid w:val="00C13B78"/>
    <w:rsid w:val="00C143F0"/>
    <w:rsid w:val="00C15280"/>
    <w:rsid w:val="00C16649"/>
    <w:rsid w:val="00C20AB6"/>
    <w:rsid w:val="00C21042"/>
    <w:rsid w:val="00C22F47"/>
    <w:rsid w:val="00C24580"/>
    <w:rsid w:val="00C25298"/>
    <w:rsid w:val="00C263DA"/>
    <w:rsid w:val="00C30738"/>
    <w:rsid w:val="00C510E8"/>
    <w:rsid w:val="00C5471C"/>
    <w:rsid w:val="00C550AF"/>
    <w:rsid w:val="00C558A1"/>
    <w:rsid w:val="00C56029"/>
    <w:rsid w:val="00C5695E"/>
    <w:rsid w:val="00C6171B"/>
    <w:rsid w:val="00C63E4A"/>
    <w:rsid w:val="00C7198C"/>
    <w:rsid w:val="00C7213E"/>
    <w:rsid w:val="00C76F2B"/>
    <w:rsid w:val="00C771C0"/>
    <w:rsid w:val="00C820FE"/>
    <w:rsid w:val="00C84381"/>
    <w:rsid w:val="00C85235"/>
    <w:rsid w:val="00C8580D"/>
    <w:rsid w:val="00C876BD"/>
    <w:rsid w:val="00C91326"/>
    <w:rsid w:val="00C91B70"/>
    <w:rsid w:val="00C95585"/>
    <w:rsid w:val="00C964F5"/>
    <w:rsid w:val="00CA0E82"/>
    <w:rsid w:val="00CA705C"/>
    <w:rsid w:val="00CB0B36"/>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50C45"/>
    <w:rsid w:val="00D51E6B"/>
    <w:rsid w:val="00D56268"/>
    <w:rsid w:val="00D56F92"/>
    <w:rsid w:val="00D57F76"/>
    <w:rsid w:val="00D61586"/>
    <w:rsid w:val="00D671D1"/>
    <w:rsid w:val="00D70593"/>
    <w:rsid w:val="00D70FE7"/>
    <w:rsid w:val="00D766DC"/>
    <w:rsid w:val="00D81013"/>
    <w:rsid w:val="00D82BDA"/>
    <w:rsid w:val="00D82E79"/>
    <w:rsid w:val="00D84ADA"/>
    <w:rsid w:val="00D853F5"/>
    <w:rsid w:val="00D859DE"/>
    <w:rsid w:val="00D86D2D"/>
    <w:rsid w:val="00D87D5F"/>
    <w:rsid w:val="00D919D9"/>
    <w:rsid w:val="00D9238E"/>
    <w:rsid w:val="00D9297B"/>
    <w:rsid w:val="00D9776A"/>
    <w:rsid w:val="00DA4501"/>
    <w:rsid w:val="00DA4F2B"/>
    <w:rsid w:val="00DA5FEE"/>
    <w:rsid w:val="00DA6C7F"/>
    <w:rsid w:val="00DB1006"/>
    <w:rsid w:val="00DB57C9"/>
    <w:rsid w:val="00DB5F48"/>
    <w:rsid w:val="00DB617D"/>
    <w:rsid w:val="00DB79D6"/>
    <w:rsid w:val="00DC417D"/>
    <w:rsid w:val="00DC43C2"/>
    <w:rsid w:val="00DC496E"/>
    <w:rsid w:val="00DC59D6"/>
    <w:rsid w:val="00DC60AC"/>
    <w:rsid w:val="00DC66A4"/>
    <w:rsid w:val="00DD0B3A"/>
    <w:rsid w:val="00DD21B3"/>
    <w:rsid w:val="00DD364C"/>
    <w:rsid w:val="00DD4A91"/>
    <w:rsid w:val="00DD4D46"/>
    <w:rsid w:val="00DD4EB3"/>
    <w:rsid w:val="00DD7167"/>
    <w:rsid w:val="00DD7E7D"/>
    <w:rsid w:val="00DE139B"/>
    <w:rsid w:val="00DE34F1"/>
    <w:rsid w:val="00DE3C73"/>
    <w:rsid w:val="00DE40FB"/>
    <w:rsid w:val="00DE5D71"/>
    <w:rsid w:val="00DF65D2"/>
    <w:rsid w:val="00DF7CAA"/>
    <w:rsid w:val="00E00471"/>
    <w:rsid w:val="00E0381A"/>
    <w:rsid w:val="00E04811"/>
    <w:rsid w:val="00E05707"/>
    <w:rsid w:val="00E0713D"/>
    <w:rsid w:val="00E072B6"/>
    <w:rsid w:val="00E141C3"/>
    <w:rsid w:val="00E15CC8"/>
    <w:rsid w:val="00E2087D"/>
    <w:rsid w:val="00E222B8"/>
    <w:rsid w:val="00E230E3"/>
    <w:rsid w:val="00E25E6A"/>
    <w:rsid w:val="00E30A09"/>
    <w:rsid w:val="00E30FC1"/>
    <w:rsid w:val="00E33D32"/>
    <w:rsid w:val="00E36209"/>
    <w:rsid w:val="00E4010A"/>
    <w:rsid w:val="00E4247F"/>
    <w:rsid w:val="00E508F5"/>
    <w:rsid w:val="00E54015"/>
    <w:rsid w:val="00E57AE9"/>
    <w:rsid w:val="00E6086B"/>
    <w:rsid w:val="00E61CE5"/>
    <w:rsid w:val="00E6237C"/>
    <w:rsid w:val="00E63712"/>
    <w:rsid w:val="00E63FA3"/>
    <w:rsid w:val="00E70F83"/>
    <w:rsid w:val="00E71E4A"/>
    <w:rsid w:val="00E73393"/>
    <w:rsid w:val="00E737F1"/>
    <w:rsid w:val="00E74D23"/>
    <w:rsid w:val="00E74DFA"/>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468B"/>
    <w:rsid w:val="00EE47B0"/>
    <w:rsid w:val="00EE7555"/>
    <w:rsid w:val="00EE78E5"/>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7571"/>
    <w:rsid w:val="00F4011D"/>
    <w:rsid w:val="00F4237A"/>
    <w:rsid w:val="00F42600"/>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3F0"/>
    <w:rsid w:val="00F76D8B"/>
    <w:rsid w:val="00F80C18"/>
    <w:rsid w:val="00F8269A"/>
    <w:rsid w:val="00F86930"/>
    <w:rsid w:val="00F87D35"/>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8-23.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2790</Words>
  <Characters>15908</Characters>
  <Application>Microsoft Office Word</Application>
  <DocSecurity>0</DocSecurity>
  <Lines>132</Lines>
  <Paragraphs>37</Paragraphs>
  <ScaleCrop>false</ScaleCrop>
  <Company>china</Company>
  <LinksUpToDate>false</LinksUpToDate>
  <CharactersWithSpaces>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dcterms:created xsi:type="dcterms:W3CDTF">2019-08-23T07:32:00Z</dcterms:created>
  <dcterms:modified xsi:type="dcterms:W3CDTF">2019-08-23T07:39:00Z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