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cs="Times New Roman"/>
        </w:rPr>
      </w:pPr>
      <w:bookmarkStart w:id="0" w:name="_Toc485828985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-804545</wp:posOffset>
            </wp:positionH>
            <wp:positionV relativeFrom="paragraph">
              <wp:posOffset>-1282700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cs="Times New Roman"/>
        </w:rPr>
      </w:pPr>
      <w:r>
        <w:pict>
          <v:shape id="文本框 2" o:spid="_x0000_s1028" o:spt="202" type="#_x0000_t202" style="position:absolute;left:0pt;margin-left:36.9pt;margin-top:586.45pt;height:110.7pt;width:419.1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23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default" w:eastAsia="黑体"/>
                      <w:lang w:val="en-US" w:eastAsia="zh-CN"/>
                    </w:rPr>
                  </w:pPr>
                  <w:bookmarkStart w:id="476" w:name="_Toc485981320"/>
                  <w:bookmarkStart w:id="477" w:name="_Toc485828984"/>
                  <w:bookmarkStart w:id="478" w:name="_Toc13217629"/>
                  <w:r>
                    <w:rPr>
                      <w:kern w:val="2"/>
                    </w:rPr>
                    <w:t>201</w:t>
                  </w:r>
                  <w:r>
                    <w:rPr>
                      <w:rFonts w:hint="eastAsia"/>
                      <w:kern w:val="2"/>
                    </w:rPr>
                    <w:t>9</w:t>
                  </w:r>
                  <w:r>
                    <w:rPr>
                      <w:kern w:val="2"/>
                    </w:rPr>
                    <w:t>.</w:t>
                  </w:r>
                  <w:bookmarkEnd w:id="476"/>
                  <w:bookmarkEnd w:id="477"/>
                  <w:r>
                    <w:rPr>
                      <w:rFonts w:hint="eastAsia"/>
                      <w:kern w:val="2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kern w:val="2"/>
                    </w:rPr>
                    <w:t>.</w:t>
                  </w:r>
                  <w:bookmarkEnd w:id="478"/>
                  <w:r>
                    <w:rPr>
                      <w:rFonts w:hint="eastAsia"/>
                      <w:kern w:val="2"/>
                      <w:lang w:val="en-US" w:eastAsia="zh-CN"/>
                    </w:rPr>
                    <w:t>6.13</w:t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rPr>
          <w:rFonts w:ascii="Times New Roman" w:eastAsia="黑体"/>
          <w:sz w:val="32"/>
          <w:szCs w:val="32"/>
        </w:rPr>
        <w:pict>
          <v:shape id="_x0000_s1030" o:spid="_x0000_s1030" o:spt="202" type="#_x0000_t202" style="position:absolute;left:0pt;margin-left:-0.9pt;margin-top:34.7pt;height:565.3pt;width:492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79" w:name="_Toc13217630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79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"_Toc13217629"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2019.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9</w:t>
                  </w:r>
                  <w:r>
                    <w:rPr>
                      <w:rStyle w:val="16"/>
                    </w:rPr>
                    <w:t>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13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_Toc13217629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"_Toc13217630"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氯碱市场周报目录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_Toc13217630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纯碱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_Toc13217631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评述：本周纯碱市场评述及行情预测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_Toc13217632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  <w:kern w:val="0"/>
                    </w:rPr>
                    <w:t>一、纯碱市场一周综述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_Toc13217633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 影响市场因素及后市预测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_Toc13217634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本周国内纯碱市场价格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_Toc13217635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烧碱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_Toc13217636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中国烧碱市场行情综述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_Toc13217637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tabs>
                      <w:tab w:val="left" w:pos="1050"/>
                    </w:tabs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"_Toc13217638"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</w:t>
                  </w:r>
                  <w:r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  <w:tab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市场综述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_Toc13217638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"_Toc13217639"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二、价格方面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_Toc13217639 \h </w:instrText>
                  </w:r>
                  <w:r>
                    <w:fldChar w:fldCharType="separate"/>
                  </w:r>
                  <w:r>
                    <w:t>6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本周国内片碱实际成交周汇总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_Toc13217640 \h </w:instrText>
                  </w:r>
                  <w:r>
                    <w:fldChar w:fldCharType="separate"/>
                  </w:r>
                  <w:r>
                    <w:t>7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液氯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_Toc13217641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评述：本周国内液氯市场评述及行情预测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_Toc13217642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一、中国液氯市场行情综述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_Toc13217643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_Toc13217644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三、山东市场分析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_Toc13217645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四、后市分析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_Toc13217646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国内地区市场价格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_Toc13217647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</w:p>
    <w:p>
      <w:pPr>
        <w:pStyle w:val="2"/>
        <w:spacing w:line="400" w:lineRule="exact"/>
        <w:jc w:val="center"/>
        <w:rPr>
          <w:rStyle w:val="24"/>
          <w:highlight w:val="none"/>
        </w:rPr>
      </w:pPr>
      <w:bookmarkStart w:id="1" w:name="_Toc534378400"/>
      <w:bookmarkStart w:id="2" w:name="_Toc517425038"/>
      <w:bookmarkStart w:id="3" w:name="_Toc522870760"/>
      <w:bookmarkStart w:id="4" w:name="_Toc9597659"/>
      <w:bookmarkStart w:id="5" w:name="_Toc511390005"/>
      <w:bookmarkStart w:id="6" w:name="_Toc521660547"/>
      <w:bookmarkStart w:id="7" w:name="_Toc528919986"/>
      <w:bookmarkStart w:id="8" w:name="_Toc536198167"/>
      <w:bookmarkStart w:id="9" w:name="_Toc1139285"/>
      <w:bookmarkStart w:id="10" w:name="_Toc4654028"/>
      <w:bookmarkStart w:id="11" w:name="_Toc8991653"/>
      <w:bookmarkStart w:id="12" w:name="_Toc535588708"/>
      <w:bookmarkStart w:id="13" w:name="_Toc8313133"/>
      <w:bookmarkStart w:id="14" w:name="_Toc529526325"/>
      <w:bookmarkStart w:id="15" w:name="_Toc530128349"/>
      <w:bookmarkStart w:id="16" w:name="_Toc536541137"/>
      <w:bookmarkStart w:id="17" w:name="_Toc528329956"/>
      <w:bookmarkStart w:id="18" w:name="_Toc8378815"/>
      <w:bookmarkStart w:id="19" w:name="_Toc513127190"/>
      <w:bookmarkStart w:id="20" w:name="_Toc4596891"/>
      <w:bookmarkStart w:id="21" w:name="_Toc1739294"/>
      <w:bookmarkStart w:id="22" w:name="_Toc525912526"/>
      <w:bookmarkStart w:id="23" w:name="_Toc522870745"/>
      <w:bookmarkStart w:id="24" w:name="_Toc525306474"/>
      <w:bookmarkStart w:id="25" w:name="_Toc1035930"/>
      <w:bookmarkStart w:id="26" w:name="_Toc518638259"/>
      <w:bookmarkStart w:id="27" w:name="_Toc522259764"/>
      <w:bookmarkStart w:id="28" w:name="_Toc528930993"/>
      <w:bookmarkStart w:id="29" w:name="_Toc531954272"/>
      <w:bookmarkStart w:id="30" w:name="_Toc532564037"/>
      <w:bookmarkStart w:id="31" w:name="_Toc520465076"/>
      <w:bookmarkStart w:id="32" w:name="_Toc516234891"/>
      <w:bookmarkStart w:id="33" w:name="_Toc522280054"/>
      <w:bookmarkStart w:id="34" w:name="_Toc522870769"/>
      <w:bookmarkStart w:id="35" w:name="_Toc522870751"/>
      <w:bookmarkStart w:id="36" w:name="_Toc515610373"/>
      <w:bookmarkStart w:id="37" w:name="_Toc532564260"/>
      <w:bookmarkStart w:id="38" w:name="_Toc536789785"/>
      <w:bookmarkStart w:id="39" w:name="_Toc4767063"/>
      <w:bookmarkStart w:id="40" w:name="_Toc524091681"/>
      <w:bookmarkStart w:id="41" w:name="_Toc4139106"/>
      <w:bookmarkStart w:id="42" w:name="_Toc533149330"/>
      <w:bookmarkStart w:id="43" w:name="_Toc527705000"/>
      <w:bookmarkStart w:id="44" w:name="_Toc527101790"/>
      <w:bookmarkStart w:id="45" w:name="_Toc519848557"/>
      <w:bookmarkStart w:id="46" w:name="_Toc518031999"/>
      <w:bookmarkStart w:id="47" w:name="_Toc532564063"/>
      <w:bookmarkStart w:id="48" w:name="_Toc9583952"/>
      <w:bookmarkStart w:id="49" w:name="_Toc12609903"/>
      <w:bookmarkStart w:id="50" w:name="_Toc525306463"/>
      <w:bookmarkStart w:id="51" w:name="_Toc13217631"/>
      <w:bookmarkStart w:id="52" w:name="_Toc524701464"/>
      <w:bookmarkStart w:id="53" w:name="_Toc485981321"/>
      <w:bookmarkStart w:id="54" w:name="_Toc392240276"/>
      <w:bookmarkStart w:id="55" w:name="_Toc530750139"/>
      <w:bookmarkStart w:id="56" w:name="_Toc525289546"/>
      <w:bookmarkStart w:id="57" w:name="_Toc1394100"/>
      <w:bookmarkStart w:id="58" w:name="_Toc536540307"/>
      <w:bookmarkStart w:id="59" w:name="_Toc516234897"/>
      <w:bookmarkStart w:id="60" w:name="_Toc534915165"/>
      <w:bookmarkStart w:id="61" w:name="_Toc10202308"/>
      <w:bookmarkStart w:id="62" w:name="_Toc516839084"/>
      <w:bookmarkStart w:id="63" w:name="_Toc521057601"/>
      <w:bookmarkStart w:id="64" w:name="_Toc300238840"/>
      <w:r>
        <w:rPr>
          <w:rFonts w:hint="eastAsia" w:cs="黑体"/>
          <w:highlight w:val="none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485981322"/>
      <w:bookmarkStart w:id="66" w:name="_Toc392240277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Style w:val="24"/>
          <w:rFonts w:ascii="黑体" w:hAnsi="黑体" w:eastAsia="黑体" w:cs="黑体"/>
          <w:sz w:val="30"/>
          <w:szCs w:val="30"/>
          <w:highlight w:val="none"/>
        </w:rPr>
      </w:pPr>
      <w:bookmarkStart w:id="67" w:name="_Toc518032000"/>
      <w:bookmarkStart w:id="68" w:name="_Toc530750140"/>
      <w:bookmarkStart w:id="69" w:name="_Toc522870746"/>
      <w:bookmarkStart w:id="70" w:name="_Toc524091682"/>
      <w:bookmarkStart w:id="71" w:name="_Toc511390006"/>
      <w:bookmarkStart w:id="72" w:name="_Toc529526326"/>
      <w:bookmarkStart w:id="73" w:name="_Toc521057602"/>
      <w:bookmarkStart w:id="74" w:name="_Toc532564064"/>
      <w:bookmarkStart w:id="75" w:name="_Toc524701465"/>
      <w:bookmarkStart w:id="76" w:name="_Toc536198168"/>
      <w:bookmarkStart w:id="77" w:name="_Toc522870752"/>
      <w:bookmarkStart w:id="78" w:name="_Toc1035931"/>
      <w:bookmarkStart w:id="79" w:name="_Toc1139286"/>
      <w:bookmarkStart w:id="80" w:name="_Toc520465077"/>
      <w:bookmarkStart w:id="81" w:name="_Toc516234892"/>
      <w:bookmarkStart w:id="82" w:name="_Toc528919987"/>
      <w:bookmarkStart w:id="83" w:name="_Toc1739295"/>
      <w:bookmarkStart w:id="84" w:name="_Toc525306475"/>
      <w:bookmarkStart w:id="85" w:name="_Toc532564261"/>
      <w:bookmarkStart w:id="86" w:name="_Toc521660548"/>
      <w:bookmarkStart w:id="87" w:name="_Toc532564038"/>
      <w:bookmarkStart w:id="88" w:name="_Toc536789786"/>
      <w:bookmarkStart w:id="89" w:name="_Toc530128350"/>
      <w:bookmarkStart w:id="90" w:name="_Toc527101791"/>
      <w:bookmarkStart w:id="91" w:name="_Toc4654029"/>
      <w:bookmarkStart w:id="92" w:name="_Toc534378401"/>
      <w:bookmarkStart w:id="93" w:name="_Toc534915166"/>
      <w:bookmarkStart w:id="94" w:name="_Toc525912527"/>
      <w:bookmarkStart w:id="95" w:name="_Toc528329957"/>
      <w:bookmarkStart w:id="96" w:name="_Toc536541138"/>
      <w:bookmarkStart w:id="97" w:name="_Toc516234898"/>
      <w:bookmarkStart w:id="98" w:name="_Toc522280055"/>
      <w:bookmarkStart w:id="99" w:name="_Toc525306464"/>
      <w:bookmarkStart w:id="100" w:name="_Toc531954273"/>
      <w:bookmarkStart w:id="101" w:name="_Toc515610374"/>
      <w:bookmarkStart w:id="102" w:name="_Toc517425039"/>
      <w:bookmarkStart w:id="103" w:name="_Toc519848558"/>
      <w:bookmarkStart w:id="104" w:name="_Toc513127191"/>
      <w:bookmarkStart w:id="105" w:name="_Toc535588709"/>
      <w:bookmarkStart w:id="106" w:name="_Toc4139107"/>
      <w:bookmarkStart w:id="107" w:name="_Toc4596892"/>
      <w:bookmarkStart w:id="108" w:name="_Toc522259765"/>
      <w:bookmarkStart w:id="109" w:name="_Toc522870761"/>
      <w:bookmarkStart w:id="110" w:name="_Toc522870770"/>
      <w:bookmarkStart w:id="111" w:name="_Toc525289547"/>
      <w:bookmarkStart w:id="112" w:name="_Toc527705001"/>
      <w:bookmarkStart w:id="113" w:name="_Toc536540308"/>
      <w:bookmarkStart w:id="114" w:name="_Toc528930994"/>
      <w:bookmarkStart w:id="115" w:name="_Toc516839085"/>
      <w:bookmarkStart w:id="116" w:name="_Toc533149331"/>
      <w:bookmarkStart w:id="117" w:name="_Toc518638260"/>
      <w:bookmarkStart w:id="118" w:name="_Toc1394101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Style w:val="24"/>
          <w:rFonts w:ascii="黑体" w:hAnsi="黑体" w:eastAsia="黑体" w:cs="黑体"/>
          <w:sz w:val="30"/>
          <w:szCs w:val="30"/>
          <w:highlight w:val="none"/>
        </w:rPr>
      </w:pPr>
      <w:bookmarkStart w:id="119" w:name="_Toc8313134"/>
      <w:bookmarkStart w:id="120" w:name="_Toc12609904"/>
      <w:bookmarkStart w:id="121" w:name="_Toc13217632"/>
      <w:bookmarkStart w:id="122" w:name="_Toc9597660"/>
      <w:bookmarkStart w:id="123" w:name="_Toc8378816"/>
      <w:bookmarkStart w:id="124" w:name="_Toc4767064"/>
      <w:bookmarkStart w:id="125" w:name="_Toc10202309"/>
      <w:bookmarkStart w:id="126" w:name="_Toc9583953"/>
      <w:bookmarkStart w:id="127" w:name="_Toc8991654"/>
      <w:r>
        <w:rPr>
          <w:rStyle w:val="24"/>
          <w:rFonts w:hint="eastAsia" w:ascii="黑体" w:hAnsi="黑体" w:eastAsia="黑体" w:cs="黑体"/>
          <w:sz w:val="30"/>
          <w:szCs w:val="30"/>
          <w:highlight w:val="none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rPr>
          <w:highlight w:val="none"/>
        </w:rPr>
      </w:pPr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ascii="黑体" w:hAnsi="黑体" w:eastAsia="黑体" w:cs="Times New Roman"/>
          <w:sz w:val="30"/>
          <w:szCs w:val="30"/>
          <w:highlight w:val="none"/>
        </w:rPr>
      </w:pPr>
      <w:bookmarkStart w:id="128" w:name="_Toc8378817"/>
      <w:bookmarkStart w:id="129" w:name="_Toc10202310"/>
      <w:bookmarkStart w:id="130" w:name="_Toc8313135"/>
      <w:bookmarkStart w:id="131" w:name="_Toc4767065"/>
      <w:bookmarkStart w:id="132" w:name="_Toc9597661"/>
      <w:bookmarkStart w:id="133" w:name="_Toc4596893"/>
      <w:bookmarkStart w:id="134" w:name="_Toc8991655"/>
      <w:bookmarkStart w:id="135" w:name="_Toc4654030"/>
      <w:bookmarkStart w:id="136" w:name="_Toc9583954"/>
      <w:bookmarkStart w:id="137" w:name="_Toc13217633"/>
      <w:bookmarkStart w:id="138" w:name="_Toc12609905"/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一、纯碱市场一周</w:t>
      </w: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综述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本周纯碱市场趋稳运行。供需方面，在上游企业稳产与低库存供应条件下，双节前期下游积极采买影响，市场短期交投氛围较佳，成交重心趋稳运行。影响因素方面：一，当前由于农业秋收运输量激增，多地运费增加、运输车队量供应紧张影响，上游企业充足订单发量影响明显，终端到货不均在各地表现不一;二，京津冀及周边多地颁布新政，要求在国庆前后(9月20日—10月10日)，所有化工(危化品)生产企业不得实施开停车作业、不得进行停产集中检维修作业、停止动火作业，已经停产的企业不得组织复产，另外10月10日前不再批准组织试生产。此消息促进上下游企业在该时段得以稳产运行，既是对纯碱企业稳产的限定，也是对下游企业稳产对纯碱需求稳定的保证，纯碱供需端将暂不会受政策有较大供需结构调整影响。综合来看，纯碱市场内影响因素有限，加上供需端平衡运行走势进一步驱动市场持续趋稳运行，业者心态观望为主。</w:t>
      </w:r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hint="eastAsia" w:ascii="黑体" w:hAnsi="黑体" w:eastAsia="黑体" w:cs="黑体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供应端：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bookmarkStart w:id="140" w:name="_Toc8378818"/>
      <w:bookmarkStart w:id="141" w:name="_Toc13217634"/>
      <w:bookmarkStart w:id="142" w:name="_Toc4654031"/>
      <w:bookmarkStart w:id="143" w:name="_Toc10202311"/>
      <w:bookmarkStart w:id="144" w:name="_Toc8991656"/>
      <w:bookmarkStart w:id="145" w:name="_Toc12609906"/>
      <w:bookmarkStart w:id="146" w:name="_Toc8313136"/>
      <w:bookmarkStart w:id="147" w:name="_Toc9597662"/>
      <w:bookmarkStart w:id="148" w:name="_Toc4596894"/>
      <w:bookmarkStart w:id="149" w:name="_Toc9583955"/>
      <w:bookmarkStart w:id="150" w:name="_Toc4767066"/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轻碱主流含税出厂价格：辽宁地区现阶段本地贸易出货含税出价在1750-1800元/吨左右，终端到货1850-1900元/吨左右;河北地区含税出价1700-1750元/吨;山东地区含税出价1700-1750元/吨;江苏地区主流含税出价1600-1680元/吨，部分高价以1650-1750元/吨;杭州地区含税出价1700-1750元/吨;福建地区含税出价1650-1680元/吨左右;广东地区含税出价1800-1850元/吨;华中地区主流含税出价1600-1650元/吨，部分高价在1680元/吨左右;青海地区含税出价1400-1480元/吨;川渝区域含税出价1680-1750元/吨;云贵地区含税出价1720-1750元/吨左右;江西区域含税出价1660-1700元/吨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重碱主流含税送到价格：目前华北地区重碱含税送到1800-1850元/吨左右，沙河区域含税送达1850元/吨(现汇价格);青海区域含税出厂价1450-1550元/吨以上;西南区域含税送到1800-1850元/吨;东北区域重碱主流含税送到1850-1900元/吨;广东重碱含税送到价格1900-1950元/吨;华东片区主流含税送到1850-1880元/吨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outlineLvl w:val="1"/>
        <w:rPr>
          <w:rFonts w:ascii="黑体" w:hAnsi="黑体" w:eastAsia="黑体" w:cs="黑体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</w:rPr>
        <w:t>影响市场因素及后市预测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bookmarkStart w:id="151" w:name="_Toc13217635"/>
      <w:bookmarkStart w:id="152" w:name="_Toc4767067"/>
      <w:bookmarkStart w:id="153" w:name="_Toc9583956"/>
      <w:bookmarkStart w:id="154" w:name="_Toc4654032"/>
      <w:bookmarkStart w:id="155" w:name="_Toc10202312"/>
      <w:bookmarkStart w:id="156" w:name="_Toc12609907"/>
      <w:bookmarkStart w:id="157" w:name="_Toc9597663"/>
      <w:bookmarkStart w:id="158" w:name="_Toc8378819"/>
      <w:bookmarkStart w:id="159" w:name="_Toc8313137"/>
      <w:bookmarkStart w:id="160" w:name="_Toc4596895"/>
      <w:bookmarkStart w:id="161" w:name="_Toc8991657"/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供应方面：下周纯碱装置检修影响有限，另外各企业库存低位，加上业者谨慎参与，整体供应仍以偏紧表现运行。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需求方面：一方面，下游玻璃行业正迎接金九银十，产销两旺增强生产积极性;另外下游用户在双节期间原料储存计划稳中走强，整体刚需表现强劲。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综合以上，虽有货源运输压力，但下游基本储量保障性强，供需端变动不强，预计下周上游纯碱企业外报售价调整不大，行情趋稳运行。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</w:p>
    <w:p>
      <w:pPr>
        <w:widowControl/>
        <w:ind w:firstLine="602" w:firstLineChars="200"/>
        <w:jc w:val="left"/>
        <w:outlineLvl w:val="2"/>
        <w:rPr>
          <w:rFonts w:ascii="仿宋" w:hAnsi="仿宋" w:eastAsia="仿宋" w:cs="仿宋"/>
          <w:sz w:val="28"/>
          <w:szCs w:val="28"/>
        </w:rPr>
      </w:pPr>
      <w:r>
        <w:rPr>
          <w:rStyle w:val="24"/>
          <w:rFonts w:hint="eastAsia"/>
          <w:b/>
          <w:bCs/>
          <w:sz w:val="30"/>
          <w:szCs w:val="30"/>
        </w:rPr>
        <w:t>本周国内纯碱市场价格</w:t>
      </w:r>
      <w:bookmarkEnd w:id="139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41"/>
        <w:gridCol w:w="1444"/>
        <w:gridCol w:w="1444"/>
        <w:gridCol w:w="1444"/>
        <w:gridCol w:w="14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</w:tr>
    </w:tbl>
    <w:p>
      <w:pPr>
        <w:spacing w:line="400" w:lineRule="exact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pStyle w:val="2"/>
        <w:spacing w:line="400" w:lineRule="exact"/>
        <w:jc w:val="center"/>
        <w:rPr>
          <w:rFonts w:hint="eastAsia" w:cs="黑体"/>
        </w:rPr>
      </w:pPr>
      <w:bookmarkStart w:id="162" w:name="_Toc519848559"/>
      <w:bookmarkStart w:id="163" w:name="_Toc525306476"/>
      <w:bookmarkStart w:id="164" w:name="_Toc518032001"/>
      <w:bookmarkStart w:id="165" w:name="_Toc522870771"/>
      <w:bookmarkStart w:id="166" w:name="_Toc528329958"/>
      <w:bookmarkStart w:id="167" w:name="_Toc521660549"/>
      <w:bookmarkStart w:id="168" w:name="_Toc522259766"/>
      <w:bookmarkStart w:id="169" w:name="_Toc520465078"/>
      <w:bookmarkStart w:id="170" w:name="_Toc522870753"/>
      <w:bookmarkStart w:id="171" w:name="_Toc522280056"/>
      <w:bookmarkStart w:id="172" w:name="_Toc518638261"/>
      <w:bookmarkStart w:id="173" w:name="_Toc516234899"/>
      <w:bookmarkStart w:id="174" w:name="_Toc522870762"/>
      <w:bookmarkStart w:id="175" w:name="_Toc522870747"/>
      <w:bookmarkStart w:id="176" w:name="_Toc513127192"/>
      <w:bookmarkStart w:id="177" w:name="_Toc392240279"/>
      <w:bookmarkStart w:id="178" w:name="_Toc515610375"/>
      <w:bookmarkStart w:id="179" w:name="_Toc511390007"/>
      <w:bookmarkStart w:id="180" w:name="_Toc524091683"/>
      <w:bookmarkStart w:id="181" w:name="_Toc532564065"/>
      <w:bookmarkStart w:id="182" w:name="_Toc521057603"/>
      <w:bookmarkStart w:id="183" w:name="_Toc517425040"/>
      <w:bookmarkStart w:id="184" w:name="_Toc516839086"/>
      <w:bookmarkStart w:id="185" w:name="_Toc525289548"/>
      <w:bookmarkStart w:id="186" w:name="_Toc524701466"/>
      <w:bookmarkStart w:id="187" w:name="_Toc525306465"/>
      <w:bookmarkStart w:id="188" w:name="_Toc527101792"/>
      <w:bookmarkStart w:id="189" w:name="_Toc525912528"/>
      <w:bookmarkStart w:id="190" w:name="_Toc527705002"/>
      <w:bookmarkStart w:id="191" w:name="_Toc530128351"/>
      <w:bookmarkStart w:id="192" w:name="_Toc528930995"/>
      <w:bookmarkStart w:id="193" w:name="_Toc528919988"/>
      <w:bookmarkStart w:id="194" w:name="_Toc529526327"/>
      <w:bookmarkStart w:id="195" w:name="_Toc531954274"/>
      <w:bookmarkStart w:id="196" w:name="_Toc530750141"/>
      <w:bookmarkStart w:id="197" w:name="_Toc532564039"/>
      <w:bookmarkStart w:id="198" w:name="_Toc4654033"/>
      <w:bookmarkStart w:id="199" w:name="_Toc536541139"/>
      <w:bookmarkStart w:id="200" w:name="_Toc534915167"/>
      <w:bookmarkStart w:id="201" w:name="_Toc533149332"/>
      <w:bookmarkStart w:id="202" w:name="_Toc532564262"/>
      <w:bookmarkStart w:id="203" w:name="_Toc534378402"/>
      <w:bookmarkStart w:id="204" w:name="_Toc536198169"/>
      <w:bookmarkStart w:id="205" w:name="_Toc535588710"/>
      <w:bookmarkStart w:id="206" w:name="_Toc1394102"/>
      <w:bookmarkStart w:id="207" w:name="_Toc1739296"/>
      <w:bookmarkStart w:id="208" w:name="_Toc516234893"/>
      <w:bookmarkStart w:id="209" w:name="_Toc485981323"/>
      <w:bookmarkStart w:id="210" w:name="_Toc1035932"/>
      <w:bookmarkStart w:id="211" w:name="_Toc536540309"/>
      <w:bookmarkStart w:id="212" w:name="_Toc536789787"/>
      <w:bookmarkStart w:id="213" w:name="_Toc1139287"/>
      <w:bookmarkStart w:id="214" w:name="_Toc4139108"/>
      <w:bookmarkStart w:id="215" w:name="_Toc4596896"/>
      <w:bookmarkStart w:id="216" w:name="_Toc12609908"/>
      <w:bookmarkStart w:id="217" w:name="_Toc8991658"/>
      <w:bookmarkStart w:id="218" w:name="_Toc8313138"/>
      <w:bookmarkStart w:id="219" w:name="_Toc4767068"/>
      <w:bookmarkStart w:id="220" w:name="_Toc8378820"/>
      <w:bookmarkStart w:id="221" w:name="_Toc9597664"/>
      <w:bookmarkStart w:id="222" w:name="_Toc9583957"/>
      <w:bookmarkStart w:id="223" w:name="_Toc10202313"/>
      <w:bookmarkStart w:id="224" w:name="_Toc13217636"/>
    </w:p>
    <w:p>
      <w:pPr>
        <w:pStyle w:val="2"/>
        <w:spacing w:line="400" w:lineRule="exact"/>
        <w:jc w:val="center"/>
        <w:rPr>
          <w:b w:val="0"/>
          <w:bCs w:val="0"/>
        </w:rPr>
      </w:pPr>
      <w:r>
        <w:rPr>
          <w:rFonts w:hint="eastAsia" w:cs="黑体"/>
        </w:rPr>
        <w:t>烧碱</w:t>
      </w:r>
      <w:bookmarkEnd w:id="64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Start w:id="225" w:name="_Toc295403449"/>
      <w:bookmarkStart w:id="226" w:name="_Toc250731925"/>
      <w:bookmarkStart w:id="227" w:name="_Toc252539754"/>
      <w:bookmarkStart w:id="228" w:name="_Toc300238848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229" w:name="_Toc4596897"/>
      <w:bookmarkStart w:id="230" w:name="_Toc4654034"/>
    </w:p>
    <w:p>
      <w:pPr>
        <w:spacing w:line="400" w:lineRule="exact"/>
        <w:ind w:firstLine="602" w:firstLineChars="200"/>
        <w:outlineLvl w:val="1"/>
        <w:rPr>
          <w:rFonts w:hint="eastAsia" w:ascii="黑体" w:hAnsi="黑体" w:eastAsia="黑体" w:cs="黑体"/>
          <w:b/>
          <w:bCs/>
          <w:sz w:val="30"/>
          <w:szCs w:val="30"/>
        </w:rPr>
      </w:pPr>
      <w:bookmarkStart w:id="231" w:name="_Toc10202314"/>
      <w:bookmarkStart w:id="232" w:name="_Toc8378821"/>
      <w:bookmarkStart w:id="233" w:name="_Toc4767069"/>
      <w:bookmarkStart w:id="234" w:name="_Toc8313139"/>
      <w:bookmarkStart w:id="235" w:name="_Toc9583958"/>
      <w:bookmarkStart w:id="236" w:name="_Toc8991659"/>
      <w:bookmarkStart w:id="237" w:name="_Toc9597665"/>
      <w:bookmarkStart w:id="238" w:name="_Toc13217637"/>
      <w:bookmarkStart w:id="239" w:name="_Toc12609909"/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Start w:id="240" w:name="_Toc300238850"/>
      <w:bookmarkStart w:id="241" w:name="_Toc264643747"/>
      <w:bookmarkStart w:id="242" w:name="_Toc295403451"/>
      <w:bookmarkStart w:id="243" w:name="_Toc392240280"/>
    </w:p>
    <w:p>
      <w:pPr>
        <w:spacing w:line="400" w:lineRule="exact"/>
        <w:ind w:firstLine="602" w:firstLineChars="200"/>
        <w:outlineLvl w:val="1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hAnsi="黑体" w:eastAsia="黑体" w:cs="Times New Roman"/>
          <w:sz w:val="30"/>
          <w:szCs w:val="30"/>
        </w:rPr>
      </w:pPr>
      <w:bookmarkStart w:id="244" w:name="_Toc8378822"/>
      <w:bookmarkStart w:id="245" w:name="_Toc12609910"/>
      <w:bookmarkStart w:id="246" w:name="_Toc9597666"/>
      <w:bookmarkStart w:id="247" w:name="_Toc9583959"/>
      <w:bookmarkStart w:id="248" w:name="_Toc10202315"/>
      <w:bookmarkStart w:id="249" w:name="_Toc13217638"/>
      <w:bookmarkStart w:id="250" w:name="_Toc8991660"/>
      <w:bookmarkStart w:id="251" w:name="_Toc4654035"/>
      <w:bookmarkStart w:id="252" w:name="_Toc4596898"/>
      <w:bookmarkStart w:id="253" w:name="_Toc8313140"/>
      <w:bookmarkStart w:id="254" w:name="_Toc4767070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255" w:name="_Toc8378823"/>
      <w:bookmarkStart w:id="256" w:name="_Toc8313141"/>
      <w:bookmarkStart w:id="257" w:name="_Toc13217639"/>
      <w:bookmarkStart w:id="258" w:name="_Toc4596899"/>
      <w:bookmarkStart w:id="259" w:name="_Toc4654036"/>
      <w:bookmarkStart w:id="260" w:name="_Toc4767071"/>
      <w:bookmarkStart w:id="261" w:name="_Toc12609911"/>
      <w:bookmarkStart w:id="262" w:name="_Toc9597667"/>
      <w:bookmarkStart w:id="263" w:name="_Toc10202316"/>
      <w:bookmarkStart w:id="264" w:name="_Toc9583960"/>
      <w:bookmarkStart w:id="265" w:name="_Toc8991661"/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本周中国液碱市场成交重心上行明显，南方地区液碱价格持续上调，华东地区液碱市场自上周末开始涨价氛围浓厚，多家企业封盘不报价，本周开盘后，价格接连大幅上调，本次上涨主要因受江苏省液氯运输证停办的影响，据统计江苏地区368万吨氯碱装置开工约在57.31%，供应缩减明显，价格大幅上调后，下游表现较谨慎，接单不多，但在供应有限的情况下，上涨的局面基本已经敲定。外围江西、安徽及福建等地在江苏液碱市场价格大幅上调的利好支撑下，成交价格随行就市上调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华南广东地区液碱紧缺，近期车碱、海碱到货不足，广东省内烧碱十分紧张，车碱、海碱到货报价不断拉高，50%离子膜烧碱尤为紧张，海碱9月份到货有限，贸易商表现惜售。广西地区液碱市场稳定为主，省内氯碱开工稳定，主供省内下游氧化铝行业需求较稳，造纸行业依旧低迷，需求一般，企业积极走货为主。但长期看来，外围广东市场货源紧张，价格接连上涨，或将带动广西市场价格上调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本周山东地区液碱成交重心亦有小幅上调，东营、淄博、潍坊地区针对32%离子膜液碱价格上调20元/吨，枣庄、郯城地区针对32%离子膜液碱价格上调30元/吨，近期山东潍坊地区供应不足，给山东东部地区一定的支撑，厂家库存低位，并且临近十月70周年大庆活动，下游企业稍显恐慌，备货情绪渐起。河北地区液碱市场多随山东调整，本周跟涨20元/吨，下游提货积极，为中秋节备货为主，厂家库存较低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西北地区液碱成交大稳小动，部分厂家报价上调，上调幅度基本在50元/吨(折百)，其他厂家持稳出货为主，近期片碱市场走势转好，对液碱市场有一定利好作用，区域内片碱加工企业开工情况较前期有所好转，对液碱需求稳定，部分厂家液碱出货价格灵活上调，但因个别企业片碱装置未正常开工，液碱产量增加，出货稍有压力，出货价格暂稳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西南地区液碱市场价格上调，本周区域内氯碱厂家开工稳定，下游整体需求平稳，近期外围液碱市场交投氛围不断转好，片碱到货价格亦有所提高，加之区域内液碱库存水平低位，区域内液碱出货价格上行。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百川盈孚跟踪数据，9月12日中国32%离子膜液碱市场价格指数771，较9月5日数据相比↑4.78%;9月12日中国50%离子膜液碱市场平均出厂价格在1309元/吨，较9月5日数据相比↑3.74%。</w:t>
      </w:r>
    </w:p>
    <w:p>
      <w:pPr>
        <w:widowControl/>
        <w:ind w:firstLine="560" w:firstLineChars="200"/>
        <w:jc w:val="left"/>
        <w:outlineLvl w:val="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2"/>
        <w:spacing w:before="0" w:beforeAutospacing="0" w:after="0" w:afterAutospacing="0" w:line="400" w:lineRule="exact"/>
        <w:ind w:firstLine="602" w:firstLineChars="200"/>
        <w:outlineLvl w:val="1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二、价格方面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266" w:name="_Toc4767072"/>
      <w:bookmarkStart w:id="267" w:name="_Toc4596900"/>
      <w:bookmarkStart w:id="268" w:name="_Toc4654037"/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截止9月12日各地区液碱价格(文中价格为现汇，承兑低浓度水碱加15元/吨，高浓度碱加30元/吨)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32%离子膜液碱主流出厂价格：山东供给氧化铝行业现汇出厂价格执行650元/吨，供其他客户主流出厂价格720-800元/吨;河北760-860元/吨;天津2350-2400元/吨(折百);浙江送到萧绍经销商900-920元/吨;江苏820-880元/吨;安徽760-780元/吨;江西地区850-900元/吨;福建省内送到870-910元/吨;广西730-830元/吨;湖北750-900元/吨;河南2250-2350元/吨(折百);内蒙古1950-2000元/吨(折百);辽宁900-920元/吨;四川2600-2700元/吨(折百)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高浓碱主流出厂价格：山东48%离子膜液碱出厂1220-1260元/吨，50%离子膜液碱出厂1260-1290元/吨。天津49%离子膜碱出厂价格2400-2450元/吨(折百)，福建50%离子膜液碱省内送到1500-1550元/吨左右;广西50%离子膜液碱出厂价格1270-1350元/吨;内蒙古48-50%离子膜液碱出厂价格2000-2100元/吨(折百);江苏地区48%离子膜液碱出厂价格1350-1380元/吨。辽宁地区45-50%离子膜液碱出厂报价在1330-1440元/吨;四川地区50%离子膜液碱主流出厂价格2700-2850元/吨(折百)。</w:t>
      </w:r>
    </w:p>
    <w:p>
      <w:pPr>
        <w:pStyle w:val="12"/>
        <w:ind w:firstLine="60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三、后市预测</w:t>
      </w:r>
      <w:bookmarkEnd w:id="266"/>
      <w:bookmarkEnd w:id="267"/>
      <w:bookmarkEnd w:id="268"/>
      <w:bookmarkStart w:id="269" w:name="_Toc4654038"/>
      <w:bookmarkStart w:id="270" w:name="_Toc4596901"/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271" w:name="_Toc8378824"/>
      <w:bookmarkStart w:id="272" w:name="_Toc9597668"/>
      <w:bookmarkStart w:id="273" w:name="_Toc8991662"/>
      <w:bookmarkStart w:id="274" w:name="_Toc4767073"/>
      <w:bookmarkStart w:id="275" w:name="_Toc8313142"/>
      <w:bookmarkStart w:id="276" w:name="_Toc10202317"/>
      <w:bookmarkStart w:id="277" w:name="_Toc9583961"/>
      <w:bookmarkStart w:id="278" w:name="_Toc12609912"/>
      <w:bookmarkStart w:id="279" w:name="_Toc13217640"/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华东地区氯碱装置整体开工水平不高，区域内烧碱供应略显紧张，氯碱企业库存基本维持低位水平，在此背景下，上游挺价意识浓厚，预计下周成交重心仍有上行的可能。华南广东地区液碱到货紧张，外围湖南地区现货量少，船碱方面到货依旧不足，且烧碱到货价不断提升，贸易商惜售，预计下周液碱出货价格仍有上调可能。其他北方地区液碱市场大稳小动为主，国内液体烧碱市场多稳重向好，预计下周整体成交重心仍以上行为主。</w:t>
      </w:r>
    </w:p>
    <w:p>
      <w:pPr>
        <w:widowControl/>
        <w:ind w:firstLine="602" w:firstLineChars="200"/>
        <w:jc w:val="left"/>
        <w:outlineLvl w:val="2"/>
        <w:rPr>
          <w:rStyle w:val="24"/>
          <w:rFonts w:cs="Times New Roman"/>
          <w:b/>
          <w:bCs/>
          <w:sz w:val="30"/>
          <w:szCs w:val="30"/>
        </w:rPr>
      </w:pPr>
      <w:r>
        <w:rPr>
          <w:rStyle w:val="24"/>
          <w:rFonts w:hint="eastAsia"/>
          <w:b/>
          <w:bCs/>
          <w:sz w:val="30"/>
          <w:szCs w:val="30"/>
        </w:rPr>
        <w:t>本周国内片碱实际成交周汇总</w:t>
      </w:r>
      <w:bookmarkEnd w:id="240"/>
      <w:bookmarkEnd w:id="241"/>
      <w:bookmarkEnd w:id="242"/>
      <w:bookmarkEnd w:id="243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>
      <w:pPr>
        <w:snapToGrid w:val="0"/>
        <w:spacing w:line="400" w:lineRule="exact"/>
        <w:ind w:right="-149" w:rightChars="-71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3"/>
        <w:tblpPr w:leftFromText="180" w:rightFromText="180" w:vertAnchor="text" w:horzAnchor="page" w:tblpX="2166" w:tblpY="434"/>
        <w:tblOverlap w:val="never"/>
        <w:tblW w:w="7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80"/>
        <w:gridCol w:w="1003"/>
        <w:gridCol w:w="1629"/>
        <w:gridCol w:w="16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tabs>
                <w:tab w:val="center" w:pos="766"/>
                <w:tab w:val="right" w:pos="1413"/>
              </w:tabs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2450</w:t>
            </w:r>
          </w:p>
        </w:tc>
      </w:tr>
    </w:tbl>
    <w:p>
      <w:pPr>
        <w:snapToGrid w:val="0"/>
        <w:spacing w:line="400" w:lineRule="exact"/>
        <w:ind w:right="-149" w:rightChars="-71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pStyle w:val="2"/>
        <w:spacing w:line="400" w:lineRule="exact"/>
        <w:jc w:val="both"/>
        <w:rPr>
          <w:rFonts w:hint="eastAsia" w:cs="黑体"/>
        </w:rPr>
      </w:pPr>
      <w:bookmarkStart w:id="280" w:name="_Toc300238851"/>
      <w:bookmarkStart w:id="281" w:name="_Toc250731929"/>
      <w:bookmarkStart w:id="282" w:name="_Toc485981325"/>
      <w:bookmarkStart w:id="283" w:name="_Toc528329959"/>
      <w:bookmarkStart w:id="284" w:name="_Toc530750142"/>
      <w:bookmarkStart w:id="285" w:name="_Toc531954275"/>
      <w:bookmarkStart w:id="286" w:name="_Toc530128352"/>
      <w:bookmarkStart w:id="287" w:name="_Toc9597669"/>
      <w:bookmarkStart w:id="288" w:name="_Toc12609913"/>
      <w:bookmarkStart w:id="289" w:name="_Toc532564040"/>
      <w:bookmarkStart w:id="290" w:name="_Toc10202318"/>
      <w:bookmarkStart w:id="291" w:name="_Toc13217641"/>
      <w:bookmarkStart w:id="292" w:name="_Toc4139109"/>
      <w:bookmarkStart w:id="293" w:name="_Toc4596902"/>
      <w:bookmarkStart w:id="294" w:name="_Toc528919989"/>
      <w:bookmarkStart w:id="295" w:name="_Toc529526328"/>
      <w:bookmarkStart w:id="296" w:name="_Toc532564066"/>
      <w:bookmarkStart w:id="297" w:name="_Toc392240282"/>
      <w:bookmarkStart w:id="298" w:name="_Toc252539758"/>
      <w:bookmarkStart w:id="299" w:name="_Toc528930996"/>
      <w:bookmarkStart w:id="300" w:name="_Toc520465079"/>
      <w:bookmarkStart w:id="301" w:name="_Toc517425041"/>
      <w:bookmarkStart w:id="302" w:name="_Toc518032002"/>
      <w:bookmarkStart w:id="303" w:name="_Toc516234894"/>
      <w:bookmarkStart w:id="304" w:name="_Toc511390008"/>
      <w:bookmarkStart w:id="305" w:name="_Toc521057604"/>
      <w:bookmarkStart w:id="306" w:name="_Toc233795930"/>
      <w:bookmarkStart w:id="307" w:name="_Toc295403452"/>
      <w:bookmarkStart w:id="308" w:name="_Toc522870748"/>
      <w:bookmarkStart w:id="309" w:name="_Toc516234900"/>
      <w:bookmarkStart w:id="310" w:name="_Toc522280057"/>
      <w:bookmarkStart w:id="311" w:name="_Toc516839087"/>
      <w:bookmarkStart w:id="312" w:name="_Toc522259767"/>
      <w:bookmarkStart w:id="313" w:name="_Toc525306477"/>
      <w:bookmarkStart w:id="314" w:name="_Toc519848560"/>
      <w:bookmarkStart w:id="315" w:name="_Toc522870772"/>
      <w:bookmarkStart w:id="316" w:name="_Toc521660550"/>
      <w:bookmarkStart w:id="317" w:name="_Toc522870754"/>
      <w:bookmarkStart w:id="318" w:name="_Toc513127193"/>
      <w:bookmarkStart w:id="319" w:name="_Toc518638262"/>
      <w:bookmarkStart w:id="320" w:name="_Toc515610376"/>
      <w:bookmarkStart w:id="321" w:name="_Toc524091684"/>
      <w:bookmarkStart w:id="322" w:name="_Toc522870763"/>
      <w:bookmarkStart w:id="323" w:name="_Toc527101793"/>
      <w:bookmarkStart w:id="324" w:name="_Toc525912529"/>
      <w:bookmarkStart w:id="325" w:name="_Toc527705003"/>
      <w:bookmarkStart w:id="326" w:name="_Toc525306466"/>
      <w:bookmarkStart w:id="327" w:name="_Toc525289549"/>
      <w:bookmarkStart w:id="328" w:name="_Toc524701467"/>
      <w:bookmarkStart w:id="329" w:name="_Toc532564263"/>
      <w:bookmarkStart w:id="330" w:name="_Toc534378403"/>
      <w:bookmarkStart w:id="331" w:name="_Toc534915168"/>
      <w:bookmarkStart w:id="332" w:name="_Toc535588711"/>
      <w:bookmarkStart w:id="333" w:name="_Toc1739297"/>
      <w:bookmarkStart w:id="334" w:name="_Toc533149333"/>
      <w:bookmarkStart w:id="335" w:name="_Toc1394103"/>
      <w:bookmarkStart w:id="336" w:name="_Toc1139288"/>
      <w:bookmarkStart w:id="337" w:name="_Toc1035933"/>
      <w:bookmarkStart w:id="338" w:name="_Toc536789788"/>
      <w:bookmarkStart w:id="339" w:name="_Toc536541140"/>
      <w:bookmarkStart w:id="340" w:name="_Toc536540310"/>
      <w:bookmarkStart w:id="341" w:name="_Toc536198170"/>
      <w:bookmarkStart w:id="342" w:name="_Toc8991663"/>
      <w:bookmarkStart w:id="343" w:name="_Toc9583962"/>
      <w:bookmarkStart w:id="344" w:name="_Toc8378825"/>
      <w:bookmarkStart w:id="345" w:name="_Toc8313143"/>
      <w:bookmarkStart w:id="346" w:name="_Toc4654039"/>
      <w:bookmarkStart w:id="347" w:name="_Toc4767074"/>
    </w:p>
    <w:p>
      <w:pPr>
        <w:pStyle w:val="2"/>
        <w:spacing w:line="400" w:lineRule="exact"/>
        <w:jc w:val="center"/>
        <w:rPr>
          <w:rFonts w:cs="黑体"/>
        </w:rPr>
      </w:pPr>
      <w:r>
        <w:rPr>
          <w:rFonts w:hint="eastAsia" w:cs="黑体"/>
        </w:rPr>
        <w:t>液氯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Start w:id="348" w:name="_Toc233795931"/>
      <w:bookmarkEnd w:id="348"/>
      <w:bookmarkStart w:id="349" w:name="_Toc250731930"/>
      <w:bookmarkStart w:id="350" w:name="_Toc185611021"/>
      <w:bookmarkStart w:id="351" w:name="_Toc300238852"/>
      <w:bookmarkStart w:id="352" w:name="_Toc485981326"/>
      <w:bookmarkStart w:id="353" w:name="_Toc392240283"/>
      <w:bookmarkStart w:id="354" w:name="_Toc295403453"/>
      <w:bookmarkStart w:id="355" w:name="_Toc252539759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356" w:name="_Toc4654040"/>
      <w:bookmarkStart w:id="357" w:name="_Toc4596903"/>
      <w:bookmarkStart w:id="358" w:name="_Toc4139110"/>
      <w:bookmarkStart w:id="359" w:name="_Toc530750143"/>
      <w:bookmarkStart w:id="360" w:name="_Toc531954276"/>
      <w:bookmarkStart w:id="361" w:name="_Toc532564041"/>
      <w:bookmarkStart w:id="362" w:name="_Toc532564067"/>
      <w:bookmarkStart w:id="363" w:name="_Toc532564264"/>
      <w:bookmarkStart w:id="364" w:name="_Toc533149334"/>
      <w:bookmarkStart w:id="365" w:name="_Toc534378404"/>
      <w:bookmarkStart w:id="366" w:name="_Toc534915169"/>
      <w:bookmarkStart w:id="367" w:name="_Toc535588712"/>
      <w:bookmarkStart w:id="368" w:name="_Toc536198171"/>
      <w:bookmarkStart w:id="369" w:name="_Toc536540311"/>
      <w:bookmarkStart w:id="370" w:name="_Toc536541141"/>
      <w:bookmarkStart w:id="371" w:name="_Toc536789789"/>
      <w:bookmarkStart w:id="372" w:name="_Toc1035934"/>
      <w:bookmarkStart w:id="373" w:name="_Toc1139289"/>
      <w:bookmarkStart w:id="374" w:name="_Toc1394104"/>
      <w:bookmarkStart w:id="375" w:name="_Toc1739298"/>
      <w:bookmarkStart w:id="376" w:name="_Toc511390009"/>
      <w:bookmarkStart w:id="377" w:name="_Toc513127194"/>
      <w:bookmarkStart w:id="378" w:name="_Toc515610377"/>
      <w:bookmarkStart w:id="379" w:name="_Toc516234895"/>
      <w:bookmarkStart w:id="380" w:name="_Toc516234901"/>
      <w:bookmarkStart w:id="381" w:name="_Toc516839088"/>
      <w:bookmarkStart w:id="382" w:name="_Toc517425042"/>
      <w:bookmarkStart w:id="383" w:name="_Toc518032003"/>
      <w:bookmarkStart w:id="384" w:name="_Toc520465080"/>
      <w:bookmarkStart w:id="385" w:name="_Toc518638263"/>
      <w:bookmarkStart w:id="386" w:name="_Toc519848561"/>
      <w:bookmarkStart w:id="387" w:name="_Toc530128353"/>
      <w:bookmarkStart w:id="388" w:name="_Toc521057605"/>
      <w:bookmarkStart w:id="389" w:name="_Toc521660551"/>
      <w:bookmarkStart w:id="390" w:name="_Toc522259768"/>
      <w:bookmarkStart w:id="391" w:name="_Toc522280058"/>
      <w:bookmarkStart w:id="392" w:name="_Toc522870749"/>
      <w:bookmarkStart w:id="393" w:name="_Toc522870755"/>
      <w:bookmarkStart w:id="394" w:name="_Toc522870764"/>
      <w:bookmarkStart w:id="395" w:name="_Toc522870773"/>
      <w:bookmarkStart w:id="396" w:name="_Toc525289550"/>
      <w:bookmarkStart w:id="397" w:name="_Toc524091685"/>
      <w:bookmarkStart w:id="398" w:name="_Toc524701468"/>
      <w:bookmarkStart w:id="399" w:name="_Toc525306467"/>
      <w:bookmarkStart w:id="400" w:name="_Toc525306478"/>
      <w:bookmarkStart w:id="401" w:name="_Toc525912530"/>
      <w:bookmarkStart w:id="402" w:name="_Toc527101794"/>
      <w:bookmarkStart w:id="403" w:name="_Toc527705004"/>
      <w:bookmarkStart w:id="404" w:name="_Toc528329960"/>
      <w:bookmarkStart w:id="405" w:name="_Toc528919990"/>
      <w:bookmarkStart w:id="406" w:name="_Toc529526329"/>
      <w:bookmarkStart w:id="407" w:name="_Toc528930997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408" w:name="_Toc4767075"/>
      <w:bookmarkStart w:id="409" w:name="_Toc13217642"/>
      <w:bookmarkStart w:id="410" w:name="_Toc12609914"/>
      <w:bookmarkStart w:id="411" w:name="_Toc9597670"/>
      <w:bookmarkStart w:id="412" w:name="_Toc8991664"/>
      <w:bookmarkStart w:id="413" w:name="_Toc9583963"/>
      <w:bookmarkStart w:id="414" w:name="_Toc8313144"/>
      <w:bookmarkStart w:id="415" w:name="_Toc8378826"/>
      <w:bookmarkStart w:id="416" w:name="_Toc10202319"/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Start w:id="417" w:name="_Toc250731931"/>
      <w:bookmarkStart w:id="418" w:name="_Toc252539760"/>
    </w:p>
    <w:p>
      <w:pPr>
        <w:pStyle w:val="12"/>
        <w:spacing w:before="0" w:beforeAutospacing="0" w:after="0" w:afterAutospacing="0" w:line="400" w:lineRule="exact"/>
        <w:ind w:firstLine="600" w:firstLineChars="200"/>
        <w:rPr>
          <w:rFonts w:ascii="黑体" w:hAnsi="黑体" w:eastAsia="黑体" w:cs="Times New Roman"/>
          <w:color w:val="FF0000"/>
          <w:sz w:val="30"/>
          <w:szCs w:val="30"/>
        </w:rPr>
      </w:pP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hint="eastAsia" w:ascii="黑体" w:hAnsi="黑体" w:eastAsia="黑体" w:cs="黑体"/>
          <w:sz w:val="30"/>
          <w:szCs w:val="30"/>
        </w:rPr>
      </w:pPr>
      <w:bookmarkStart w:id="419" w:name="_Toc9597671"/>
      <w:bookmarkStart w:id="420" w:name="_Toc10202320"/>
      <w:bookmarkStart w:id="421" w:name="_Toc13217643"/>
      <w:bookmarkStart w:id="422" w:name="_Toc12609915"/>
      <w:bookmarkStart w:id="423" w:name="_Toc9583964"/>
      <w:bookmarkStart w:id="424" w:name="_Toc8378827"/>
      <w:bookmarkStart w:id="425" w:name="_Toc8313145"/>
      <w:bookmarkStart w:id="426" w:name="_Toc8991665"/>
      <w:bookmarkStart w:id="427" w:name="_Toc4767076"/>
      <w:bookmarkStart w:id="428" w:name="_Toc4654041"/>
      <w:bookmarkStart w:id="429" w:name="_Toc4596904"/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一、中国液氯市场行情综述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30" w:name="_Toc12609916"/>
      <w:bookmarkStart w:id="431" w:name="_Toc10202321"/>
      <w:bookmarkStart w:id="432" w:name="_Toc13217644"/>
      <w:bookmarkStart w:id="433" w:name="_Toc9597672"/>
      <w:bookmarkStart w:id="434" w:name="_Toc9583965"/>
      <w:bookmarkStart w:id="435" w:name="_Toc8991666"/>
      <w:bookmarkStart w:id="436" w:name="_Toc8378828"/>
      <w:bookmarkStart w:id="437" w:name="_Toc4767077"/>
      <w:bookmarkStart w:id="438" w:name="_Toc8313146"/>
      <w:bookmarkStart w:id="439" w:name="_Toc4654042"/>
      <w:bookmarkStart w:id="440" w:name="_Toc4596905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本周北方液氯市场高位回调，南方地区局部运输受限。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北方地区液氯市场周初货源紧张，分析当前上涨的原因是：1.江苏传出危化品停止办理运输证的消息后，山东耗氯下游有恐慌心理，积极生产备货，并且潍坊钢瓶客户需求增加，对槽车出货量产生冲击;2.潍坊地区供应始终偏低，主流大厂暂未能恢复往日负荷，潍坊地区需求多流向淄博、聊城地区补充，一时之间货源紧张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但随着河北冀衡化学的检修结束，以及潍坊地区供应稍有提升，供应紧张得到缓解，并且下游接货已现疲态，虽然氯化石蜡、氯乙酸、CPE的价格处在上涨阶段，但盈利有限，山东省内主要的耗氯产品主要是环氧丙烷以及甲烷氯化物，该两种产品均处在亏损阶段。环氧丙烷和甲烷氯化物厂家本周持续减少外采数量，主要受产品亏损影响，因此9.11开始液氯价格开始走跌100-200元/吨不等，预计中秋节限行影响，液氯价格仍存下跌的可能。河北地区目前省内氯碱装置开工正常，供应恢复后，当地出货主要跟随山东调整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江苏地区液氯市场运输受限，江苏地区本周省内危化品运输证件办理已全面暂停，仅有少部分涉及到民生的厂家可办理，如自来水厂等。江苏碱厂多响应号召，往日有液氯外销企业纷纷减产，暂停液氯外销。安徽地区本周观望为主，耗氯下游受江苏影响，有一定的恐慌心理，提货尚可;江西地区行情略涨，省内供应有限，浙江地区目前钢瓶用户需求不佳，槽车客户平稳为主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华中地区液氯市场表现平淡，本周河南局部厂家跟随山东上调200元/吨，但华中一带需求仍显平淡，河南地区本周有民族运动会，液氯、盐酸均出货压力大;湖北地区需求平淡，但省内氯碱装置开工不佳，价格暂时稳定。湖南地区槽车少量出货价格较高，以本地管输为主。</w:t>
      </w:r>
    </w:p>
    <w:p>
      <w:pPr>
        <w:widowControl/>
        <w:ind w:firstLine="600" w:firstLineChars="200"/>
        <w:jc w:val="left"/>
        <w:outlineLvl w:val="1"/>
        <w:rPr>
          <w:rFonts w:hint="eastAsia" w:ascii="黑体" w:hAnsi="黑体" w:eastAsia="黑体" w:cs="黑体"/>
          <w:sz w:val="30"/>
          <w:szCs w:val="30"/>
        </w:rPr>
      </w:pPr>
    </w:p>
    <w:p>
      <w:pPr>
        <w:widowControl/>
        <w:ind w:firstLine="600" w:firstLineChars="200"/>
        <w:jc w:val="left"/>
        <w:outlineLvl w:val="1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二、市场价格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Start w:id="441" w:name="_Toc13217645"/>
      <w:bookmarkStart w:id="442" w:name="_Toc9597673"/>
      <w:bookmarkStart w:id="443" w:name="_Toc12609917"/>
      <w:bookmarkStart w:id="444" w:name="_Toc10202322"/>
      <w:bookmarkStart w:id="445" w:name="_Toc9583966"/>
      <w:bookmarkStart w:id="446" w:name="_Toc8991667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截止到9月12日发稿，各地区液氯槽车主流出厂价格：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山东省内主流槽车650-850元/吨均有，河北省内主流槽车执行700-800元/吨;河南省槽车主流出货价格在100-400元/吨，钢瓶槽车同价;山西地区槽车出货主流在100元/吨;浙江地区槽车出货主流在400-450元/吨左右;江苏地区槽车少量供应参考650元/吨;安徽地区槽车执行500-550元/吨;内蒙液氯槽车1元/吨，广西地区本地主流槽车1-200元/吨;湖北本地槽车400-500元/吨;江西地区本周槽车价格执行550-600元/吨，湖南当地少量槽车价格偏高，四川地区300-400元/吨，当地高价成交有限。</w:t>
      </w: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</w:t>
      </w:r>
      <w:bookmarkStart w:id="447" w:name="_Toc8378829"/>
      <w:bookmarkStart w:id="448" w:name="_Toc8313147"/>
      <w:bookmarkStart w:id="449" w:name="_Toc4767078"/>
      <w:bookmarkStart w:id="450" w:name="_Toc4654043"/>
      <w:bookmarkStart w:id="451" w:name="_Toc4596906"/>
      <w:r>
        <w:rPr>
          <w:rFonts w:hint="eastAsia" w:ascii="黑体" w:hAnsi="黑体" w:eastAsia="黑体" w:cs="黑体"/>
          <w:sz w:val="30"/>
          <w:szCs w:val="30"/>
        </w:rPr>
        <w:t>山东市场分析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Start w:id="452" w:name="OLE_LINK56"/>
    </w:p>
    <w:bookmarkEnd w:id="452"/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53" w:name="_Toc9583967"/>
      <w:bookmarkStart w:id="454" w:name="_Toc8991668"/>
      <w:bookmarkStart w:id="455" w:name="_Toc8378830"/>
      <w:bookmarkStart w:id="456" w:name="_Toc8313148"/>
      <w:bookmarkStart w:id="457" w:name="_Toc4767079"/>
      <w:bookmarkStart w:id="458" w:name="_Toc4654044"/>
      <w:bookmarkStart w:id="459" w:name="_Toc4596907"/>
      <w:bookmarkStart w:id="460" w:name="_Toc13217646"/>
      <w:bookmarkStart w:id="461" w:name="_Toc12609918"/>
      <w:bookmarkStart w:id="462" w:name="_Toc10202323"/>
      <w:bookmarkStart w:id="463" w:name="_Toc9597674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山东地区液氯市场本周市场僵持运行，周末期间山东地区液氯市场鲁西南地区开始走跌，主要受当地甲烷氯化物厂家以及环氧丙烷厂家降负荷影响，外采减少，厂家价格开始走跌150-200元/吨;同时下游接货价格开始下行。但9.3开始潍坊地区供应量减少约300吨/天，并且潍坊大型氯碱企业开工难有提升，潍坊地区供应尤为紧俏。据统计目前东营淄博地区液氯商品量在2580吨/天，潍坊地区供应偏低在1530吨/天，济宁地区供应在830吨/天，聊城、菏泽一带在2050吨/天，山东地区液氯日商品量供应在7540吨/天。因供应不足9.5开始低价出货的厂家陆续上调50-100元/吨不等。</w:t>
      </w: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四、后市分析</w:t>
      </w:r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64" w:name="_Toc10202324"/>
      <w:bookmarkStart w:id="465" w:name="_Toc4596908"/>
      <w:bookmarkStart w:id="466" w:name="_Toc4654045"/>
      <w:bookmarkStart w:id="467" w:name="_Toc4767080"/>
      <w:bookmarkStart w:id="468" w:name="_Toc8313149"/>
      <w:bookmarkStart w:id="469" w:name="_Toc8991669"/>
      <w:bookmarkStart w:id="470" w:name="_Toc8378831"/>
      <w:bookmarkStart w:id="471" w:name="_Toc9597675"/>
      <w:bookmarkStart w:id="472" w:name="_Toc9583968"/>
      <w:bookmarkStart w:id="473" w:name="_Toc12609919"/>
      <w:bookmarkStart w:id="474" w:name="_Toc13217647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下周预计受到中秋节高速限行的影响较大，上游碱厂预计出货承压，价格难免有下调的可能，北方地区预计降价可能性极大，南方地区江苏地区仍将持续运输受限制。浙江、江西、安徽地区预计观望节后下游开工情况定价，价格盘整为主。后市预测：下周北方地区液氯价格先跌后涨，南方大稳小动为主。全国液氯市场调整幅度在50-400元/吨之间波动。</w:t>
      </w:r>
    </w:p>
    <w:p>
      <w:pPr>
        <w:widowControl/>
        <w:ind w:firstLine="602" w:firstLineChars="200"/>
        <w:jc w:val="left"/>
        <w:outlineLvl w:val="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</w:p>
    <w:bookmarkEnd w:id="417"/>
    <w:bookmarkEnd w:id="418"/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75" w:name="_Toc233795926"/>
            <w:bookmarkEnd w:id="475"/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</w:tr>
    </w:tbl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ascii="Arial" w:hAnsi="Arial" w:cs="Arial"/>
          <w:kern w:val="0"/>
        </w:rPr>
      </w:pPr>
    </w:p>
    <w:p>
      <w:pPr>
        <w:spacing w:line="400" w:lineRule="exact"/>
        <w:ind w:firstLine="1600" w:firstLineChars="4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  <w:bookmarkStart w:id="480" w:name="_GoBack"/>
      <w:bookmarkEnd w:id="480"/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11</w:t>
    </w:r>
    <w:r>
      <w:rPr>
        <w:b/>
        <w:bCs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9B408"/>
    <w:multiLevelType w:val="singleLevel"/>
    <w:tmpl w:val="8E59B4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A37270"/>
    <w:multiLevelType w:val="multilevel"/>
    <w:tmpl w:val="17A37270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 w:cs="黑体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320C"/>
    <w:rsid w:val="00045C9C"/>
    <w:rsid w:val="00057044"/>
    <w:rsid w:val="00057676"/>
    <w:rsid w:val="0005772F"/>
    <w:rsid w:val="0006570B"/>
    <w:rsid w:val="00065726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3A4"/>
    <w:rsid w:val="000B7162"/>
    <w:rsid w:val="000C4607"/>
    <w:rsid w:val="000C72ED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1055DB"/>
    <w:rsid w:val="00105BD3"/>
    <w:rsid w:val="00105C40"/>
    <w:rsid w:val="001078AB"/>
    <w:rsid w:val="00113EEE"/>
    <w:rsid w:val="001164A9"/>
    <w:rsid w:val="00120F03"/>
    <w:rsid w:val="00123320"/>
    <w:rsid w:val="0012620F"/>
    <w:rsid w:val="00135248"/>
    <w:rsid w:val="001364CB"/>
    <w:rsid w:val="00136A19"/>
    <w:rsid w:val="0014366D"/>
    <w:rsid w:val="0014784B"/>
    <w:rsid w:val="00153176"/>
    <w:rsid w:val="00154128"/>
    <w:rsid w:val="00161430"/>
    <w:rsid w:val="00163783"/>
    <w:rsid w:val="0016388A"/>
    <w:rsid w:val="0016559E"/>
    <w:rsid w:val="00180C42"/>
    <w:rsid w:val="00190ADA"/>
    <w:rsid w:val="00192B10"/>
    <w:rsid w:val="001A10C8"/>
    <w:rsid w:val="001A49CA"/>
    <w:rsid w:val="001A5B29"/>
    <w:rsid w:val="001A5B52"/>
    <w:rsid w:val="001B0C21"/>
    <w:rsid w:val="001B1452"/>
    <w:rsid w:val="001B3397"/>
    <w:rsid w:val="001C20CD"/>
    <w:rsid w:val="001C42B0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7D27"/>
    <w:rsid w:val="00277D2C"/>
    <w:rsid w:val="002831C3"/>
    <w:rsid w:val="0028492A"/>
    <w:rsid w:val="002854EB"/>
    <w:rsid w:val="00292924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5D41"/>
    <w:rsid w:val="003332DC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67E3"/>
    <w:rsid w:val="003E79A5"/>
    <w:rsid w:val="003F31AD"/>
    <w:rsid w:val="003F5A2E"/>
    <w:rsid w:val="003F7207"/>
    <w:rsid w:val="00404EBF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7C92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3C75"/>
    <w:rsid w:val="004E73EE"/>
    <w:rsid w:val="004E7B26"/>
    <w:rsid w:val="004F1861"/>
    <w:rsid w:val="004F3262"/>
    <w:rsid w:val="004F76E6"/>
    <w:rsid w:val="00500399"/>
    <w:rsid w:val="0050040A"/>
    <w:rsid w:val="005020F8"/>
    <w:rsid w:val="00505022"/>
    <w:rsid w:val="005060EF"/>
    <w:rsid w:val="00506FA1"/>
    <w:rsid w:val="00507CF3"/>
    <w:rsid w:val="00513273"/>
    <w:rsid w:val="00514979"/>
    <w:rsid w:val="005203DB"/>
    <w:rsid w:val="00523E89"/>
    <w:rsid w:val="005270C8"/>
    <w:rsid w:val="0053120E"/>
    <w:rsid w:val="0053159E"/>
    <w:rsid w:val="0053365B"/>
    <w:rsid w:val="005337DE"/>
    <w:rsid w:val="00537D9E"/>
    <w:rsid w:val="00543B15"/>
    <w:rsid w:val="00553BB2"/>
    <w:rsid w:val="0056058C"/>
    <w:rsid w:val="005641D1"/>
    <w:rsid w:val="00565264"/>
    <w:rsid w:val="0057264B"/>
    <w:rsid w:val="0057406A"/>
    <w:rsid w:val="005806E8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638F"/>
    <w:rsid w:val="005F6651"/>
    <w:rsid w:val="005F6FE0"/>
    <w:rsid w:val="005F7C84"/>
    <w:rsid w:val="005F7FA9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53"/>
    <w:rsid w:val="006C43CA"/>
    <w:rsid w:val="006C5409"/>
    <w:rsid w:val="006D003B"/>
    <w:rsid w:val="006D1855"/>
    <w:rsid w:val="006D37BF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1B5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52D"/>
    <w:rsid w:val="00770753"/>
    <w:rsid w:val="007731FD"/>
    <w:rsid w:val="00773E14"/>
    <w:rsid w:val="00774768"/>
    <w:rsid w:val="00774E6C"/>
    <w:rsid w:val="00775A5B"/>
    <w:rsid w:val="00776665"/>
    <w:rsid w:val="007801FD"/>
    <w:rsid w:val="00783C73"/>
    <w:rsid w:val="007859E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8007E4"/>
    <w:rsid w:val="008074F4"/>
    <w:rsid w:val="008125AA"/>
    <w:rsid w:val="008144B6"/>
    <w:rsid w:val="00815E03"/>
    <w:rsid w:val="0082114E"/>
    <w:rsid w:val="00822A25"/>
    <w:rsid w:val="00824742"/>
    <w:rsid w:val="00824FA2"/>
    <w:rsid w:val="00831C9E"/>
    <w:rsid w:val="008342A1"/>
    <w:rsid w:val="00842CA3"/>
    <w:rsid w:val="00846284"/>
    <w:rsid w:val="00850EDB"/>
    <w:rsid w:val="00851423"/>
    <w:rsid w:val="00863F79"/>
    <w:rsid w:val="00864D7D"/>
    <w:rsid w:val="00865BDE"/>
    <w:rsid w:val="0087043F"/>
    <w:rsid w:val="0087619A"/>
    <w:rsid w:val="00885B66"/>
    <w:rsid w:val="00885E16"/>
    <w:rsid w:val="0089028B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4680"/>
    <w:rsid w:val="00A82147"/>
    <w:rsid w:val="00A842A6"/>
    <w:rsid w:val="00A8638B"/>
    <w:rsid w:val="00A914AA"/>
    <w:rsid w:val="00AA20B6"/>
    <w:rsid w:val="00AA4C1F"/>
    <w:rsid w:val="00AA57D9"/>
    <w:rsid w:val="00AA5889"/>
    <w:rsid w:val="00AB03F0"/>
    <w:rsid w:val="00AB1C0A"/>
    <w:rsid w:val="00AB48D2"/>
    <w:rsid w:val="00AB5851"/>
    <w:rsid w:val="00AB6505"/>
    <w:rsid w:val="00AC0BBE"/>
    <w:rsid w:val="00AC2F5A"/>
    <w:rsid w:val="00AD43FE"/>
    <w:rsid w:val="00AD4573"/>
    <w:rsid w:val="00AD5A9D"/>
    <w:rsid w:val="00AD6808"/>
    <w:rsid w:val="00AE0A18"/>
    <w:rsid w:val="00AE3F8C"/>
    <w:rsid w:val="00AE5DE8"/>
    <w:rsid w:val="00AF0F65"/>
    <w:rsid w:val="00AF20FE"/>
    <w:rsid w:val="00AF25E1"/>
    <w:rsid w:val="00AF5BF1"/>
    <w:rsid w:val="00B049BC"/>
    <w:rsid w:val="00B05414"/>
    <w:rsid w:val="00B05606"/>
    <w:rsid w:val="00B1158A"/>
    <w:rsid w:val="00B11A21"/>
    <w:rsid w:val="00B142A2"/>
    <w:rsid w:val="00B17B07"/>
    <w:rsid w:val="00B20CBC"/>
    <w:rsid w:val="00B260C3"/>
    <w:rsid w:val="00B34D11"/>
    <w:rsid w:val="00B40A83"/>
    <w:rsid w:val="00B46E60"/>
    <w:rsid w:val="00B51A50"/>
    <w:rsid w:val="00B52C30"/>
    <w:rsid w:val="00B5300C"/>
    <w:rsid w:val="00B5325A"/>
    <w:rsid w:val="00B60F55"/>
    <w:rsid w:val="00B6114B"/>
    <w:rsid w:val="00B63456"/>
    <w:rsid w:val="00B66A74"/>
    <w:rsid w:val="00B67096"/>
    <w:rsid w:val="00B734BA"/>
    <w:rsid w:val="00B7594B"/>
    <w:rsid w:val="00B83020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7D26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6CAE"/>
    <w:rsid w:val="00D36EF5"/>
    <w:rsid w:val="00D3773D"/>
    <w:rsid w:val="00D431F2"/>
    <w:rsid w:val="00D47173"/>
    <w:rsid w:val="00D50CC7"/>
    <w:rsid w:val="00D5399D"/>
    <w:rsid w:val="00D72263"/>
    <w:rsid w:val="00D726A4"/>
    <w:rsid w:val="00D73706"/>
    <w:rsid w:val="00D76C80"/>
    <w:rsid w:val="00D839AE"/>
    <w:rsid w:val="00D865B9"/>
    <w:rsid w:val="00D86AD0"/>
    <w:rsid w:val="00D93F80"/>
    <w:rsid w:val="00D9559B"/>
    <w:rsid w:val="00D96DE5"/>
    <w:rsid w:val="00DA2865"/>
    <w:rsid w:val="00DA39CD"/>
    <w:rsid w:val="00DA5671"/>
    <w:rsid w:val="00DA66D7"/>
    <w:rsid w:val="00DB70BA"/>
    <w:rsid w:val="00DB7174"/>
    <w:rsid w:val="00DD0254"/>
    <w:rsid w:val="00DD0617"/>
    <w:rsid w:val="00DE0831"/>
    <w:rsid w:val="00DE08B6"/>
    <w:rsid w:val="00DE1E51"/>
    <w:rsid w:val="00DE1FB5"/>
    <w:rsid w:val="00DE27B8"/>
    <w:rsid w:val="00DE45DF"/>
    <w:rsid w:val="00DE583F"/>
    <w:rsid w:val="00DE5E9E"/>
    <w:rsid w:val="00DE7324"/>
    <w:rsid w:val="00E0152D"/>
    <w:rsid w:val="00E075D9"/>
    <w:rsid w:val="00E141AC"/>
    <w:rsid w:val="00E14507"/>
    <w:rsid w:val="00E16F09"/>
    <w:rsid w:val="00E26B1F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F83"/>
    <w:rsid w:val="00E7238F"/>
    <w:rsid w:val="00E7364E"/>
    <w:rsid w:val="00E74E3E"/>
    <w:rsid w:val="00E81B53"/>
    <w:rsid w:val="00E82CFA"/>
    <w:rsid w:val="00E83A76"/>
    <w:rsid w:val="00E86451"/>
    <w:rsid w:val="00E86E39"/>
    <w:rsid w:val="00E872DE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1086"/>
    <w:rsid w:val="00F122BB"/>
    <w:rsid w:val="00F21A41"/>
    <w:rsid w:val="00F22F19"/>
    <w:rsid w:val="00F25810"/>
    <w:rsid w:val="00F331BE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61D3"/>
    <w:rsid w:val="00FD7572"/>
    <w:rsid w:val="00FD7747"/>
    <w:rsid w:val="00FE42AC"/>
    <w:rsid w:val="00FE7C37"/>
    <w:rsid w:val="00FF5698"/>
    <w:rsid w:val="00FF6B16"/>
    <w:rsid w:val="01D93776"/>
    <w:rsid w:val="01F577B9"/>
    <w:rsid w:val="023545E6"/>
    <w:rsid w:val="02483CA8"/>
    <w:rsid w:val="0259405D"/>
    <w:rsid w:val="02A87A41"/>
    <w:rsid w:val="02C35F1A"/>
    <w:rsid w:val="0543483B"/>
    <w:rsid w:val="054826E6"/>
    <w:rsid w:val="05486BF5"/>
    <w:rsid w:val="055C366D"/>
    <w:rsid w:val="059D0C5B"/>
    <w:rsid w:val="05AA6458"/>
    <w:rsid w:val="05AE0EA7"/>
    <w:rsid w:val="05CB7009"/>
    <w:rsid w:val="06870DAC"/>
    <w:rsid w:val="06922C24"/>
    <w:rsid w:val="06BF4FE7"/>
    <w:rsid w:val="07740842"/>
    <w:rsid w:val="07773497"/>
    <w:rsid w:val="08BC3F7D"/>
    <w:rsid w:val="097B6FF1"/>
    <w:rsid w:val="09DF4FD2"/>
    <w:rsid w:val="0A152E7E"/>
    <w:rsid w:val="0A2D1211"/>
    <w:rsid w:val="0A66188B"/>
    <w:rsid w:val="0A841691"/>
    <w:rsid w:val="0BD71EE3"/>
    <w:rsid w:val="0CE73CE2"/>
    <w:rsid w:val="0E1378E5"/>
    <w:rsid w:val="0E2813BC"/>
    <w:rsid w:val="0E330069"/>
    <w:rsid w:val="0FF22D75"/>
    <w:rsid w:val="101007C5"/>
    <w:rsid w:val="116C0DA5"/>
    <w:rsid w:val="12DD29B7"/>
    <w:rsid w:val="12E74761"/>
    <w:rsid w:val="136F5708"/>
    <w:rsid w:val="138C04F1"/>
    <w:rsid w:val="13EF32B1"/>
    <w:rsid w:val="140677C1"/>
    <w:rsid w:val="14494DA0"/>
    <w:rsid w:val="146F074D"/>
    <w:rsid w:val="152016D6"/>
    <w:rsid w:val="159E1414"/>
    <w:rsid w:val="15C13076"/>
    <w:rsid w:val="16001B5A"/>
    <w:rsid w:val="16142C2C"/>
    <w:rsid w:val="164160AE"/>
    <w:rsid w:val="16F54AFF"/>
    <w:rsid w:val="17C12A54"/>
    <w:rsid w:val="1978453B"/>
    <w:rsid w:val="199961DA"/>
    <w:rsid w:val="1AB766D3"/>
    <w:rsid w:val="1B1E5671"/>
    <w:rsid w:val="1BF251FB"/>
    <w:rsid w:val="1C1E7791"/>
    <w:rsid w:val="1C2C1439"/>
    <w:rsid w:val="1C530D68"/>
    <w:rsid w:val="1CDE5D67"/>
    <w:rsid w:val="1D7338A6"/>
    <w:rsid w:val="1E4F567E"/>
    <w:rsid w:val="1F43662E"/>
    <w:rsid w:val="1F85078D"/>
    <w:rsid w:val="203175DD"/>
    <w:rsid w:val="20C22B0F"/>
    <w:rsid w:val="212577C9"/>
    <w:rsid w:val="21E309CC"/>
    <w:rsid w:val="22781FE1"/>
    <w:rsid w:val="228C1924"/>
    <w:rsid w:val="231321D1"/>
    <w:rsid w:val="248C0836"/>
    <w:rsid w:val="26C2123A"/>
    <w:rsid w:val="27192C51"/>
    <w:rsid w:val="27DD580C"/>
    <w:rsid w:val="285F0DD4"/>
    <w:rsid w:val="294F6A51"/>
    <w:rsid w:val="299E51AB"/>
    <w:rsid w:val="2B185B0D"/>
    <w:rsid w:val="2CC422A3"/>
    <w:rsid w:val="2D3F3099"/>
    <w:rsid w:val="2E5D760A"/>
    <w:rsid w:val="2E997E89"/>
    <w:rsid w:val="2EA02B25"/>
    <w:rsid w:val="2EBB4636"/>
    <w:rsid w:val="30443666"/>
    <w:rsid w:val="304478B7"/>
    <w:rsid w:val="31054673"/>
    <w:rsid w:val="31373757"/>
    <w:rsid w:val="318800B8"/>
    <w:rsid w:val="31A67991"/>
    <w:rsid w:val="327169B3"/>
    <w:rsid w:val="32DA04F5"/>
    <w:rsid w:val="33525A0A"/>
    <w:rsid w:val="3386387A"/>
    <w:rsid w:val="33C62097"/>
    <w:rsid w:val="33F6199A"/>
    <w:rsid w:val="34BE693E"/>
    <w:rsid w:val="34DF2DE7"/>
    <w:rsid w:val="3606082A"/>
    <w:rsid w:val="36607940"/>
    <w:rsid w:val="3679122E"/>
    <w:rsid w:val="36E22959"/>
    <w:rsid w:val="37C67B3A"/>
    <w:rsid w:val="38352242"/>
    <w:rsid w:val="38B7769F"/>
    <w:rsid w:val="38E24762"/>
    <w:rsid w:val="38FB076B"/>
    <w:rsid w:val="396C2796"/>
    <w:rsid w:val="3A65734A"/>
    <w:rsid w:val="3AA77AD9"/>
    <w:rsid w:val="3CCF420F"/>
    <w:rsid w:val="3D010241"/>
    <w:rsid w:val="3D6019E2"/>
    <w:rsid w:val="3EA83A40"/>
    <w:rsid w:val="3EBE0E18"/>
    <w:rsid w:val="404919BE"/>
    <w:rsid w:val="407812DD"/>
    <w:rsid w:val="41BD2E20"/>
    <w:rsid w:val="423C58E6"/>
    <w:rsid w:val="427F06AC"/>
    <w:rsid w:val="42ED2564"/>
    <w:rsid w:val="42F04B90"/>
    <w:rsid w:val="43BC78EC"/>
    <w:rsid w:val="458512A6"/>
    <w:rsid w:val="45EA14EE"/>
    <w:rsid w:val="463F04DF"/>
    <w:rsid w:val="46851492"/>
    <w:rsid w:val="46E6270B"/>
    <w:rsid w:val="47174E47"/>
    <w:rsid w:val="474F32D6"/>
    <w:rsid w:val="47772291"/>
    <w:rsid w:val="47C03AAC"/>
    <w:rsid w:val="48DC2BE3"/>
    <w:rsid w:val="493577ED"/>
    <w:rsid w:val="49415DBF"/>
    <w:rsid w:val="49553CAC"/>
    <w:rsid w:val="49971004"/>
    <w:rsid w:val="4A705D29"/>
    <w:rsid w:val="4AC026BD"/>
    <w:rsid w:val="4B392FD5"/>
    <w:rsid w:val="4BA14D45"/>
    <w:rsid w:val="4BCD0145"/>
    <w:rsid w:val="4CE47A3E"/>
    <w:rsid w:val="4CEB2A43"/>
    <w:rsid w:val="4D2852AE"/>
    <w:rsid w:val="4DAF2B52"/>
    <w:rsid w:val="4DD26988"/>
    <w:rsid w:val="4E41582A"/>
    <w:rsid w:val="4FBD68F8"/>
    <w:rsid w:val="502A390E"/>
    <w:rsid w:val="505121FE"/>
    <w:rsid w:val="5084796D"/>
    <w:rsid w:val="519B1BA0"/>
    <w:rsid w:val="51DE5599"/>
    <w:rsid w:val="51F77181"/>
    <w:rsid w:val="52621F83"/>
    <w:rsid w:val="53F372ED"/>
    <w:rsid w:val="543F4416"/>
    <w:rsid w:val="54C70160"/>
    <w:rsid w:val="54F619AF"/>
    <w:rsid w:val="54FC014A"/>
    <w:rsid w:val="55233E35"/>
    <w:rsid w:val="55495A6C"/>
    <w:rsid w:val="55597748"/>
    <w:rsid w:val="555C3769"/>
    <w:rsid w:val="572D0997"/>
    <w:rsid w:val="5751077E"/>
    <w:rsid w:val="58210661"/>
    <w:rsid w:val="5948587F"/>
    <w:rsid w:val="597A0CF9"/>
    <w:rsid w:val="5A992B2C"/>
    <w:rsid w:val="5AFB1B92"/>
    <w:rsid w:val="5B047FE2"/>
    <w:rsid w:val="5B5271CD"/>
    <w:rsid w:val="5C54349C"/>
    <w:rsid w:val="5C7239E0"/>
    <w:rsid w:val="5C9725E4"/>
    <w:rsid w:val="5CF46AC5"/>
    <w:rsid w:val="5D365FD4"/>
    <w:rsid w:val="5D491E3A"/>
    <w:rsid w:val="5D94403E"/>
    <w:rsid w:val="5E180D90"/>
    <w:rsid w:val="5E1E0ACC"/>
    <w:rsid w:val="5E492213"/>
    <w:rsid w:val="5E527EC3"/>
    <w:rsid w:val="5F296C2A"/>
    <w:rsid w:val="5FB64157"/>
    <w:rsid w:val="5FEC0957"/>
    <w:rsid w:val="60145E67"/>
    <w:rsid w:val="614B4BC0"/>
    <w:rsid w:val="616D01B4"/>
    <w:rsid w:val="61B131C8"/>
    <w:rsid w:val="62674E7A"/>
    <w:rsid w:val="62A5476F"/>
    <w:rsid w:val="62B3538F"/>
    <w:rsid w:val="62B40821"/>
    <w:rsid w:val="63711198"/>
    <w:rsid w:val="63D66457"/>
    <w:rsid w:val="6409526A"/>
    <w:rsid w:val="645D6907"/>
    <w:rsid w:val="64DA4F14"/>
    <w:rsid w:val="65233802"/>
    <w:rsid w:val="66A1426F"/>
    <w:rsid w:val="672512E6"/>
    <w:rsid w:val="672D4C66"/>
    <w:rsid w:val="677231B7"/>
    <w:rsid w:val="687B1AC6"/>
    <w:rsid w:val="689451EC"/>
    <w:rsid w:val="689F0630"/>
    <w:rsid w:val="699E3128"/>
    <w:rsid w:val="69AB3883"/>
    <w:rsid w:val="6A511A1B"/>
    <w:rsid w:val="6B242E96"/>
    <w:rsid w:val="6B391AB4"/>
    <w:rsid w:val="6B6443A0"/>
    <w:rsid w:val="6BC46FCF"/>
    <w:rsid w:val="6BE03119"/>
    <w:rsid w:val="6D5C3B68"/>
    <w:rsid w:val="6E4861B3"/>
    <w:rsid w:val="6ED40A7D"/>
    <w:rsid w:val="6F0408C9"/>
    <w:rsid w:val="6FEA13A8"/>
    <w:rsid w:val="6FF4258B"/>
    <w:rsid w:val="70225701"/>
    <w:rsid w:val="70E24EF9"/>
    <w:rsid w:val="71FE3A25"/>
    <w:rsid w:val="72176D98"/>
    <w:rsid w:val="734E035F"/>
    <w:rsid w:val="73E2393B"/>
    <w:rsid w:val="73EC233E"/>
    <w:rsid w:val="74394A4C"/>
    <w:rsid w:val="77FB607A"/>
    <w:rsid w:val="780A2C9F"/>
    <w:rsid w:val="783D79A3"/>
    <w:rsid w:val="791B706C"/>
    <w:rsid w:val="79C66977"/>
    <w:rsid w:val="7ADE77A7"/>
    <w:rsid w:val="7B5F5E64"/>
    <w:rsid w:val="7B8C3430"/>
    <w:rsid w:val="7BB74F57"/>
    <w:rsid w:val="7C1A111F"/>
    <w:rsid w:val="7CCE4378"/>
    <w:rsid w:val="7CD27F73"/>
    <w:rsid w:val="7D670B73"/>
    <w:rsid w:val="7D6A7849"/>
    <w:rsid w:val="7D9A3483"/>
    <w:rsid w:val="7DA63861"/>
    <w:rsid w:val="7E1A5D65"/>
    <w:rsid w:val="7E3E49D2"/>
    <w:rsid w:val="7E7E2A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8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toc 3"/>
    <w:basedOn w:val="1"/>
    <w:next w:val="1"/>
    <w:qFormat/>
    <w:locked/>
    <w:uiPriority w:val="39"/>
    <w:pPr>
      <w:ind w:left="840" w:leftChars="400"/>
    </w:pPr>
  </w:style>
  <w:style w:type="paragraph" w:styleId="6">
    <w:name w:val="Balloon Text"/>
    <w:basedOn w:val="1"/>
    <w:link w:val="19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2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标题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批注框文本 Char"/>
    <w:basedOn w:val="14"/>
    <w:link w:val="6"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basedOn w:val="14"/>
    <w:link w:val="7"/>
    <w:qFormat/>
    <w:locked/>
    <w:uiPriority w:val="99"/>
    <w:rPr>
      <w:sz w:val="18"/>
      <w:szCs w:val="18"/>
    </w:rPr>
  </w:style>
  <w:style w:type="character" w:customStyle="1" w:styleId="21">
    <w:name w:val="页眉 Char"/>
    <w:basedOn w:val="14"/>
    <w:link w:val="8"/>
    <w:qFormat/>
    <w:locked/>
    <w:uiPriority w:val="99"/>
    <w:rPr>
      <w:sz w:val="18"/>
      <w:szCs w:val="18"/>
    </w:rPr>
  </w:style>
  <w:style w:type="character" w:customStyle="1" w:styleId="22">
    <w:name w:val="副标题 Char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3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24">
    <w:name w:val="txt4"/>
    <w:basedOn w:val="14"/>
    <w:qFormat/>
    <w:uiPriority w:val="99"/>
  </w:style>
  <w:style w:type="paragraph" w:customStyle="1" w:styleId="25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</w:style>
  <w:style w:type="character" w:customStyle="1" w:styleId="27">
    <w:name w:val="apple-converted-space"/>
    <w:basedOn w:val="14"/>
    <w:qFormat/>
    <w:uiPriority w:val="0"/>
  </w:style>
  <w:style w:type="character" w:customStyle="1" w:styleId="28">
    <w:name w:val="文档结构图 Char"/>
    <w:basedOn w:val="14"/>
    <w:link w:val="4"/>
    <w:semiHidden/>
    <w:qFormat/>
    <w:uiPriority w:val="99"/>
    <w:rPr>
      <w:rFonts w:ascii="宋体" w:hAnsi="Calibri" w:cs="Calibri"/>
      <w:kern w:val="2"/>
      <w:sz w:val="18"/>
      <w:szCs w:val="18"/>
    </w:rPr>
  </w:style>
  <w:style w:type="paragraph" w:styleId="29">
    <w:name w:val="No Spacing"/>
    <w:link w:val="3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0">
    <w:name w:val="无间隔 Char"/>
    <w:basedOn w:val="14"/>
    <w:link w:val="29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745</Words>
  <Characters>4249</Characters>
  <Lines>35</Lines>
  <Paragraphs>9</Paragraphs>
  <TotalTime>7</TotalTime>
  <ScaleCrop>false</ScaleCrop>
  <LinksUpToDate>false</LinksUpToDate>
  <CharactersWithSpaces>4985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2018-07-12T05:18:00Z</dcterms:created>
  <dc:creator>AutoBVT</dc:creator>
  <cp:lastModifiedBy>° 胡先生</cp:lastModifiedBy>
  <dcterms:modified xsi:type="dcterms:W3CDTF">2019-09-12T07:02:51Z</dcterms:modified>
  <cp:revision>358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