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rPr>
          <w:rFonts w:cs="Times New Roman"/>
        </w:rPr>
      </w:pPr>
      <w:bookmarkStart w:id="0" w:name="_Toc485828985"/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-779145</wp:posOffset>
            </wp:positionH>
            <wp:positionV relativeFrom="paragraph">
              <wp:posOffset>-1282700</wp:posOffset>
            </wp:positionV>
            <wp:extent cx="7644765" cy="10696575"/>
            <wp:effectExtent l="19050" t="0" r="0" b="0"/>
            <wp:wrapNone/>
            <wp:docPr id="3" name="图片 1" descr="封面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封面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644765" cy="10696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>
      <w:pPr>
        <w:spacing w:line="400" w:lineRule="exact"/>
        <w:rPr>
          <w:rFonts w:cs="Times New Roman"/>
        </w:rPr>
      </w:pPr>
      <w:r>
        <w:pict>
          <v:shape id="文本框 2" o:spid="_x0000_s1028" o:spt="202" type="#_x0000_t202" style="position:absolute;left:0pt;margin-left:36.9pt;margin-top:586.45pt;height:110.7pt;width:419.1pt;z-index:251656192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责任编辑：庞浩明思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电话：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18513790720</w:t>
                  </w:r>
                </w:p>
                <w:p>
                  <w:pPr>
                    <w:pStyle w:val="23"/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传真：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86-010-85725399</w:t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编辑邮箱：</w:t>
                  </w:r>
                  <w:r>
                    <w:fldChar w:fldCharType="begin"/>
                  </w:r>
                  <w:r>
                    <w:instrText xml:space="preserve"> HYPERLINK "mailto:hljbsc2017zsw@163.com"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t>hljbsc2017zsw@163.com</w:t>
                  </w:r>
                  <w:r>
                    <w:rPr>
                      <w:rStyle w:val="16"/>
                      <w:rFonts w:ascii="黑体" w:hAnsi="宋体" w:eastAsia="黑体" w:cs="黑体"/>
                      <w:color w:val="auto"/>
                      <w:kern w:val="2"/>
                      <w:sz w:val="24"/>
                      <w:szCs w:val="24"/>
                      <w:u w:val="none"/>
                      <w:lang w:eastAsia="zh-CN"/>
                    </w:rPr>
                    <w:fldChar w:fldCharType="end"/>
                  </w:r>
                </w:p>
                <w:p>
                  <w:pPr>
                    <w:pStyle w:val="23"/>
                    <w:rPr>
                      <w:rFonts w:ascii="黑体" w:hAnsi="宋体" w:eastAsia="黑体" w:cs="Times New Roman"/>
                      <w:kern w:val="2"/>
                      <w:sz w:val="24"/>
                      <w:szCs w:val="24"/>
                      <w:lang w:eastAsia="zh-CN"/>
                    </w:rPr>
                  </w:pP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地址：北京市朝阳区高碑店东区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B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区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 xml:space="preserve">8-1 </w:t>
                  </w:r>
                  <w:r>
                    <w:rPr>
                      <w:rFonts w:hint="eastAsia"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邮编：</w:t>
                  </w:r>
                  <w:r>
                    <w:rPr>
                      <w:rFonts w:ascii="黑体" w:hAnsi="宋体" w:eastAsia="黑体" w:cs="黑体"/>
                      <w:kern w:val="2"/>
                      <w:sz w:val="24"/>
                      <w:szCs w:val="24"/>
                      <w:lang w:eastAsia="zh-CN"/>
                    </w:rPr>
                    <w:t>100022</w:t>
                  </w: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  <w:p>
                  <w:pPr>
                    <w:jc w:val="left"/>
                    <w:rPr>
                      <w:rFonts w:cs="Times New Roman"/>
                    </w:rPr>
                  </w:pPr>
                </w:p>
              </w:txbxContent>
            </v:textbox>
          </v:shape>
        </w:pict>
      </w:r>
      <w:r>
        <w:pict>
          <v:shape id="文本框 3" o:spid="_x0000_s1029" o:spt="202" type="#_x0000_t202" style="position:absolute;left:0pt;margin-left:175.45pt;margin-top:490.7pt;height:54.1pt;width:126.6pt;z-index:251657216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"/>
                    <w:rPr>
                      <w:rFonts w:hint="default" w:eastAsia="黑体"/>
                      <w:lang w:val="en-US" w:eastAsia="zh-CN"/>
                    </w:rPr>
                  </w:pPr>
                  <w:bookmarkStart w:id="476" w:name="_Toc485981320"/>
                  <w:bookmarkStart w:id="477" w:name="_Toc485828984"/>
                  <w:bookmarkStart w:id="478" w:name="_Toc13217629"/>
                  <w:r>
                    <w:rPr>
                      <w:kern w:val="2"/>
                    </w:rPr>
                    <w:t>201</w:t>
                  </w:r>
                  <w:r>
                    <w:rPr>
                      <w:rFonts w:hint="eastAsia"/>
                      <w:kern w:val="2"/>
                    </w:rPr>
                    <w:t>9</w:t>
                  </w:r>
                  <w:r>
                    <w:rPr>
                      <w:kern w:val="2"/>
                    </w:rPr>
                    <w:t>.</w:t>
                  </w:r>
                  <w:bookmarkEnd w:id="476"/>
                  <w:bookmarkEnd w:id="477"/>
                  <w:r>
                    <w:rPr>
                      <w:rFonts w:hint="eastAsia"/>
                      <w:kern w:val="2"/>
                      <w:lang w:val="en-US" w:eastAsia="zh-CN"/>
                    </w:rPr>
                    <w:t>10</w:t>
                  </w:r>
                  <w:r>
                    <w:rPr>
                      <w:rFonts w:hint="eastAsia"/>
                      <w:kern w:val="2"/>
                    </w:rPr>
                    <w:t>.</w:t>
                  </w:r>
                  <w:bookmarkEnd w:id="478"/>
                  <w:r>
                    <w:rPr>
                      <w:rFonts w:hint="eastAsia"/>
                      <w:kern w:val="2"/>
                      <w:lang w:val="en-US" w:eastAsia="zh-CN"/>
                    </w:rPr>
                    <w:t>11</w:t>
                  </w:r>
                </w:p>
              </w:txbxContent>
            </v:textbox>
          </v:shape>
        </w:pict>
      </w:r>
      <w:r>
        <w:rPr>
          <w:rFonts w:cs="Times New Roman"/>
        </w:rPr>
        <w:br w:type="page"/>
      </w:r>
      <w:r>
        <w:rPr>
          <w:rFonts w:ascii="Times New Roman" w:eastAsia="黑体"/>
          <w:sz w:val="32"/>
          <w:szCs w:val="32"/>
        </w:rPr>
        <w:pict>
          <v:shape id="_x0000_s1030" o:spid="_x0000_s1030" o:spt="202" type="#_x0000_t202" style="position:absolute;left:0pt;margin-left:-0.9pt;margin-top:34.7pt;height:565.3pt;width:492pt;z-index:25165824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23"/>
                    <w:spacing w:line="240" w:lineRule="auto"/>
                    <w:jc w:val="center"/>
                    <w:outlineLvl w:val="0"/>
                    <w:rPr>
                      <w:rFonts w:ascii="宋体" w:cs="Times New Roman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</w:pPr>
                  <w:bookmarkStart w:id="479" w:name="_Toc13217630"/>
                  <w:r>
                    <w:rPr>
                      <w:rFonts w:hint="eastAsia" w:ascii="宋体" w:hAnsi="宋体" w:cs="宋体"/>
                      <w:b/>
                      <w:bCs/>
                      <w:color w:val="000080"/>
                      <w:sz w:val="28"/>
                      <w:szCs w:val="28"/>
                      <w:lang w:eastAsia="zh-CN"/>
                    </w:rPr>
                    <w:t>氯碱市场周报目录</w:t>
                  </w:r>
                  <w:bookmarkEnd w:id="479"/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"_Toc13217629"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2019.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10</w:t>
                  </w:r>
                  <w:r>
                    <w:rPr>
                      <w:rStyle w:val="16"/>
                    </w:rPr>
                    <w:t>.</w:t>
                  </w:r>
                  <w:r>
                    <w:rPr>
                      <w:rStyle w:val="16"/>
                      <w:rFonts w:hint="eastAsia"/>
                      <w:lang w:val="en-US" w:eastAsia="zh-CN"/>
                    </w:rPr>
                    <w:t>11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_Toc13217629 \h </w:instrText>
                  </w:r>
                  <w:r>
                    <w:fldChar w:fldCharType="separate"/>
                  </w:r>
                  <w:r>
                    <w:t>1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"file:///C:\\Users\\Administrator.USER-20170424GR\\Desktop\\我之前\\周报\\周报\\氯碱.docx" \l "_Toc13217630"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氯碱市场周报目录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_Toc13217630 \h </w:instrText>
                  </w:r>
                  <w:r>
                    <w:fldChar w:fldCharType="separate"/>
                  </w:r>
                  <w:r>
                    <w:t>2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纯碱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_Toc13217631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评述：本周纯碱市场评述及行情预测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_Toc13217632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  <w:kern w:val="0"/>
                    </w:rPr>
                    <w:t>一、纯碱市场一周综述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_Toc13217633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 影响市场因素及后市预测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_Toc13217634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本周国内纯碱市场价格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_Toc13217635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烧碱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_Toc13217636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中国烧碱市场行情综述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_Toc13217637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tabs>
                      <w:tab w:val="left" w:pos="1050"/>
                    </w:tabs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"_Toc13217638"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</w:t>
                  </w:r>
                  <w:r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  <w:tab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市场综述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_Toc13217638 \h </w:instrText>
                  </w:r>
                  <w:r>
                    <w:fldChar w:fldCharType="separate"/>
                  </w:r>
                  <w:r>
                    <w:t>5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"_Toc13217639"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</w:rPr>
                    <w:t>二、价格方面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_Toc13217639 \h </w:instrText>
                  </w:r>
                  <w:r>
                    <w:fldChar w:fldCharType="separate"/>
                  </w:r>
                  <w:r>
                    <w:t>6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"_Toc13217640"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本周国内片碱实际成交周汇总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_Toc13217640 \h </w:instrText>
                  </w:r>
                  <w:r>
                    <w:fldChar w:fldCharType="separate"/>
                  </w:r>
                  <w:r>
                    <w:t>7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Theme="minorHAnsi" w:hAnsiTheme="minorHAnsi" w:eastAsiaTheme="minorEastAsia" w:cstheme="minorBidi"/>
                      <w:b w:val="0"/>
                      <w:bCs w:val="0"/>
                      <w: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"_Toc13217641"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cs="黑体"/>
                    </w:rPr>
                    <w:t>液氯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_Toc13217641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"_Toc13217642"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评述：本周国内液氯市场评述及行情预测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_Toc13217642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"_Toc13217643"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一、中国液氯市场行情综述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_Toc13217643 \h </w:instrText>
                  </w:r>
                  <w:r>
                    <w:fldChar w:fldCharType="separate"/>
                  </w:r>
                  <w:r>
                    <w:t>8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"_Toc13217644"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二、市场价格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_Toc13217644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"_Toc13217645"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三、山东市场分析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_Toc13217645 \h </w:instrText>
                  </w:r>
                  <w:r>
                    <w:fldChar w:fldCharType="separate"/>
                  </w:r>
                  <w:r>
                    <w:t>9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Theme="minorHAnsi" w:hAnsiTheme="minorHAnsi" w:eastAsiaTheme="minorEastAsia" w:cstheme="minorBidi"/>
                      <w:b w:val="0"/>
                      <w:bCs w:val="0"/>
                      <w:smallCaps w:val="0"/>
                      <w:color w:val="auto"/>
                      <w:sz w:val="21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 w:ascii="黑体" w:hAnsi="黑体" w:eastAsia="黑体" w:cs="黑体"/>
                    </w:rPr>
                    <w:t>四、后市分析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_Toc13217646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5"/>
                    <w:tabs>
                      <w:tab w:val="right" w:leader="dot" w:pos="8494"/>
                    </w:tabs>
                    <w:rPr>
                      <w:rFonts w:asciiTheme="minorHAnsi" w:hAnsiTheme="minorHAnsi" w:eastAsiaTheme="minorEastAsia" w:cstheme="minorBidi"/>
                      <w:szCs w:val="22"/>
                    </w:rPr>
                  </w:pPr>
                  <w:r>
                    <w:fldChar w:fldCharType="begin"/>
                  </w:r>
                  <w:r>
                    <w:instrText xml:space="preserve"> HYPERLINK \l "_Toc13217647"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b/>
                      <w:bCs/>
                    </w:rPr>
                    <w:t>国内地区市场价格</w:t>
                  </w:r>
                  <w:r>
                    <w:tab/>
                  </w:r>
                  <w:r>
                    <w:fldChar w:fldCharType="begin"/>
                  </w:r>
                  <w:r>
                    <w:instrText xml:space="preserve"> PAGEREF _Toc13217647 \h </w:instrText>
                  </w:r>
                  <w:r>
                    <w:fldChar w:fldCharType="separate"/>
                  </w:r>
                  <w:r>
                    <w:t>10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rPr>
                      <w:rFonts w:cs="Times New Roman"/>
                    </w:rPr>
                  </w:pPr>
                  <w:r>
                    <w:fldChar w:fldCharType="end"/>
                  </w:r>
                </w:p>
              </w:txbxContent>
            </v:textbox>
          </v:shape>
        </w:pict>
      </w:r>
      <w:r>
        <w:br w:type="page"/>
      </w:r>
      <w:bookmarkEnd w:id="0"/>
    </w:p>
    <w:p>
      <w:pPr>
        <w:pStyle w:val="2"/>
        <w:spacing w:line="400" w:lineRule="exact"/>
        <w:jc w:val="center"/>
        <w:rPr>
          <w:rStyle w:val="24"/>
          <w:color w:val="auto"/>
          <w:highlight w:val="none"/>
        </w:rPr>
      </w:pPr>
      <w:bookmarkStart w:id="1" w:name="_Toc534378400"/>
      <w:bookmarkStart w:id="2" w:name="_Toc521660547"/>
      <w:bookmarkStart w:id="3" w:name="_Toc511390005"/>
      <w:bookmarkStart w:id="4" w:name="_Toc524091681"/>
      <w:bookmarkStart w:id="5" w:name="_Toc517425038"/>
      <w:bookmarkStart w:id="6" w:name="_Toc532564037"/>
      <w:bookmarkStart w:id="7" w:name="_Toc1139285"/>
      <w:bookmarkStart w:id="8" w:name="_Toc536198167"/>
      <w:bookmarkStart w:id="9" w:name="_Toc525289546"/>
      <w:bookmarkStart w:id="10" w:name="_Toc528919986"/>
      <w:bookmarkStart w:id="11" w:name="_Toc535588708"/>
      <w:bookmarkStart w:id="12" w:name="_Toc8991653"/>
      <w:bookmarkStart w:id="13" w:name="_Toc8313133"/>
      <w:bookmarkStart w:id="14" w:name="_Toc1739294"/>
      <w:bookmarkStart w:id="15" w:name="_Toc528329956"/>
      <w:bookmarkStart w:id="16" w:name="_Toc525912526"/>
      <w:bookmarkStart w:id="17" w:name="_Toc530128349"/>
      <w:bookmarkStart w:id="18" w:name="_Toc536541137"/>
      <w:bookmarkStart w:id="19" w:name="_Toc4596891"/>
      <w:bookmarkStart w:id="20" w:name="_Toc8378815"/>
      <w:bookmarkStart w:id="21" w:name="_Toc513127190"/>
      <w:bookmarkStart w:id="22" w:name="_Toc525306474"/>
      <w:bookmarkStart w:id="23" w:name="_Toc518638259"/>
      <w:bookmarkStart w:id="24" w:name="_Toc522870745"/>
      <w:bookmarkStart w:id="25" w:name="_Toc1035930"/>
      <w:bookmarkStart w:id="26" w:name="_Toc528930993"/>
      <w:bookmarkStart w:id="27" w:name="_Toc531954272"/>
      <w:bookmarkStart w:id="28" w:name="_Toc522259764"/>
      <w:bookmarkStart w:id="29" w:name="_Toc516234897"/>
      <w:bookmarkStart w:id="30" w:name="_Toc532564063"/>
      <w:bookmarkStart w:id="31" w:name="_Toc4767063"/>
      <w:bookmarkStart w:id="32" w:name="_Toc522870769"/>
      <w:bookmarkStart w:id="33" w:name="_Toc516234891"/>
      <w:bookmarkStart w:id="34" w:name="_Toc520465076"/>
      <w:bookmarkStart w:id="35" w:name="_Toc522280054"/>
      <w:bookmarkStart w:id="36" w:name="_Toc515610373"/>
      <w:bookmarkStart w:id="37" w:name="_Toc536789785"/>
      <w:bookmarkStart w:id="38" w:name="_Toc522870751"/>
      <w:bookmarkStart w:id="39" w:name="_Toc527101790"/>
      <w:bookmarkStart w:id="40" w:name="_Toc534915165"/>
      <w:bookmarkStart w:id="41" w:name="_Toc532564260"/>
      <w:bookmarkStart w:id="42" w:name="_Toc527705000"/>
      <w:bookmarkStart w:id="43" w:name="_Toc518031999"/>
      <w:bookmarkStart w:id="44" w:name="_Toc519848557"/>
      <w:bookmarkStart w:id="45" w:name="_Toc9583952"/>
      <w:bookmarkStart w:id="46" w:name="_Toc516839084"/>
      <w:bookmarkStart w:id="47" w:name="_Toc522870760"/>
      <w:bookmarkStart w:id="48" w:name="_Toc12609903"/>
      <w:bookmarkStart w:id="49" w:name="_Toc525306463"/>
      <w:bookmarkStart w:id="50" w:name="_Toc13217631"/>
      <w:bookmarkStart w:id="51" w:name="_Toc524701464"/>
      <w:bookmarkStart w:id="52" w:name="_Toc485981321"/>
      <w:bookmarkStart w:id="53" w:name="_Toc392240276"/>
      <w:bookmarkStart w:id="54" w:name="_Toc1394100"/>
      <w:bookmarkStart w:id="55" w:name="_Toc4654028"/>
      <w:bookmarkStart w:id="56" w:name="_Toc530750139"/>
      <w:bookmarkStart w:id="57" w:name="_Toc10202308"/>
      <w:bookmarkStart w:id="58" w:name="_Toc521057601"/>
      <w:bookmarkStart w:id="59" w:name="_Toc9597659"/>
      <w:bookmarkStart w:id="60" w:name="_Toc536540307"/>
      <w:bookmarkStart w:id="61" w:name="_Toc4139106"/>
      <w:bookmarkStart w:id="62" w:name="_Toc533149330"/>
      <w:bookmarkStart w:id="63" w:name="_Toc529526325"/>
      <w:bookmarkStart w:id="64" w:name="_Toc300238840"/>
      <w:r>
        <w:rPr>
          <w:rFonts w:hint="eastAsia" w:cs="黑体"/>
          <w:color w:val="auto"/>
          <w:highlight w:val="none"/>
        </w:rPr>
        <w:t>纯碱</w:t>
      </w:r>
      <w:bookmarkEnd w:id="1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Start w:id="65" w:name="_Toc392240277"/>
      <w:bookmarkStart w:id="66" w:name="_Toc485981322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67" w:name="_Toc530750140"/>
      <w:bookmarkStart w:id="68" w:name="_Toc528930994"/>
      <w:bookmarkStart w:id="69" w:name="_Toc533149331"/>
      <w:bookmarkStart w:id="70" w:name="_Toc536540308"/>
      <w:bookmarkStart w:id="71" w:name="_Toc518638260"/>
      <w:bookmarkStart w:id="72" w:name="_Toc1394101"/>
      <w:bookmarkStart w:id="73" w:name="_Toc516839085"/>
      <w:bookmarkStart w:id="74" w:name="_Toc522280055"/>
      <w:bookmarkStart w:id="75" w:name="_Toc519848558"/>
      <w:bookmarkStart w:id="76" w:name="_Toc522870761"/>
      <w:bookmarkStart w:id="77" w:name="_Toc525289547"/>
      <w:bookmarkStart w:id="78" w:name="_Toc527705001"/>
      <w:bookmarkStart w:id="79" w:name="_Toc522870770"/>
      <w:bookmarkStart w:id="80" w:name="_Toc4596892"/>
      <w:bookmarkStart w:id="81" w:name="_Toc522259765"/>
      <w:bookmarkStart w:id="82" w:name="_Toc4139107"/>
      <w:bookmarkStart w:id="83" w:name="_Toc517425039"/>
      <w:bookmarkStart w:id="84" w:name="_Toc513127191"/>
      <w:bookmarkStart w:id="85" w:name="_Toc535588709"/>
      <w:bookmarkStart w:id="86" w:name="_Toc515610374"/>
      <w:bookmarkStart w:id="87" w:name="_Toc525306464"/>
      <w:bookmarkStart w:id="88" w:name="_Toc531954273"/>
      <w:bookmarkStart w:id="89" w:name="_Toc536541138"/>
      <w:bookmarkStart w:id="90" w:name="_Toc530128350"/>
      <w:bookmarkStart w:id="91" w:name="_Toc534915166"/>
      <w:bookmarkStart w:id="92" w:name="_Toc528329957"/>
      <w:bookmarkStart w:id="93" w:name="_Toc516234898"/>
      <w:bookmarkStart w:id="94" w:name="_Toc525912527"/>
      <w:bookmarkStart w:id="95" w:name="_Toc527101791"/>
      <w:bookmarkStart w:id="96" w:name="_Toc534378401"/>
      <w:bookmarkStart w:id="97" w:name="_Toc4654029"/>
      <w:bookmarkStart w:id="98" w:name="_Toc532564261"/>
      <w:bookmarkStart w:id="99" w:name="_Toc532564038"/>
      <w:bookmarkStart w:id="100" w:name="_Toc536789786"/>
      <w:bookmarkStart w:id="101" w:name="_Toc521660548"/>
      <w:bookmarkStart w:id="102" w:name="_Toc525306475"/>
      <w:bookmarkStart w:id="103" w:name="_Toc1739295"/>
      <w:bookmarkStart w:id="104" w:name="_Toc528919987"/>
      <w:bookmarkStart w:id="105" w:name="_Toc511390006"/>
      <w:bookmarkStart w:id="106" w:name="_Toc522870752"/>
      <w:bookmarkStart w:id="107" w:name="_Toc516234892"/>
      <w:bookmarkStart w:id="108" w:name="_Toc520465077"/>
      <w:bookmarkStart w:id="109" w:name="_Toc1139286"/>
      <w:bookmarkStart w:id="110" w:name="_Toc536198168"/>
      <w:bookmarkStart w:id="111" w:name="_Toc1035931"/>
      <w:bookmarkStart w:id="112" w:name="_Toc518032000"/>
      <w:bookmarkStart w:id="113" w:name="_Toc521057602"/>
      <w:bookmarkStart w:id="114" w:name="_Toc524091682"/>
      <w:bookmarkStart w:id="115" w:name="_Toc522870746"/>
      <w:bookmarkStart w:id="116" w:name="_Toc529526326"/>
      <w:bookmarkStart w:id="117" w:name="_Toc524701465"/>
      <w:bookmarkStart w:id="118" w:name="_Toc532564064"/>
    </w:p>
    <w:p>
      <w:pPr>
        <w:pStyle w:val="3"/>
        <w:snapToGrid w:val="0"/>
        <w:spacing w:before="0" w:after="0" w:line="400" w:lineRule="exact"/>
        <w:ind w:right="-145" w:rightChars="-69" w:firstLine="602" w:firstLineChars="200"/>
        <w:rPr>
          <w:rStyle w:val="24"/>
          <w:rFonts w:ascii="黑体" w:hAnsi="黑体" w:eastAsia="黑体" w:cs="黑体"/>
          <w:sz w:val="30"/>
          <w:szCs w:val="30"/>
          <w:highlight w:val="none"/>
        </w:rPr>
      </w:pPr>
      <w:bookmarkStart w:id="119" w:name="_Toc8313134"/>
      <w:bookmarkStart w:id="120" w:name="_Toc8991654"/>
      <w:bookmarkStart w:id="121" w:name="_Toc9597660"/>
      <w:bookmarkStart w:id="122" w:name="_Toc10202309"/>
      <w:bookmarkStart w:id="123" w:name="_Toc9583953"/>
      <w:bookmarkStart w:id="124" w:name="_Toc4767064"/>
      <w:bookmarkStart w:id="125" w:name="_Toc13217632"/>
      <w:bookmarkStart w:id="126" w:name="_Toc8378816"/>
      <w:bookmarkStart w:id="127" w:name="_Toc12609904"/>
      <w:r>
        <w:rPr>
          <w:rStyle w:val="24"/>
          <w:rFonts w:hint="eastAsia" w:ascii="黑体" w:hAnsi="黑体" w:eastAsia="黑体" w:cs="黑体"/>
          <w:sz w:val="30"/>
          <w:szCs w:val="30"/>
          <w:highlight w:val="none"/>
        </w:rPr>
        <w:t>评述：本周纯碱市场评述及行情预测</w:t>
      </w:r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</w:p>
    <w:p>
      <w:pPr>
        <w:rPr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bookmarkStart w:id="128" w:name="_Toc4654030"/>
      <w:bookmarkStart w:id="129" w:name="_Toc12609905"/>
      <w:bookmarkStart w:id="130" w:name="_Toc4596893"/>
      <w:bookmarkStart w:id="131" w:name="_Toc8991655"/>
      <w:bookmarkStart w:id="132" w:name="_Toc13217633"/>
      <w:bookmarkStart w:id="133" w:name="_Toc9583954"/>
      <w:bookmarkStart w:id="134" w:name="_Toc10202310"/>
      <w:bookmarkStart w:id="135" w:name="_Toc4767065"/>
      <w:bookmarkStart w:id="136" w:name="_Toc9597661"/>
      <w:bookmarkStart w:id="137" w:name="_Toc8313135"/>
      <w:bookmarkStart w:id="138" w:name="_Toc8378817"/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ascii="黑体" w:hAnsi="黑体" w:eastAsia="黑体" w:cs="Times New Roman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一、纯碱市场一周</w:t>
      </w:r>
      <w:bookmarkStart w:id="139" w:name="_Toc392240278"/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综述</w:t>
      </w:r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本周纯碱市场价格整理上行，涨幅0-80元/吨不等。受节前低库存助力，部分企业就外售价格提涨信心增强，时遇国庆长假储量，氨碱企业集中报涨价后联碱及天然碱厂分别灵活跟涨;下游用户方面采购以灵活为主，涨情受刚需影响有不同表现。国庆节后纯碱企业多持看稳态度，加上下游用户按需签单表现，虽有个别厂家售价持续提涨，但实际市场交投缓和，行情大稳小动运行。</w:t>
      </w: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</w:p>
    <w:p>
      <w:pPr>
        <w:pStyle w:val="26"/>
        <w:widowControl/>
        <w:spacing w:line="400" w:lineRule="exact"/>
        <w:ind w:firstLine="600"/>
        <w:jc w:val="left"/>
        <w:outlineLvl w:val="1"/>
        <w:rPr>
          <w:rFonts w:hint="eastAsia" w:ascii="黑体" w:hAnsi="黑体" w:eastAsia="黑体" w:cs="黑体"/>
          <w:kern w:val="0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kern w:val="0"/>
          <w:sz w:val="30"/>
          <w:szCs w:val="30"/>
          <w:highlight w:val="none"/>
        </w:rPr>
        <w:t>供应端：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40" w:name="_Toc8991656"/>
      <w:bookmarkStart w:id="141" w:name="_Toc8378818"/>
      <w:bookmarkStart w:id="142" w:name="_Toc4654031"/>
      <w:bookmarkStart w:id="143" w:name="_Toc13217634"/>
      <w:bookmarkStart w:id="144" w:name="_Toc10202311"/>
      <w:bookmarkStart w:id="145" w:name="_Toc4596894"/>
      <w:bookmarkStart w:id="146" w:name="_Toc8313136"/>
      <w:bookmarkStart w:id="147" w:name="_Toc12609906"/>
      <w:bookmarkStart w:id="148" w:name="_Toc9597662"/>
      <w:bookmarkStart w:id="149" w:name="_Toc4767066"/>
      <w:bookmarkStart w:id="150" w:name="_Toc9583955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轻碱主流含税出厂价格：辽宁地区现阶段本地贸易出货含税出价在1800-1850元/吨左右，终端到货1900-1950元/吨左右;河北地区含税出价1700-1750元/吨;山东地区含税出价1700-1780元/吨;江苏地区主流含税出价1600-1700元/吨，部分高价以1680-1750元/吨;杭州地区含税出价1700-1750元/吨;福建地区含税出价1650-1700元/吨左右;广东地区含税出价1800-1850元/吨;华中地区主流含税出价1620-1650元/吨，部分高价在1680元/吨左右;青海地区含税出价1500-1550元/吨;川渝区域含税出价1700-1780元/吨;云贵地区含税出价1720-1750元/吨左右;江西区域含税出价1700元/吨左右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重碱主流含税送到价格：目前华北地区重碱含税送到1850-1900元/吨左右，沙河区域含税送达1850-1880元/吨(现汇价格);青海区域含税出厂价1550-1600元/吨;西南区域含税送到1850-1900元/吨;东北区域重碱主流含税送到1900-2000元/吨;广东重碱含税送到价格1950-2050元/吨;华东片区主流含税送到1850-1900元/吨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numPr>
          <w:ilvl w:val="0"/>
          <w:numId w:val="1"/>
        </w:numPr>
        <w:ind w:firstLine="600" w:firstLineChars="200"/>
        <w:jc w:val="left"/>
        <w:outlineLvl w:val="1"/>
        <w:rPr>
          <w:rFonts w:ascii="黑体" w:hAnsi="黑体" w:eastAsia="黑体" w:cs="黑体"/>
          <w:sz w:val="30"/>
          <w:szCs w:val="30"/>
          <w:highlight w:val="none"/>
        </w:rPr>
      </w:pPr>
      <w:r>
        <w:rPr>
          <w:rFonts w:hint="eastAsia" w:ascii="黑体" w:hAnsi="黑体" w:eastAsia="黑体" w:cs="黑体"/>
          <w:sz w:val="30"/>
          <w:szCs w:val="30"/>
          <w:highlight w:val="none"/>
        </w:rPr>
        <w:t>影响市场因素及后市预测</w:t>
      </w:r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bookmarkStart w:id="151" w:name="_Toc4596895"/>
      <w:bookmarkStart w:id="152" w:name="_Toc12609907"/>
      <w:bookmarkStart w:id="153" w:name="_Toc10202312"/>
      <w:bookmarkStart w:id="154" w:name="_Toc9597663"/>
      <w:bookmarkStart w:id="155" w:name="_Toc8991657"/>
      <w:bookmarkStart w:id="156" w:name="_Toc8313137"/>
      <w:bookmarkStart w:id="157" w:name="_Toc8378819"/>
      <w:bookmarkStart w:id="158" w:name="_Toc4767067"/>
      <w:bookmarkStart w:id="159" w:name="_Toc9583956"/>
      <w:bookmarkStart w:id="160" w:name="_Toc4654032"/>
      <w:bookmarkStart w:id="161" w:name="_Toc13217635"/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供应方面：本周纯碱检修有江苏华昌、中盐吉兰泰、天津渤化、河南金山等企业，行业开工负荷属高位;国庆长假期间汽运增压，多地厂家发运不畅导致节后库存稳中有升;另外湖北区域受军运会影响，运输压力也将在本月延续，企业库存有滞留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需求方面：下游玻璃行业运行节假前后持续有提价表现，另外冷修产线消息增多利于其行业持续向好，但对于纯碱需求有减量影响;伴随纯碱涨情后，日用玻璃、焦亚硫酸钠、泡花碱等产品成本增加助推其涨情升温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ascii="仿宋" w:hAnsi="仿宋" w:eastAsia="仿宋" w:cs="仿宋"/>
          <w:kern w:val="2"/>
          <w:sz w:val="28"/>
          <w:szCs w:val="28"/>
          <w:lang w:val="en-US" w:eastAsia="zh-CN"/>
        </w:rPr>
        <w:t>综上，纯碱上下游近期调整不大，其市场交投疲软表现或持续影响下周行情暂以稳定运行。</w:t>
      </w:r>
    </w:p>
    <w:p>
      <w:pPr>
        <w:pStyle w:val="12"/>
        <w:ind w:firstLine="560" w:firstLineChars="200"/>
        <w:rPr>
          <w:rFonts w:ascii="仿宋" w:hAnsi="仿宋" w:eastAsia="仿宋" w:cs="仿宋"/>
          <w:kern w:val="2"/>
          <w:sz w:val="28"/>
          <w:szCs w:val="28"/>
          <w:lang w:val="en-US" w:eastAsia="zh-CN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本周国内纯碱市场价格</w:t>
      </w:r>
      <w:bookmarkEnd w:id="139"/>
      <w:bookmarkEnd w:id="151"/>
      <w:bookmarkEnd w:id="152"/>
      <w:bookmarkEnd w:id="153"/>
      <w:bookmarkEnd w:id="154"/>
      <w:bookmarkEnd w:id="155"/>
      <w:bookmarkEnd w:id="156"/>
      <w:bookmarkEnd w:id="157"/>
      <w:bookmarkEnd w:id="158"/>
      <w:bookmarkEnd w:id="159"/>
      <w:bookmarkEnd w:id="160"/>
      <w:bookmarkEnd w:id="161"/>
    </w:p>
    <w:p>
      <w:pPr>
        <w:widowControl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</w:p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3"/>
        <w:gridCol w:w="1441"/>
        <w:gridCol w:w="1444"/>
        <w:gridCol w:w="1444"/>
        <w:gridCol w:w="1444"/>
        <w:gridCol w:w="14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1441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轻质碱</w:t>
            </w:r>
          </w:p>
        </w:tc>
        <w:tc>
          <w:tcPr>
            <w:tcW w:w="2888" w:type="dxa"/>
            <w:gridSpan w:val="2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重质碱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1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444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华东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东北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1900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78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1800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华中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1450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1700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17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3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000000" w:fill="FFFFFF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44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西北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4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80</w:t>
            </w:r>
          </w:p>
        </w:tc>
      </w:tr>
    </w:tbl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  <w:bookmarkStart w:id="162" w:name="_Toc516839086"/>
      <w:bookmarkStart w:id="163" w:name="_Toc525289548"/>
      <w:bookmarkStart w:id="164" w:name="_Toc528919988"/>
      <w:bookmarkStart w:id="165" w:name="_Toc522870762"/>
      <w:bookmarkStart w:id="166" w:name="_Toc519848559"/>
      <w:bookmarkStart w:id="167" w:name="_Toc525306476"/>
      <w:bookmarkStart w:id="168" w:name="_Toc518032001"/>
      <w:bookmarkStart w:id="169" w:name="_Toc522870771"/>
      <w:bookmarkStart w:id="170" w:name="_Toc528329958"/>
      <w:bookmarkStart w:id="171" w:name="_Toc521660549"/>
      <w:bookmarkStart w:id="172" w:name="_Toc522259766"/>
      <w:bookmarkStart w:id="173" w:name="_Toc520465078"/>
      <w:bookmarkStart w:id="174" w:name="_Toc522870753"/>
      <w:bookmarkStart w:id="175" w:name="_Toc522280056"/>
      <w:bookmarkStart w:id="176" w:name="_Toc518638261"/>
      <w:bookmarkStart w:id="177" w:name="_Toc516234899"/>
      <w:bookmarkStart w:id="178" w:name="_Toc522870747"/>
      <w:bookmarkStart w:id="179" w:name="_Toc513127192"/>
      <w:bookmarkStart w:id="180" w:name="_Toc392240279"/>
      <w:bookmarkStart w:id="181" w:name="_Toc515610375"/>
      <w:bookmarkStart w:id="182" w:name="_Toc511390007"/>
      <w:bookmarkStart w:id="183" w:name="_Toc524091683"/>
      <w:bookmarkStart w:id="184" w:name="_Toc532564065"/>
      <w:bookmarkStart w:id="185" w:name="_Toc521057603"/>
      <w:bookmarkStart w:id="186" w:name="_Toc517425040"/>
      <w:bookmarkStart w:id="187" w:name="_Toc524701466"/>
      <w:bookmarkStart w:id="188" w:name="_Toc525306465"/>
      <w:bookmarkStart w:id="189" w:name="_Toc527101792"/>
      <w:bookmarkStart w:id="190" w:name="_Toc525912528"/>
      <w:bookmarkStart w:id="191" w:name="_Toc527705002"/>
      <w:bookmarkStart w:id="192" w:name="_Toc530128351"/>
      <w:bookmarkStart w:id="193" w:name="_Toc528930995"/>
      <w:bookmarkStart w:id="194" w:name="_Toc529526327"/>
      <w:bookmarkStart w:id="195" w:name="_Toc531954274"/>
      <w:bookmarkStart w:id="196" w:name="_Toc530750141"/>
      <w:bookmarkStart w:id="197" w:name="_Toc532564039"/>
      <w:bookmarkStart w:id="198" w:name="_Toc4654033"/>
      <w:bookmarkStart w:id="199" w:name="_Toc536541139"/>
      <w:bookmarkStart w:id="200" w:name="_Toc534915167"/>
      <w:bookmarkStart w:id="201" w:name="_Toc533149332"/>
      <w:bookmarkStart w:id="202" w:name="_Toc532564262"/>
      <w:bookmarkStart w:id="203" w:name="_Toc534378402"/>
      <w:bookmarkStart w:id="204" w:name="_Toc536198169"/>
      <w:bookmarkStart w:id="205" w:name="_Toc535588710"/>
      <w:bookmarkStart w:id="206" w:name="_Toc1394102"/>
      <w:bookmarkStart w:id="207" w:name="_Toc1739296"/>
      <w:bookmarkStart w:id="208" w:name="_Toc516234893"/>
      <w:bookmarkStart w:id="209" w:name="_Toc485981323"/>
      <w:bookmarkStart w:id="210" w:name="_Toc1035932"/>
      <w:bookmarkStart w:id="211" w:name="_Toc536540309"/>
      <w:bookmarkStart w:id="212" w:name="_Toc536789787"/>
      <w:bookmarkStart w:id="213" w:name="_Toc1139287"/>
      <w:bookmarkStart w:id="214" w:name="_Toc4139108"/>
      <w:bookmarkStart w:id="215" w:name="_Toc4596896"/>
      <w:bookmarkStart w:id="216" w:name="_Toc12609908"/>
      <w:bookmarkStart w:id="217" w:name="_Toc8991658"/>
      <w:bookmarkStart w:id="218" w:name="_Toc8313138"/>
      <w:bookmarkStart w:id="219" w:name="_Toc4767068"/>
      <w:bookmarkStart w:id="220" w:name="_Toc8378820"/>
      <w:bookmarkStart w:id="221" w:name="_Toc9597664"/>
      <w:bookmarkStart w:id="222" w:name="_Toc9583957"/>
      <w:bookmarkStart w:id="223" w:name="_Toc10202313"/>
      <w:bookmarkStart w:id="224" w:name="_Toc13217636"/>
    </w:p>
    <w:p>
      <w:pPr>
        <w:pStyle w:val="2"/>
        <w:spacing w:line="400" w:lineRule="exact"/>
        <w:ind w:firstLine="3855" w:firstLineChars="1200"/>
        <w:jc w:val="both"/>
        <w:rPr>
          <w:rFonts w:hint="eastAsia" w:cs="黑体"/>
        </w:rPr>
      </w:pPr>
      <w:r>
        <w:rPr>
          <w:rFonts w:hint="eastAsia" w:cs="黑体"/>
        </w:rPr>
        <w:t>烧碱</w:t>
      </w:r>
      <w:bookmarkEnd w:id="64"/>
      <w:bookmarkEnd w:id="162"/>
      <w:bookmarkEnd w:id="163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  <w:bookmarkEnd w:id="207"/>
      <w:bookmarkEnd w:id="208"/>
      <w:bookmarkEnd w:id="209"/>
      <w:bookmarkEnd w:id="210"/>
      <w:bookmarkEnd w:id="211"/>
      <w:bookmarkEnd w:id="212"/>
      <w:bookmarkEnd w:id="213"/>
      <w:bookmarkEnd w:id="214"/>
      <w:bookmarkEnd w:id="215"/>
      <w:bookmarkEnd w:id="216"/>
      <w:bookmarkEnd w:id="217"/>
      <w:bookmarkEnd w:id="218"/>
      <w:bookmarkEnd w:id="219"/>
      <w:bookmarkEnd w:id="220"/>
      <w:bookmarkEnd w:id="221"/>
      <w:bookmarkEnd w:id="222"/>
      <w:bookmarkEnd w:id="223"/>
      <w:bookmarkEnd w:id="224"/>
      <w:bookmarkStart w:id="225" w:name="_Toc295403449"/>
      <w:bookmarkStart w:id="226" w:name="_Toc250731925"/>
      <w:bookmarkStart w:id="227" w:name="_Toc252539754"/>
      <w:bookmarkStart w:id="228" w:name="_Toc300238848"/>
      <w:bookmarkStart w:id="229" w:name="_Toc4596897"/>
      <w:bookmarkStart w:id="230" w:name="_Toc4654034"/>
    </w:p>
    <w:p/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  <w:bookmarkStart w:id="231" w:name="_Toc8991659"/>
      <w:bookmarkStart w:id="232" w:name="_Toc8313139"/>
      <w:bookmarkStart w:id="233" w:name="_Toc9583958"/>
      <w:bookmarkStart w:id="234" w:name="_Toc9597665"/>
      <w:bookmarkStart w:id="235" w:name="_Toc13217637"/>
      <w:bookmarkStart w:id="236" w:name="_Toc12609909"/>
      <w:bookmarkStart w:id="237" w:name="_Toc4767069"/>
      <w:bookmarkStart w:id="238" w:name="_Toc8378821"/>
      <w:bookmarkStart w:id="239" w:name="_Toc10202314"/>
      <w:r>
        <w:rPr>
          <w:rFonts w:hint="eastAsia" w:ascii="黑体" w:hAnsi="黑体" w:eastAsia="黑体" w:cs="黑体"/>
          <w:b/>
          <w:bCs/>
          <w:sz w:val="30"/>
          <w:szCs w:val="30"/>
        </w:rPr>
        <w:t>中国烧碱市场行情综述</w:t>
      </w:r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Start w:id="240" w:name="_Toc264643747"/>
      <w:bookmarkStart w:id="241" w:name="_Toc295403451"/>
      <w:bookmarkStart w:id="242" w:name="_Toc392240280"/>
      <w:bookmarkStart w:id="243" w:name="_Toc300238850"/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spacing w:line="400" w:lineRule="exact"/>
        <w:ind w:firstLine="602" w:firstLineChars="200"/>
        <w:outlineLvl w:val="1"/>
        <w:rPr>
          <w:rFonts w:hint="eastAsia" w:ascii="黑体" w:hAnsi="黑体" w:eastAsia="黑体" w:cs="黑体"/>
          <w:b/>
          <w:bCs/>
          <w:sz w:val="30"/>
          <w:szCs w:val="30"/>
        </w:rPr>
      </w:pPr>
    </w:p>
    <w:p>
      <w:pPr>
        <w:pStyle w:val="12"/>
        <w:numPr>
          <w:ilvl w:val="0"/>
          <w:numId w:val="2"/>
        </w:numPr>
        <w:spacing w:before="0" w:beforeAutospacing="0" w:after="0" w:afterAutospacing="0" w:line="400" w:lineRule="exact"/>
        <w:ind w:left="1321"/>
        <w:outlineLvl w:val="1"/>
        <w:rPr>
          <w:rFonts w:ascii="黑体" w:hAnsi="黑体" w:eastAsia="黑体" w:cs="Times New Roman"/>
          <w:sz w:val="30"/>
          <w:szCs w:val="30"/>
        </w:rPr>
      </w:pPr>
      <w:bookmarkStart w:id="244" w:name="_Toc12609910"/>
      <w:bookmarkStart w:id="245" w:name="_Toc8378822"/>
      <w:bookmarkStart w:id="246" w:name="_Toc9597666"/>
      <w:bookmarkStart w:id="247" w:name="_Toc9583959"/>
      <w:bookmarkStart w:id="248" w:name="_Toc4767070"/>
      <w:bookmarkStart w:id="249" w:name="_Toc8313140"/>
      <w:bookmarkStart w:id="250" w:name="_Toc4596898"/>
      <w:bookmarkStart w:id="251" w:name="_Toc4654035"/>
      <w:bookmarkStart w:id="252" w:name="_Toc8991660"/>
      <w:bookmarkStart w:id="253" w:name="_Toc13217638"/>
      <w:bookmarkStart w:id="254" w:name="_Toc10202315"/>
      <w:r>
        <w:rPr>
          <w:rFonts w:hint="eastAsia" w:ascii="黑体" w:hAnsi="黑体" w:eastAsia="黑体" w:cs="黑体"/>
          <w:sz w:val="30"/>
          <w:szCs w:val="30"/>
        </w:rPr>
        <w:t>市场综述</w:t>
      </w:r>
      <w:bookmarkEnd w:id="244"/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</w:p>
    <w:p>
      <w:pPr>
        <w:pStyle w:val="12"/>
        <w:numPr>
          <w:ilvl w:val="0"/>
          <w:numId w:val="0"/>
        </w:numPr>
        <w:spacing w:before="0" w:beforeAutospacing="0" w:after="0" w:afterAutospacing="0" w:line="400" w:lineRule="exact"/>
        <w:ind w:left="601" w:leftChars="0"/>
        <w:outlineLvl w:val="1"/>
        <w:rPr>
          <w:rFonts w:ascii="黑体" w:hAnsi="黑体" w:eastAsia="黑体" w:cs="Times New Roman"/>
          <w:sz w:val="30"/>
          <w:szCs w:val="30"/>
        </w:rPr>
      </w:pP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55" w:name="_Toc9597667"/>
      <w:bookmarkStart w:id="256" w:name="_Toc10202316"/>
      <w:bookmarkStart w:id="257" w:name="_Toc9583960"/>
      <w:bookmarkStart w:id="258" w:name="_Toc8991661"/>
      <w:bookmarkStart w:id="259" w:name="_Toc12609911"/>
      <w:bookmarkStart w:id="260" w:name="_Toc4596899"/>
      <w:bookmarkStart w:id="261" w:name="_Toc4654036"/>
      <w:bookmarkStart w:id="262" w:name="_Toc13217639"/>
      <w:bookmarkStart w:id="263" w:name="_Toc8313141"/>
      <w:bookmarkStart w:id="264" w:name="_Toc8378823"/>
      <w:bookmarkStart w:id="265" w:name="_Toc4767071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中国液碱市场整体成交大稳小动，本月山西地区氧化铝用碱长单价格上调300元/吨(折百)，执行送到终端价格在2550元/吨(折百)。河南地区本月长单价格上调380元/吨(折百)，执行送到三门峡价格在2910元/吨(折百);广西地区长单价格上调250元/吨(折百)，送到终端价格在3000元/吨(折百);贵州地区长单价格上调240元/吨(折百)，执行送到终端价格在3000元/吨(折百)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本周华东地区液碱市场持稳运行为主，上游氯碱企业因国庆期间开工水平不一，节后库存水平有差异，本周碱厂多积极消化库存为主，上下游均逐步恢复当中。后期浙江及江苏地区均有氯碱装置有检修安排，后期成交重心有稳中上行的可能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山东地区本周持稳运行为主，上游氯碱企业积极消化节日库存，节后市场成交淡稳为主，其中鲁西南地区出货情况尚可，耗碱下游开始逐步恢复，市场需求开始有回温迹象，上游亦有企业后期有检修安排，市场不乏有转好可能。河北地区周初阶段部分地区成交重心小幅下行，主要因节日期间上游库存水平多有升温，节后下游行业恢复缓慢，碱厂下调价格促进走货。沧州大化检修发布后，沧州地区烧碱供应出现缺口，出货价格开始上调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中湖北地区液碱市场出货较为顺畅，主要因节日期间液氯运输困难，氯碱装置开工负荷不高，节后氯碱负荷逐步提升，但整体开工水平依旧不高，下游开工也同步恢复中，湖北地区烧碱供应仍然吃紧。湖南地区氯碱整体开工负荷稳定，供应正常，节后下游需求暂显一般，主要以省内走货为主，外围广东节后接货情绪疲软。华中河南地区长单价格上调后，下游铝厂提货积极性一般，以消耗前期原料库存为主，其他散户用碱行业恢复缓慢，上游氯碱企业库存水平稍有升温，但省内有部分氯碱装置有检修安排，局部地区出货较好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华南地区节前广东地区液碱拉涨速度极快，但随着外围液碱的流入补充增多，加之下游需求跟进迟缓，液碱价格开始出现小幅滑坡，现海碱贸易商多观望为主，场内交投谨慎。广西地区受十一期间危化品限行影响，个别厂家降负荷运行，已处于稳步提升中，下游补库现象渐显，区域内液碱库存不高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西南四川地区外围烧碱市场交投氛围尚好，10月西南氧化铝行业用碱长单价格又大幅上调，且国庆节后川内下游耗碱企业采购积极，碱厂库存水平走低，本周液碱厂家陆续上调报价。重庆地区区域内氯碱整体负荷不高，库存处于合理水平，本地下游行业整体开工平稳，因前期省内及周边地区液碱库存低位，走货顺畅，10月长单价格上调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跟踪数据，10月11日中国32%离子膜液碱市场价格指数862，较9月30日数据相比↑0.64%;10月11日中国50%离子膜液碱市场平均出厂价格在1444元/吨，较9月30日数据相比↑1.53%。</w:t>
      </w: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rFonts w:hint="eastAsia"/>
          <w:b/>
          <w:bCs/>
          <w:sz w:val="30"/>
          <w:szCs w:val="30"/>
        </w:rPr>
      </w:pPr>
    </w:p>
    <w:p>
      <w:pPr>
        <w:pStyle w:val="12"/>
        <w:spacing w:before="0" w:beforeAutospacing="0" w:after="0" w:afterAutospacing="0" w:line="400" w:lineRule="exact"/>
        <w:ind w:firstLine="602" w:firstLineChars="200"/>
        <w:outlineLvl w:val="1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eastAsia"/>
          <w:b/>
          <w:bCs/>
          <w:sz w:val="30"/>
          <w:szCs w:val="30"/>
        </w:rPr>
        <w:t>二、价格方面</w:t>
      </w:r>
      <w:bookmarkEnd w:id="255"/>
      <w:bookmarkEnd w:id="256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Start w:id="266" w:name="_Toc4767072"/>
      <w:bookmarkStart w:id="267" w:name="_Toc4596900"/>
      <w:bookmarkStart w:id="268" w:name="_Toc4654037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截止10月11日各地区液碱价格(文中价格为现汇，承兑低浓度水碱加15元/吨，高浓度碱加30元/吨)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32%离子膜液碱主流出厂价格：山东供给氧化铝行业现汇出厂价格执行750元/吨，供其他客户主流出厂价格830-910元/吨;河北800-920元/吨;天津2550-2700元/吨(折百);浙江送到萧绍经销商1080-1120元/吨;江苏950-970元/吨;安徽910-960元/吨;江西地区1030-1050元/吨;福建省内送到1000-1050元/吨;广西930-980元/吨;湖北950-1000元/吨;河南2600-2700元/吨(折百);内蒙古2100-2200元/吨(折百);辽宁960-980元/吨;四川2850-3000元/吨(折百)。</w:t>
      </w:r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高浓碱主流出厂价格：山东48%离子膜液碱出厂1340-1350元/吨，50%离子膜液碱出厂1410-1480元/吨。天津49%离子膜碱出厂价格2750-2850元/吨(折百)，福建50%离子膜液碱省内送到1650-1730元/吨左右;广西50%离子膜液碱出厂价格1450-1500元/吨;内蒙古48-50%离子膜液碱出厂价格2200-2300元/吨(折百);江苏地区48%离子膜液碱出厂价格1400-1450元/吨。辽宁地区45-50%离子膜液碱出厂报价在1500-1600元/吨;四川地区50%离子膜液碱主流出厂价格2950-3200元/吨(折百)。</w:t>
      </w:r>
    </w:p>
    <w:p>
      <w:pPr>
        <w:widowControl/>
        <w:ind w:firstLine="602" w:firstLineChars="200"/>
        <w:jc w:val="left"/>
        <w:outlineLvl w:val="2"/>
        <w:rPr>
          <w:rFonts w:ascii="仿宋" w:hAnsi="仿宋" w:eastAsia="仿宋" w:cs="仿宋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30"/>
          <w:szCs w:val="30"/>
        </w:rPr>
        <w:t>三、后市预测</w:t>
      </w:r>
      <w:bookmarkEnd w:id="266"/>
      <w:bookmarkEnd w:id="267"/>
      <w:bookmarkEnd w:id="268"/>
      <w:bookmarkStart w:id="269" w:name="_Toc4654038"/>
      <w:bookmarkStart w:id="270" w:name="_Toc4596901"/>
    </w:p>
    <w:p>
      <w:pPr>
        <w:pStyle w:val="12"/>
        <w:keepNext w:val="0"/>
        <w:keepLines w:val="0"/>
        <w:widowControl/>
        <w:suppressLineNumbers w:val="0"/>
        <w:ind w:firstLine="560" w:firstLineChars="200"/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</w:pPr>
      <w:bookmarkStart w:id="271" w:name="_Toc8991662"/>
      <w:bookmarkStart w:id="272" w:name="_Toc8378824"/>
      <w:bookmarkStart w:id="273" w:name="_Toc9597668"/>
      <w:bookmarkStart w:id="274" w:name="_Toc4767073"/>
      <w:bookmarkStart w:id="275" w:name="_Toc8313142"/>
      <w:bookmarkStart w:id="276" w:name="_Toc10202317"/>
      <w:bookmarkStart w:id="277" w:name="_Toc9583961"/>
      <w:bookmarkStart w:id="278" w:name="_Toc12609912"/>
      <w:bookmarkStart w:id="279" w:name="_Toc13217640"/>
      <w:r>
        <w:rPr>
          <w:rFonts w:hint="default" w:ascii="仿宋" w:hAnsi="仿宋" w:eastAsia="仿宋" w:cs="仿宋"/>
          <w:kern w:val="2"/>
          <w:sz w:val="28"/>
          <w:szCs w:val="28"/>
          <w:lang w:val="en-US" w:eastAsia="zh-CN" w:bidi="ar-SA"/>
        </w:rPr>
        <w:t>下周即将迎来十一国庆假期，节日期间危化品运输管控严格，多地区液氯出货受阻，部分氯碱企业因此减负荷运行，烧碱供应整体减量为主。预计液碱市场多以高位盘整运行为主。</w:t>
      </w:r>
    </w:p>
    <w:p>
      <w:pPr>
        <w:widowControl/>
        <w:ind w:firstLine="602" w:firstLineChars="200"/>
        <w:jc w:val="left"/>
        <w:outlineLvl w:val="2"/>
        <w:rPr>
          <w:rStyle w:val="24"/>
          <w:rFonts w:hint="eastAsia"/>
          <w:b/>
          <w:bCs/>
          <w:sz w:val="30"/>
          <w:szCs w:val="30"/>
        </w:rPr>
      </w:pPr>
      <w:r>
        <w:rPr>
          <w:rStyle w:val="24"/>
          <w:rFonts w:hint="eastAsia"/>
          <w:b/>
          <w:bCs/>
          <w:sz w:val="30"/>
          <w:szCs w:val="30"/>
        </w:rPr>
        <w:t>本周国内片碱实际成交周汇总</w:t>
      </w:r>
      <w:bookmarkEnd w:id="240"/>
      <w:bookmarkEnd w:id="241"/>
      <w:bookmarkEnd w:id="242"/>
      <w:bookmarkEnd w:id="243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77"/>
      <w:bookmarkEnd w:id="278"/>
      <w:bookmarkEnd w:id="279"/>
    </w:p>
    <w:p>
      <w:pPr>
        <w:snapToGrid w:val="0"/>
        <w:spacing w:line="400" w:lineRule="exact"/>
        <w:ind w:right="-149" w:rightChars="-71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单位：元</w:t>
      </w:r>
      <w:r>
        <w:rPr>
          <w:rFonts w:ascii="仿宋" w:hAnsi="仿宋" w:eastAsia="仿宋" w:cs="仿宋"/>
          <w:sz w:val="28"/>
          <w:szCs w:val="28"/>
        </w:rPr>
        <w:t>/</w:t>
      </w:r>
      <w:r>
        <w:rPr>
          <w:rFonts w:hint="eastAsia" w:ascii="仿宋" w:hAnsi="仿宋" w:eastAsia="仿宋" w:cs="仿宋"/>
          <w:sz w:val="28"/>
          <w:szCs w:val="28"/>
        </w:rPr>
        <w:t>吨</w:t>
      </w:r>
    </w:p>
    <w:tbl>
      <w:tblPr>
        <w:tblStyle w:val="13"/>
        <w:tblpPr w:leftFromText="180" w:rightFromText="180" w:vertAnchor="text" w:horzAnchor="page" w:tblpX="2166" w:tblpY="434"/>
        <w:tblOverlap w:val="never"/>
        <w:tblW w:w="788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0"/>
        <w:gridCol w:w="2180"/>
        <w:gridCol w:w="1003"/>
        <w:gridCol w:w="1629"/>
        <w:gridCol w:w="1629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144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日期</w:t>
            </w:r>
          </w:p>
        </w:tc>
        <w:tc>
          <w:tcPr>
            <w:tcW w:w="2180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4261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000000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96%片碱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144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18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03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000000" w:fill="8DB4E3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2500</w:t>
            </w:r>
          </w:p>
        </w:tc>
        <w:tc>
          <w:tcPr>
            <w:tcW w:w="162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</w:rPr>
            </w:pPr>
            <w:r>
              <w:rPr>
                <w:rFonts w:hint="eastAsia" w:ascii="宋体" w:hAnsi="宋体" w:cs="宋体"/>
                <w:kern w:val="0"/>
              </w:rPr>
              <w:t>主流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tabs>
                <w:tab w:val="center" w:pos="766"/>
                <w:tab w:val="right" w:pos="1413"/>
              </w:tabs>
              <w:ind w:firstLine="540" w:firstLineChars="300"/>
              <w:jc w:val="left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700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淄博环拓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山东永嘉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淄博青临鸿金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山东苗栗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淄博鲁威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2950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实得工贸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淄博丰通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天津红三环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3150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天津兴凯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天津云海碳素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3100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天津鹏坤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唐山汇成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2650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沧州市荣庆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2500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内蒙乌海欣业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</w:t>
            </w: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14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2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内蒙古中盐吉兰泰</w:t>
            </w:r>
          </w:p>
        </w:tc>
        <w:tc>
          <w:tcPr>
            <w:tcW w:w="100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</w:rPr>
              <w:t>出厂价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2800</w:t>
            </w:r>
          </w:p>
        </w:tc>
        <w:tc>
          <w:tcPr>
            <w:tcW w:w="162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 w:val="18"/>
                <w:szCs w:val="18"/>
                <w:lang w:val="en-US" w:eastAsia="zh-CN"/>
              </w:rPr>
              <w:t>2800</w:t>
            </w:r>
          </w:p>
        </w:tc>
      </w:tr>
    </w:tbl>
    <w:p>
      <w:pPr>
        <w:snapToGrid w:val="0"/>
        <w:spacing w:line="400" w:lineRule="exact"/>
        <w:ind w:right="-149" w:rightChars="-71"/>
        <w:jc w:val="both"/>
        <w:rPr>
          <w:rFonts w:ascii="仿宋" w:hAnsi="仿宋" w:eastAsia="仿宋" w:cs="Times New Roman"/>
          <w:sz w:val="28"/>
          <w:szCs w:val="28"/>
        </w:rPr>
      </w:pPr>
      <w:bookmarkStart w:id="480" w:name="_GoBack"/>
      <w:bookmarkEnd w:id="480"/>
    </w:p>
    <w:p>
      <w:pPr>
        <w:rPr>
          <w:rFonts w:hint="eastAsia" w:cs="黑体"/>
        </w:rPr>
      </w:pPr>
      <w:bookmarkStart w:id="280" w:name="_Toc252539758"/>
      <w:bookmarkStart w:id="281" w:name="_Toc392240282"/>
      <w:bookmarkStart w:id="282" w:name="_Toc300238851"/>
      <w:bookmarkStart w:id="283" w:name="_Toc250731929"/>
      <w:bookmarkStart w:id="284" w:name="_Toc485981325"/>
      <w:bookmarkStart w:id="285" w:name="_Toc528329959"/>
      <w:bookmarkStart w:id="286" w:name="_Toc530750142"/>
      <w:bookmarkStart w:id="287" w:name="_Toc9597669"/>
      <w:bookmarkStart w:id="288" w:name="_Toc531954275"/>
      <w:bookmarkStart w:id="289" w:name="_Toc530128352"/>
      <w:bookmarkStart w:id="290" w:name="_Toc12609913"/>
      <w:bookmarkStart w:id="291" w:name="_Toc532564040"/>
      <w:bookmarkStart w:id="292" w:name="_Toc10202318"/>
      <w:bookmarkStart w:id="293" w:name="_Toc13217641"/>
      <w:bookmarkStart w:id="294" w:name="_Toc4139109"/>
      <w:bookmarkStart w:id="295" w:name="_Toc528919989"/>
      <w:bookmarkStart w:id="296" w:name="_Toc4596902"/>
      <w:bookmarkStart w:id="297" w:name="_Toc529526328"/>
      <w:bookmarkStart w:id="298" w:name="_Toc532564066"/>
      <w:bookmarkStart w:id="299" w:name="_Toc520465079"/>
      <w:bookmarkStart w:id="300" w:name="_Toc528930996"/>
      <w:bookmarkStart w:id="301" w:name="_Toc517425041"/>
      <w:bookmarkStart w:id="302" w:name="_Toc518032002"/>
      <w:bookmarkStart w:id="303" w:name="_Toc516234894"/>
      <w:bookmarkStart w:id="304" w:name="_Toc511390008"/>
      <w:bookmarkStart w:id="305" w:name="_Toc521057604"/>
      <w:bookmarkStart w:id="306" w:name="_Toc233795930"/>
      <w:bookmarkStart w:id="307" w:name="_Toc295403452"/>
      <w:bookmarkStart w:id="308" w:name="_Toc522870748"/>
      <w:bookmarkStart w:id="309" w:name="_Toc516234900"/>
      <w:bookmarkStart w:id="310" w:name="_Toc522280057"/>
      <w:bookmarkStart w:id="311" w:name="_Toc516839087"/>
      <w:bookmarkStart w:id="312" w:name="_Toc522259767"/>
      <w:bookmarkStart w:id="313" w:name="_Toc525306477"/>
      <w:bookmarkStart w:id="314" w:name="_Toc519848560"/>
      <w:bookmarkStart w:id="315" w:name="_Toc522870772"/>
      <w:bookmarkStart w:id="316" w:name="_Toc521660550"/>
      <w:bookmarkStart w:id="317" w:name="_Toc522870754"/>
      <w:bookmarkStart w:id="318" w:name="_Toc513127193"/>
      <w:bookmarkStart w:id="319" w:name="_Toc518638262"/>
      <w:bookmarkStart w:id="320" w:name="_Toc515610376"/>
      <w:bookmarkStart w:id="321" w:name="_Toc524091684"/>
      <w:bookmarkStart w:id="322" w:name="_Toc522870763"/>
      <w:bookmarkStart w:id="323" w:name="_Toc527101793"/>
      <w:bookmarkStart w:id="324" w:name="_Toc525912529"/>
      <w:bookmarkStart w:id="325" w:name="_Toc527705003"/>
      <w:bookmarkStart w:id="326" w:name="_Toc525306466"/>
      <w:bookmarkStart w:id="327" w:name="_Toc525289549"/>
      <w:bookmarkStart w:id="328" w:name="_Toc524701467"/>
      <w:bookmarkStart w:id="329" w:name="_Toc532564263"/>
      <w:bookmarkStart w:id="330" w:name="_Toc534378403"/>
      <w:bookmarkStart w:id="331" w:name="_Toc534915168"/>
      <w:bookmarkStart w:id="332" w:name="_Toc535588711"/>
      <w:bookmarkStart w:id="333" w:name="_Toc1739297"/>
      <w:bookmarkStart w:id="334" w:name="_Toc533149333"/>
      <w:bookmarkStart w:id="335" w:name="_Toc1394103"/>
      <w:bookmarkStart w:id="336" w:name="_Toc1139288"/>
      <w:bookmarkStart w:id="337" w:name="_Toc1035933"/>
      <w:bookmarkStart w:id="338" w:name="_Toc536789788"/>
      <w:bookmarkStart w:id="339" w:name="_Toc536541140"/>
      <w:bookmarkStart w:id="340" w:name="_Toc536540310"/>
      <w:bookmarkStart w:id="341" w:name="_Toc536198170"/>
      <w:bookmarkStart w:id="342" w:name="_Toc8991663"/>
      <w:bookmarkStart w:id="343" w:name="_Toc9583962"/>
      <w:bookmarkStart w:id="344" w:name="_Toc8378825"/>
      <w:bookmarkStart w:id="345" w:name="_Toc8313143"/>
      <w:bookmarkStart w:id="346" w:name="_Toc4654039"/>
      <w:bookmarkStart w:id="347" w:name="_Toc4767074"/>
    </w:p>
    <w:p>
      <w:pPr>
        <w:pStyle w:val="2"/>
        <w:spacing w:line="400" w:lineRule="exact"/>
        <w:jc w:val="center"/>
        <w:rPr>
          <w:rFonts w:cs="黑体"/>
        </w:rPr>
      </w:pPr>
      <w:r>
        <w:rPr>
          <w:rFonts w:hint="eastAsia" w:cs="黑体"/>
        </w:rPr>
        <w:t>液氯</w:t>
      </w:r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bookmarkEnd w:id="288"/>
      <w:bookmarkEnd w:id="289"/>
      <w:bookmarkEnd w:id="290"/>
      <w:bookmarkEnd w:id="291"/>
      <w:bookmarkEnd w:id="292"/>
      <w:bookmarkEnd w:id="293"/>
      <w:bookmarkEnd w:id="294"/>
      <w:bookmarkEnd w:id="295"/>
      <w:bookmarkEnd w:id="296"/>
      <w:bookmarkEnd w:id="297"/>
      <w:bookmarkEnd w:id="298"/>
      <w:bookmarkEnd w:id="299"/>
      <w:bookmarkEnd w:id="300"/>
      <w:bookmarkEnd w:id="301"/>
      <w:bookmarkEnd w:id="302"/>
      <w:bookmarkEnd w:id="303"/>
      <w:bookmarkEnd w:id="304"/>
      <w:bookmarkEnd w:id="305"/>
      <w:bookmarkEnd w:id="306"/>
      <w:bookmarkEnd w:id="307"/>
      <w:bookmarkEnd w:id="308"/>
      <w:bookmarkEnd w:id="309"/>
      <w:bookmarkEnd w:id="310"/>
      <w:bookmarkEnd w:id="311"/>
      <w:bookmarkEnd w:id="312"/>
      <w:bookmarkEnd w:id="313"/>
      <w:bookmarkEnd w:id="314"/>
      <w:bookmarkEnd w:id="315"/>
      <w:bookmarkEnd w:id="316"/>
      <w:bookmarkEnd w:id="317"/>
      <w:bookmarkEnd w:id="318"/>
      <w:bookmarkEnd w:id="319"/>
      <w:bookmarkEnd w:id="320"/>
      <w:bookmarkEnd w:id="321"/>
      <w:bookmarkEnd w:id="322"/>
      <w:bookmarkEnd w:id="323"/>
      <w:bookmarkEnd w:id="324"/>
      <w:bookmarkEnd w:id="325"/>
      <w:bookmarkEnd w:id="326"/>
      <w:bookmarkEnd w:id="327"/>
      <w:bookmarkEnd w:id="328"/>
      <w:bookmarkEnd w:id="329"/>
      <w:bookmarkEnd w:id="330"/>
      <w:bookmarkEnd w:id="331"/>
      <w:bookmarkEnd w:id="332"/>
      <w:bookmarkEnd w:id="333"/>
      <w:bookmarkEnd w:id="334"/>
      <w:bookmarkEnd w:id="335"/>
      <w:bookmarkEnd w:id="336"/>
      <w:bookmarkEnd w:id="337"/>
      <w:bookmarkEnd w:id="338"/>
      <w:bookmarkEnd w:id="339"/>
      <w:bookmarkEnd w:id="340"/>
      <w:bookmarkEnd w:id="341"/>
      <w:bookmarkEnd w:id="342"/>
      <w:bookmarkEnd w:id="343"/>
      <w:bookmarkEnd w:id="344"/>
      <w:bookmarkEnd w:id="345"/>
      <w:bookmarkEnd w:id="346"/>
      <w:bookmarkEnd w:id="347"/>
      <w:bookmarkStart w:id="348" w:name="_Toc233795931"/>
      <w:bookmarkEnd w:id="348"/>
      <w:bookmarkStart w:id="349" w:name="_Toc295403453"/>
      <w:bookmarkStart w:id="350" w:name="_Toc252539759"/>
      <w:bookmarkStart w:id="351" w:name="_Toc392240283"/>
      <w:bookmarkStart w:id="352" w:name="_Toc485981326"/>
      <w:bookmarkStart w:id="353" w:name="_Toc300238852"/>
      <w:bookmarkStart w:id="354" w:name="_Toc185611021"/>
      <w:bookmarkStart w:id="355" w:name="_Toc25073193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356" w:name="_Toc528919990"/>
      <w:bookmarkStart w:id="357" w:name="_Toc529526329"/>
      <w:bookmarkStart w:id="358" w:name="_Toc528930997"/>
      <w:bookmarkStart w:id="359" w:name="_Toc528329960"/>
      <w:bookmarkStart w:id="360" w:name="_Toc527705004"/>
      <w:bookmarkStart w:id="361" w:name="_Toc527101794"/>
      <w:bookmarkStart w:id="362" w:name="_Toc525912530"/>
      <w:bookmarkStart w:id="363" w:name="_Toc525306478"/>
      <w:bookmarkStart w:id="364" w:name="_Toc525306467"/>
      <w:bookmarkStart w:id="365" w:name="_Toc524091685"/>
      <w:bookmarkStart w:id="366" w:name="_Toc524701468"/>
      <w:bookmarkStart w:id="367" w:name="_Toc525289550"/>
      <w:bookmarkStart w:id="368" w:name="_Toc522870773"/>
      <w:bookmarkStart w:id="369" w:name="_Toc522870764"/>
      <w:bookmarkStart w:id="370" w:name="_Toc522870755"/>
      <w:bookmarkStart w:id="371" w:name="_Toc522870749"/>
      <w:bookmarkStart w:id="372" w:name="_Toc522280058"/>
      <w:bookmarkStart w:id="373" w:name="_Toc522259768"/>
      <w:bookmarkStart w:id="374" w:name="_Toc521660551"/>
      <w:bookmarkStart w:id="375" w:name="_Toc519848561"/>
      <w:bookmarkStart w:id="376" w:name="_Toc521057605"/>
      <w:bookmarkStart w:id="377" w:name="_Toc530128353"/>
      <w:bookmarkStart w:id="378" w:name="_Toc534378404"/>
      <w:bookmarkStart w:id="379" w:name="_Toc518638263"/>
      <w:bookmarkStart w:id="380" w:name="_Toc520465080"/>
      <w:bookmarkStart w:id="381" w:name="_Toc518032003"/>
      <w:bookmarkStart w:id="382" w:name="_Toc517425042"/>
      <w:bookmarkStart w:id="383" w:name="_Toc516839088"/>
      <w:bookmarkStart w:id="384" w:name="_Toc516234901"/>
      <w:bookmarkStart w:id="385" w:name="_Toc516234895"/>
      <w:bookmarkStart w:id="386" w:name="_Toc515610377"/>
      <w:bookmarkStart w:id="387" w:name="_Toc1739298"/>
      <w:bookmarkStart w:id="388" w:name="_Toc513127194"/>
      <w:bookmarkStart w:id="389" w:name="_Toc511390009"/>
      <w:bookmarkStart w:id="390" w:name="_Toc1394104"/>
      <w:bookmarkStart w:id="391" w:name="_Toc1139289"/>
      <w:bookmarkStart w:id="392" w:name="_Toc1035934"/>
      <w:bookmarkStart w:id="393" w:name="_Toc536789789"/>
      <w:bookmarkStart w:id="394" w:name="_Toc536541141"/>
      <w:bookmarkStart w:id="395" w:name="_Toc536540311"/>
      <w:bookmarkStart w:id="396" w:name="_Toc536198171"/>
      <w:bookmarkStart w:id="397" w:name="_Toc534915169"/>
      <w:bookmarkStart w:id="398" w:name="_Toc535588712"/>
      <w:bookmarkStart w:id="399" w:name="_Toc533149334"/>
      <w:bookmarkStart w:id="400" w:name="_Toc532564264"/>
      <w:bookmarkStart w:id="401" w:name="_Toc532564067"/>
      <w:bookmarkStart w:id="402" w:name="_Toc532564041"/>
      <w:bookmarkStart w:id="403" w:name="_Toc531954276"/>
      <w:bookmarkStart w:id="404" w:name="_Toc530750143"/>
      <w:bookmarkStart w:id="405" w:name="_Toc4596903"/>
      <w:bookmarkStart w:id="406" w:name="_Toc4139110"/>
      <w:bookmarkStart w:id="407" w:name="_Toc4654040"/>
    </w:p>
    <w:p>
      <w:pPr>
        <w:spacing w:line="400" w:lineRule="exact"/>
        <w:ind w:firstLine="602" w:firstLineChars="200"/>
        <w:outlineLvl w:val="1"/>
        <w:rPr>
          <w:rFonts w:ascii="黑体" w:hAnsi="黑体" w:eastAsia="黑体" w:cs="黑体"/>
          <w:b/>
          <w:bCs/>
          <w:sz w:val="30"/>
          <w:szCs w:val="30"/>
        </w:rPr>
      </w:pPr>
      <w:bookmarkStart w:id="408" w:name="_Toc4767075"/>
      <w:bookmarkStart w:id="409" w:name="_Toc13217642"/>
      <w:bookmarkStart w:id="410" w:name="_Toc12609914"/>
      <w:bookmarkStart w:id="411" w:name="_Toc8991664"/>
      <w:bookmarkStart w:id="412" w:name="_Toc9597670"/>
      <w:bookmarkStart w:id="413" w:name="_Toc9583963"/>
      <w:bookmarkStart w:id="414" w:name="_Toc8313144"/>
      <w:bookmarkStart w:id="415" w:name="_Toc10202319"/>
      <w:bookmarkStart w:id="416" w:name="_Toc8378826"/>
      <w:r>
        <w:rPr>
          <w:rFonts w:hint="eastAsia" w:ascii="黑体" w:hAnsi="黑体" w:eastAsia="黑体" w:cs="黑体"/>
          <w:b/>
          <w:bCs/>
          <w:sz w:val="30"/>
          <w:szCs w:val="30"/>
        </w:rPr>
        <w:t>评述：本周国内液氯市场评述及行情预测</w:t>
      </w:r>
      <w:bookmarkEnd w:id="349"/>
      <w:bookmarkEnd w:id="350"/>
      <w:bookmarkEnd w:id="351"/>
      <w:bookmarkEnd w:id="352"/>
      <w:bookmarkEnd w:id="353"/>
      <w:bookmarkEnd w:id="354"/>
      <w:bookmarkEnd w:id="355"/>
      <w:bookmarkEnd w:id="356"/>
      <w:bookmarkEnd w:id="357"/>
      <w:bookmarkEnd w:id="358"/>
      <w:bookmarkEnd w:id="359"/>
      <w:bookmarkEnd w:id="360"/>
      <w:bookmarkEnd w:id="361"/>
      <w:bookmarkEnd w:id="362"/>
      <w:bookmarkEnd w:id="363"/>
      <w:bookmarkEnd w:id="364"/>
      <w:bookmarkEnd w:id="365"/>
      <w:bookmarkEnd w:id="366"/>
      <w:bookmarkEnd w:id="367"/>
      <w:bookmarkEnd w:id="368"/>
      <w:bookmarkEnd w:id="369"/>
      <w:bookmarkEnd w:id="370"/>
      <w:bookmarkEnd w:id="371"/>
      <w:bookmarkEnd w:id="372"/>
      <w:bookmarkEnd w:id="373"/>
      <w:bookmarkEnd w:id="374"/>
      <w:bookmarkEnd w:id="375"/>
      <w:bookmarkEnd w:id="376"/>
      <w:bookmarkEnd w:id="377"/>
      <w:bookmarkEnd w:id="378"/>
      <w:bookmarkEnd w:id="379"/>
      <w:bookmarkEnd w:id="380"/>
      <w:bookmarkEnd w:id="381"/>
      <w:bookmarkEnd w:id="382"/>
      <w:bookmarkEnd w:id="383"/>
      <w:bookmarkEnd w:id="384"/>
      <w:bookmarkEnd w:id="385"/>
      <w:bookmarkEnd w:id="386"/>
      <w:bookmarkEnd w:id="387"/>
      <w:bookmarkEnd w:id="388"/>
      <w:bookmarkEnd w:id="389"/>
      <w:bookmarkEnd w:id="390"/>
      <w:bookmarkEnd w:id="391"/>
      <w:bookmarkEnd w:id="392"/>
      <w:bookmarkEnd w:id="393"/>
      <w:bookmarkEnd w:id="394"/>
      <w:bookmarkEnd w:id="395"/>
      <w:bookmarkEnd w:id="396"/>
      <w:bookmarkEnd w:id="397"/>
      <w:bookmarkEnd w:id="398"/>
      <w:bookmarkEnd w:id="399"/>
      <w:bookmarkEnd w:id="400"/>
      <w:bookmarkEnd w:id="401"/>
      <w:bookmarkEnd w:id="402"/>
      <w:bookmarkEnd w:id="403"/>
      <w:bookmarkEnd w:id="404"/>
      <w:bookmarkEnd w:id="405"/>
      <w:bookmarkEnd w:id="406"/>
      <w:bookmarkEnd w:id="407"/>
      <w:bookmarkEnd w:id="408"/>
      <w:bookmarkEnd w:id="409"/>
      <w:bookmarkEnd w:id="410"/>
      <w:bookmarkEnd w:id="411"/>
      <w:bookmarkEnd w:id="412"/>
      <w:bookmarkEnd w:id="413"/>
      <w:bookmarkEnd w:id="414"/>
      <w:bookmarkEnd w:id="415"/>
      <w:bookmarkEnd w:id="416"/>
      <w:bookmarkStart w:id="417" w:name="_Toc252539760"/>
      <w:bookmarkStart w:id="418" w:name="_Toc250731931"/>
    </w:p>
    <w:p>
      <w:pPr>
        <w:pStyle w:val="12"/>
        <w:spacing w:before="0" w:beforeAutospacing="0" w:after="0" w:afterAutospacing="0" w:line="400" w:lineRule="exact"/>
        <w:outlineLvl w:val="1"/>
        <w:rPr>
          <w:rFonts w:hint="eastAsia" w:ascii="黑体" w:hAnsi="黑体" w:eastAsia="黑体" w:cs="黑体"/>
          <w:sz w:val="30"/>
          <w:szCs w:val="30"/>
        </w:rPr>
      </w:pPr>
      <w:bookmarkStart w:id="419" w:name="_Toc9597671"/>
      <w:bookmarkStart w:id="420" w:name="_Toc10202320"/>
      <w:bookmarkStart w:id="421" w:name="_Toc13217643"/>
      <w:bookmarkStart w:id="422" w:name="_Toc12609915"/>
      <w:bookmarkStart w:id="423" w:name="_Toc8378827"/>
      <w:bookmarkStart w:id="424" w:name="_Toc9583964"/>
      <w:bookmarkStart w:id="425" w:name="_Toc8313145"/>
      <w:bookmarkStart w:id="426" w:name="_Toc4767076"/>
      <w:bookmarkStart w:id="427" w:name="_Toc8991665"/>
      <w:bookmarkStart w:id="428" w:name="_Toc4654041"/>
      <w:bookmarkStart w:id="429" w:name="_Toc4596904"/>
    </w:p>
    <w:p>
      <w:pPr>
        <w:pStyle w:val="12"/>
        <w:numPr>
          <w:ilvl w:val="0"/>
          <w:numId w:val="3"/>
        </w:numPr>
        <w:spacing w:before="0" w:beforeAutospacing="0" w:after="0" w:afterAutospacing="0" w:line="400" w:lineRule="exact"/>
        <w:ind w:firstLine="600" w:firstLineChars="200"/>
        <w:outlineLvl w:val="1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中国液氯市场行情综述</w:t>
      </w:r>
      <w:bookmarkEnd w:id="419"/>
      <w:bookmarkEnd w:id="420"/>
      <w:bookmarkEnd w:id="421"/>
      <w:bookmarkEnd w:id="422"/>
      <w:bookmarkEnd w:id="423"/>
      <w:bookmarkEnd w:id="424"/>
      <w:bookmarkEnd w:id="425"/>
      <w:bookmarkEnd w:id="426"/>
      <w:bookmarkEnd w:id="427"/>
      <w:bookmarkEnd w:id="428"/>
      <w:bookmarkEnd w:id="429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30" w:name="_Toc12609916"/>
      <w:bookmarkStart w:id="431" w:name="_Toc10202321"/>
      <w:bookmarkStart w:id="432" w:name="_Toc13217644"/>
      <w:bookmarkStart w:id="433" w:name="_Toc9583965"/>
      <w:bookmarkStart w:id="434" w:name="_Toc9597672"/>
      <w:bookmarkStart w:id="435" w:name="_Toc8991666"/>
      <w:bookmarkStart w:id="436" w:name="_Toc8378828"/>
      <w:bookmarkStart w:id="437" w:name="_Toc4767077"/>
      <w:bookmarkStart w:id="438" w:name="_Toc8313146"/>
      <w:bookmarkStart w:id="439" w:name="_Toc4654042"/>
      <w:bookmarkStart w:id="440" w:name="_Toc4596905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本周国庆期间液氯运输限制较多，节后下游需求逐渐恢复。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国庆期间北方多地对液氯运输限制颇多，一些地区要求国五的运输车，一些地区耗氯企业因大气污染治理问题停车，市场需求一时之间极度萎缩。河北、山东地区节前液氯价格下跌至1-300元/吨均有，各家企业根据自身的库存、周边下游分布情况制定出货价格。10月5号之后随着运输方面的放开，以及聊城大厂在国庆期间减产30万吨氯碱、滨州环丙大户收货增加的双重利好推动之下，价格每日反弹100-150元/吨不等。但节后一些环丙、甲烷氯化物企业纷纷宣布检修计划，市场一时之间陷入了下跌情绪，局部需求仍未能全面恢复，碱厂开工提升，液氯出货承压。山西地区主要液氯出货大厂暂未恢复生产，节后企业出货尚可，价格平稳;辽宁地区因当地四氯化钛企业停车影响，补贴运费出货促进成交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东地区江苏、安徽、浙江受到运输限制影响明显，节后碱厂液氯库存高位，碱厂多以降库存为首要任务，槽车出货价格下跌明显。江西地区国庆期间因星火有机硅、江西理文检修，液氯供应不多。江苏地区下周碱厂有检修安排：金桥丰益10.14-10.24全停检修，安邦14号开始检修7天，预计本周消化库存为主，下周预计情况有好转。安徽皖北地区节后随着下游复工，价格适度开始反弹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华中各地区出货不温不火，河南地区节后下游复工情绪一般，豫北虽有检修但出货情况仍无改善，豫南地区节后下游复工尚可，价格有所提振。湖北地区国庆期间禁行危化品，有液氯外销的企业减产或停车，节后报价稍降50元/吨左右。湖南地区当地管输情况正常，外销货源不多。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西北内蒙地区因山西、宁夏地区碱厂有检修安排，节后出货顺畅，部分厂家出货价格上调，西南地区节后走货压力较大，当地需求有限。</w:t>
      </w:r>
    </w:p>
    <w:p>
      <w:pPr>
        <w:widowControl/>
        <w:ind w:firstLine="600" w:firstLineChars="200"/>
        <w:jc w:val="left"/>
        <w:outlineLvl w:val="1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二、市场价格</w:t>
      </w:r>
      <w:bookmarkEnd w:id="430"/>
      <w:bookmarkEnd w:id="431"/>
      <w:bookmarkEnd w:id="432"/>
      <w:bookmarkEnd w:id="433"/>
      <w:bookmarkEnd w:id="434"/>
      <w:bookmarkEnd w:id="435"/>
      <w:bookmarkEnd w:id="436"/>
      <w:bookmarkEnd w:id="437"/>
      <w:bookmarkEnd w:id="438"/>
      <w:bookmarkEnd w:id="439"/>
      <w:bookmarkEnd w:id="440"/>
      <w:bookmarkStart w:id="441" w:name="_Toc12609917"/>
      <w:bookmarkStart w:id="442" w:name="_Toc13217645"/>
      <w:bookmarkStart w:id="443" w:name="_Toc9597673"/>
      <w:bookmarkStart w:id="444" w:name="_Toc10202322"/>
      <w:bookmarkStart w:id="445" w:name="_Toc9583966"/>
      <w:bookmarkStart w:id="446" w:name="_Toc8991667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截止到10月11日发稿，各地区液氯槽车主流出厂价格：</w:t>
      </w:r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500-650元/吨，河北省内主流槽车执行500-650元/吨;河南省槽车主流出货价格在300-400元/吨均有，钢瓶槽车同价;山西地区槽车出货主流在200-500元/吨;浙江地区本月槽车暂未出价格;江苏地区槽车出厂价格在100-200元/吨，个别低端亦有;江西地区槽车500-550元/吨;安徽地区槽车出厂价格100-400元/吨;内蒙液氯槽车200-350元/吨;湖北地区槽车出厂价格在400-450元/吨;江西地区本周槽车价格执行500-550元/吨，湖南当地少量槽车价格偏高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bookmarkStart w:id="447" w:name="_Toc8313147"/>
      <w:bookmarkStart w:id="448" w:name="_Toc8378829"/>
      <w:bookmarkStart w:id="449" w:name="_Toc4767078"/>
      <w:bookmarkStart w:id="450" w:name="_Toc4654043"/>
      <w:bookmarkStart w:id="451" w:name="_Toc4596906"/>
      <w:r>
        <w:rPr>
          <w:rFonts w:hint="eastAsia" w:ascii="黑体" w:hAnsi="黑体" w:eastAsia="黑体" w:cs="黑体"/>
          <w:sz w:val="30"/>
          <w:szCs w:val="30"/>
        </w:rPr>
        <w:t>山东市场分析</w:t>
      </w:r>
      <w:bookmarkEnd w:id="441"/>
      <w:bookmarkEnd w:id="442"/>
      <w:bookmarkEnd w:id="443"/>
      <w:bookmarkEnd w:id="444"/>
      <w:bookmarkEnd w:id="445"/>
      <w:bookmarkEnd w:id="446"/>
      <w:bookmarkEnd w:id="447"/>
      <w:bookmarkEnd w:id="448"/>
      <w:bookmarkEnd w:id="449"/>
      <w:bookmarkEnd w:id="450"/>
      <w:bookmarkEnd w:id="451"/>
      <w:bookmarkStart w:id="452" w:name="OLE_LINK56"/>
    </w:p>
    <w:bookmarkEnd w:id="452"/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53" w:name="_Toc9583967"/>
      <w:bookmarkStart w:id="454" w:name="_Toc8991668"/>
      <w:bookmarkStart w:id="455" w:name="_Toc8378830"/>
      <w:bookmarkStart w:id="456" w:name="_Toc8313148"/>
      <w:bookmarkStart w:id="457" w:name="_Toc4767079"/>
      <w:bookmarkStart w:id="458" w:name="_Toc4654044"/>
      <w:bookmarkStart w:id="459" w:name="_Toc4596907"/>
      <w:bookmarkStart w:id="460" w:name="_Toc13217646"/>
      <w:bookmarkStart w:id="461" w:name="_Toc12609918"/>
      <w:bookmarkStart w:id="462" w:name="_Toc10202323"/>
      <w:bookmarkStart w:id="463" w:name="_Toc9597674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山东省内主流槽车500-650元/吨，河北省内主流槽车执行500-650元/吨;河南省槽车主流出货价格在300-400元/吨均有，钢瓶槽车同价;山西地区槽车出货主流在200-500元/吨;浙江地区本月槽车暂未出价格;江苏地区槽车出厂价格在100-200元/吨，个别低端亦有;江西地区槽车500-550元/吨;安徽地区槽车出厂价格100-400元/吨;内蒙液氯槽车200-350元/吨;湖北地区槽车出厂价格在400-450元/吨;江西地区本周槽车价格执行500-550元/吨，湖南当地少量槽车价格偏高，四川地区300-400元/吨，当地高价成交有限。</w:t>
      </w:r>
    </w:p>
    <w:p>
      <w:pPr>
        <w:pStyle w:val="12"/>
        <w:spacing w:before="0" w:beforeAutospacing="0" w:after="0" w:afterAutospacing="0" w:line="400" w:lineRule="exact"/>
        <w:ind w:firstLine="600" w:firstLineChars="200"/>
        <w:outlineLvl w:val="1"/>
        <w:rPr>
          <w:rFonts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四、后市分析</w:t>
      </w:r>
      <w:bookmarkEnd w:id="453"/>
      <w:bookmarkEnd w:id="454"/>
      <w:bookmarkEnd w:id="455"/>
      <w:bookmarkEnd w:id="456"/>
      <w:bookmarkEnd w:id="457"/>
      <w:bookmarkEnd w:id="458"/>
      <w:bookmarkEnd w:id="459"/>
      <w:bookmarkEnd w:id="460"/>
      <w:bookmarkEnd w:id="461"/>
      <w:bookmarkEnd w:id="462"/>
      <w:bookmarkEnd w:id="463"/>
    </w:p>
    <w:p>
      <w:pPr>
        <w:pStyle w:val="12"/>
        <w:ind w:firstLine="560" w:firstLineChars="200"/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</w:pPr>
      <w:bookmarkStart w:id="464" w:name="_Toc10202324"/>
      <w:bookmarkStart w:id="465" w:name="_Toc4596908"/>
      <w:bookmarkStart w:id="466" w:name="_Toc4654045"/>
      <w:bookmarkStart w:id="467" w:name="_Toc4767080"/>
      <w:bookmarkStart w:id="468" w:name="_Toc8313149"/>
      <w:bookmarkStart w:id="469" w:name="_Toc8991669"/>
      <w:bookmarkStart w:id="470" w:name="_Toc8378831"/>
      <w:bookmarkStart w:id="471" w:name="_Toc9597675"/>
      <w:bookmarkStart w:id="472" w:name="_Toc9583968"/>
      <w:bookmarkStart w:id="473" w:name="_Toc12609919"/>
      <w:bookmarkStart w:id="474" w:name="_Toc13217647"/>
      <w:r>
        <w:rPr>
          <w:rFonts w:hint="eastAsia" w:ascii="仿宋" w:hAnsi="仿宋" w:eastAsia="仿宋" w:cs="仿宋"/>
          <w:kern w:val="2"/>
          <w:sz w:val="28"/>
          <w:szCs w:val="28"/>
          <w:lang w:val="en-US" w:eastAsia="zh-CN"/>
        </w:rPr>
        <w:t>下周山东地区检修安排较多，但市场需求同样呈现萎缩的状态，市场存在一定的博弈情况，整体上山东地区下周槽车出货价格有一定的下行可能;华东地区局部不乏在库存消化顺利的前提下，适当提升出货价格。后市预测：下周北方地区液氯价存在先降后涨的可能，南方地区液氯出货价格小幅度提涨。全国液氯市场调整幅度在200-400元/吨之间波动。</w:t>
      </w:r>
    </w:p>
    <w:p>
      <w:pPr>
        <w:pStyle w:val="12"/>
        <w:ind w:firstLine="602" w:firstLineChars="200"/>
        <w:rPr>
          <w:b/>
          <w:bCs/>
          <w:sz w:val="30"/>
          <w:szCs w:val="30"/>
        </w:rPr>
      </w:pPr>
      <w:r>
        <w:rPr>
          <w:rFonts w:hint="eastAsia"/>
          <w:b/>
          <w:bCs/>
          <w:sz w:val="30"/>
          <w:szCs w:val="30"/>
        </w:rPr>
        <w:t>国内地区市场价格</w:t>
      </w:r>
      <w:bookmarkEnd w:id="464"/>
      <w:bookmarkEnd w:id="465"/>
      <w:bookmarkEnd w:id="466"/>
      <w:bookmarkEnd w:id="467"/>
      <w:bookmarkEnd w:id="468"/>
      <w:bookmarkEnd w:id="469"/>
      <w:bookmarkEnd w:id="470"/>
      <w:bookmarkEnd w:id="471"/>
      <w:bookmarkEnd w:id="472"/>
      <w:bookmarkEnd w:id="473"/>
      <w:bookmarkEnd w:id="474"/>
    </w:p>
    <w:bookmarkEnd w:id="417"/>
    <w:bookmarkEnd w:id="418"/>
    <w:tbl>
      <w:tblPr>
        <w:tblStyle w:val="13"/>
        <w:tblW w:w="87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744"/>
        <w:gridCol w:w="174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bookmarkStart w:id="475" w:name="_Toc233795926"/>
            <w:bookmarkEnd w:id="475"/>
          </w:p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地区</w:t>
            </w:r>
          </w:p>
        </w:tc>
        <w:tc>
          <w:tcPr>
            <w:tcW w:w="174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属性</w:t>
            </w:r>
          </w:p>
        </w:tc>
        <w:tc>
          <w:tcPr>
            <w:tcW w:w="348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液氯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低端价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99CCFF"/>
            <w:vAlign w:val="center"/>
          </w:tcPr>
          <w:p>
            <w:pPr>
              <w:widowControl/>
              <w:jc w:val="center"/>
              <w:rPr>
                <w:rFonts w:ascii="宋体" w:cs="Times New Roman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高端价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山东市场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650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华中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河南市场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华东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江苏市场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华南市场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  <w:r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东北市场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100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color w:val="000000"/>
                <w:kern w:val="0"/>
                <w:sz w:val="20"/>
                <w:szCs w:val="20"/>
                <w:lang w:val="en-US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300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" w:hRule="atLeast"/>
        </w:trPr>
        <w:tc>
          <w:tcPr>
            <w:tcW w:w="174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top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2019/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/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cs="Times New Roman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18"/>
                <w:szCs w:val="18"/>
              </w:rPr>
              <w:t>西北市场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74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00</w:t>
            </w:r>
          </w:p>
        </w:tc>
      </w:tr>
    </w:tbl>
    <w:p>
      <w:pPr>
        <w:spacing w:line="400" w:lineRule="exact"/>
        <w:rPr>
          <w:rFonts w:cs="Times New Roman"/>
        </w:rPr>
      </w:pPr>
    </w:p>
    <w:p>
      <w:pPr>
        <w:spacing w:line="400" w:lineRule="exact"/>
        <w:rPr>
          <w:rFonts w:ascii="Arial" w:hAnsi="Arial" w:cs="Arial"/>
          <w:kern w:val="0"/>
        </w:rPr>
      </w:pPr>
    </w:p>
    <w:p>
      <w:pPr>
        <w:spacing w:line="400" w:lineRule="exact"/>
        <w:ind w:firstLine="1600" w:firstLineChars="400"/>
        <w:rPr>
          <w:rFonts w:ascii="方正粗宋简体"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更多精彩敬请关注：</w:t>
      </w:r>
      <w:r>
        <w:fldChar w:fldCharType="begin"/>
      </w:r>
      <w:r>
        <w:instrText xml:space="preserve"> HYPERLINK "http://www.chinaccm.com/" </w:instrText>
      </w:r>
      <w:r>
        <w:fldChar w:fldCharType="separate"/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t>中华商务网</w:t>
      </w:r>
      <w:r>
        <w:rPr>
          <w:rStyle w:val="16"/>
          <w:rFonts w:hint="eastAsia" w:ascii="方正粗宋简体" w:eastAsia="方正粗宋简体" w:cs="方正粗宋简体"/>
          <w:spacing w:val="20"/>
          <w:sz w:val="36"/>
          <w:szCs w:val="36"/>
        </w:rPr>
        <w:fldChar w:fldCharType="end"/>
      </w:r>
    </w:p>
    <w:p>
      <w:pPr>
        <w:spacing w:line="400" w:lineRule="exact"/>
        <w:jc w:val="center"/>
        <w:rPr>
          <w:rFonts w:eastAsia="方正粗宋简体" w:cs="Times New Roman"/>
          <w:spacing w:val="20"/>
          <w:sz w:val="36"/>
          <w:szCs w:val="36"/>
        </w:rPr>
      </w:pPr>
      <w:r>
        <w:rPr>
          <w:rFonts w:hint="eastAsia" w:ascii="方正粗宋简体" w:eastAsia="方正粗宋简体" w:cs="方正粗宋简体"/>
          <w:spacing w:val="20"/>
          <w:sz w:val="36"/>
          <w:szCs w:val="36"/>
        </w:rPr>
        <w:t>返回本期目录</w:t>
      </w:r>
    </w:p>
    <w:sectPr>
      <w:headerReference r:id="rId3" w:type="default"/>
      <w:footerReference r:id="rId4" w:type="default"/>
      <w:pgSz w:w="11906" w:h="16838"/>
      <w:pgMar w:top="1418" w:right="1701" w:bottom="1418" w:left="1701" w:header="851" w:footer="992" w:gutter="0"/>
      <w:pgNumType w:start="1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粗宋简体">
    <w:altName w:val="黑体"/>
    <w:panose1 w:val="00000000000000000000"/>
    <w:charset w:val="86"/>
    <w:family w:val="script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  <w:r>
      <w:rPr>
        <w:lang w:val="zh-CN"/>
      </w:rPr>
      <w:t xml:space="preserve">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11</w:t>
    </w:r>
    <w:r>
      <w:rPr>
        <w:b/>
        <w:bCs/>
      </w:rPr>
      <w:fldChar w:fldCharType="end"/>
    </w:r>
  </w:p>
  <w:p>
    <w:pPr>
      <w:pStyle w:val="7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-1068705</wp:posOffset>
          </wp:positionH>
          <wp:positionV relativeFrom="paragraph">
            <wp:posOffset>-492760</wp:posOffset>
          </wp:positionV>
          <wp:extent cx="7553325" cy="10696575"/>
          <wp:effectExtent l="19050" t="0" r="9525" b="0"/>
          <wp:wrapNone/>
          <wp:docPr id="1" name="图片 7" descr="内页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7" descr="内页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3325" cy="1069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E59B408"/>
    <w:multiLevelType w:val="singleLevel"/>
    <w:tmpl w:val="8E59B40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AA80BF45"/>
    <w:multiLevelType w:val="singleLevel"/>
    <w:tmpl w:val="AA80BF4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7A37270"/>
    <w:multiLevelType w:val="multilevel"/>
    <w:tmpl w:val="17A37270"/>
    <w:lvl w:ilvl="0" w:tentative="0">
      <w:start w:val="1"/>
      <w:numFmt w:val="japaneseCounting"/>
      <w:lvlText w:val="%1、"/>
      <w:lvlJc w:val="left"/>
      <w:pPr>
        <w:ind w:left="1320" w:hanging="720"/>
      </w:pPr>
      <w:rPr>
        <w:rFonts w:hint="default" w:cs="黑体"/>
      </w:rPr>
    </w:lvl>
    <w:lvl w:ilvl="1" w:tentative="0">
      <w:start w:val="1"/>
      <w:numFmt w:val="lowerLetter"/>
      <w:lvlText w:val="%2)"/>
      <w:lvlJc w:val="left"/>
      <w:pPr>
        <w:ind w:left="1440" w:hanging="420"/>
      </w:pPr>
    </w:lvl>
    <w:lvl w:ilvl="2" w:tentative="0">
      <w:start w:val="1"/>
      <w:numFmt w:val="lowerRoman"/>
      <w:lvlText w:val="%3."/>
      <w:lvlJc w:val="right"/>
      <w:pPr>
        <w:ind w:left="1860" w:hanging="420"/>
      </w:pPr>
    </w:lvl>
    <w:lvl w:ilvl="3" w:tentative="0">
      <w:start w:val="1"/>
      <w:numFmt w:val="decimal"/>
      <w:lvlText w:val="%4."/>
      <w:lvlJc w:val="left"/>
      <w:pPr>
        <w:ind w:left="2280" w:hanging="420"/>
      </w:pPr>
    </w:lvl>
    <w:lvl w:ilvl="4" w:tentative="0">
      <w:start w:val="1"/>
      <w:numFmt w:val="lowerLetter"/>
      <w:lvlText w:val="%5)"/>
      <w:lvlJc w:val="left"/>
      <w:pPr>
        <w:ind w:left="2700" w:hanging="420"/>
      </w:pPr>
    </w:lvl>
    <w:lvl w:ilvl="5" w:tentative="0">
      <w:start w:val="1"/>
      <w:numFmt w:val="lowerRoman"/>
      <w:lvlText w:val="%6."/>
      <w:lvlJc w:val="right"/>
      <w:pPr>
        <w:ind w:left="3120" w:hanging="420"/>
      </w:pPr>
    </w:lvl>
    <w:lvl w:ilvl="6" w:tentative="0">
      <w:start w:val="1"/>
      <w:numFmt w:val="decimal"/>
      <w:lvlText w:val="%7."/>
      <w:lvlJc w:val="left"/>
      <w:pPr>
        <w:ind w:left="3540" w:hanging="420"/>
      </w:pPr>
    </w:lvl>
    <w:lvl w:ilvl="7" w:tentative="0">
      <w:start w:val="1"/>
      <w:numFmt w:val="lowerLetter"/>
      <w:lvlText w:val="%8)"/>
      <w:lvlJc w:val="left"/>
      <w:pPr>
        <w:ind w:left="3960" w:hanging="420"/>
      </w:pPr>
    </w:lvl>
    <w:lvl w:ilvl="8" w:tentative="0">
      <w:start w:val="1"/>
      <w:numFmt w:val="lowerRoman"/>
      <w:lvlText w:val="%9."/>
      <w:lvlJc w:val="right"/>
      <w:pPr>
        <w:ind w:left="438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013C8"/>
    <w:rsid w:val="00002CE3"/>
    <w:rsid w:val="000053FD"/>
    <w:rsid w:val="00010DB4"/>
    <w:rsid w:val="000112E5"/>
    <w:rsid w:val="000154EF"/>
    <w:rsid w:val="000161BE"/>
    <w:rsid w:val="00026A36"/>
    <w:rsid w:val="00034D9D"/>
    <w:rsid w:val="0004320C"/>
    <w:rsid w:val="00045C9C"/>
    <w:rsid w:val="00057044"/>
    <w:rsid w:val="00057676"/>
    <w:rsid w:val="0005772F"/>
    <w:rsid w:val="0006570B"/>
    <w:rsid w:val="00065726"/>
    <w:rsid w:val="00072E1F"/>
    <w:rsid w:val="00074455"/>
    <w:rsid w:val="0007741E"/>
    <w:rsid w:val="000833E8"/>
    <w:rsid w:val="000849A7"/>
    <w:rsid w:val="00084DF0"/>
    <w:rsid w:val="00085917"/>
    <w:rsid w:val="00086FC3"/>
    <w:rsid w:val="0009407D"/>
    <w:rsid w:val="00095266"/>
    <w:rsid w:val="00096A95"/>
    <w:rsid w:val="00097923"/>
    <w:rsid w:val="000A004B"/>
    <w:rsid w:val="000B13BE"/>
    <w:rsid w:val="000B43A4"/>
    <w:rsid w:val="000B7162"/>
    <w:rsid w:val="000C4607"/>
    <w:rsid w:val="000C72ED"/>
    <w:rsid w:val="000D1869"/>
    <w:rsid w:val="000D33D7"/>
    <w:rsid w:val="000D3DBE"/>
    <w:rsid w:val="000E1971"/>
    <w:rsid w:val="000E26FB"/>
    <w:rsid w:val="000E41C2"/>
    <w:rsid w:val="000F061D"/>
    <w:rsid w:val="000F4985"/>
    <w:rsid w:val="000F4BC2"/>
    <w:rsid w:val="000F582E"/>
    <w:rsid w:val="001055DB"/>
    <w:rsid w:val="00105BD3"/>
    <w:rsid w:val="00105C40"/>
    <w:rsid w:val="001078AB"/>
    <w:rsid w:val="00113EEE"/>
    <w:rsid w:val="001164A9"/>
    <w:rsid w:val="00120F03"/>
    <w:rsid w:val="00123320"/>
    <w:rsid w:val="0012620F"/>
    <w:rsid w:val="00135248"/>
    <w:rsid w:val="001364CB"/>
    <w:rsid w:val="00136A19"/>
    <w:rsid w:val="0014366D"/>
    <w:rsid w:val="0014784B"/>
    <w:rsid w:val="00153176"/>
    <w:rsid w:val="00154128"/>
    <w:rsid w:val="00161430"/>
    <w:rsid w:val="00163783"/>
    <w:rsid w:val="0016388A"/>
    <w:rsid w:val="0016559E"/>
    <w:rsid w:val="00180C42"/>
    <w:rsid w:val="00190ADA"/>
    <w:rsid w:val="00192B10"/>
    <w:rsid w:val="001A10C8"/>
    <w:rsid w:val="001A49CA"/>
    <w:rsid w:val="001A5B29"/>
    <w:rsid w:val="001A5B52"/>
    <w:rsid w:val="001B0C21"/>
    <w:rsid w:val="001B1452"/>
    <w:rsid w:val="001B3397"/>
    <w:rsid w:val="001C20CD"/>
    <w:rsid w:val="001C42B0"/>
    <w:rsid w:val="001C4856"/>
    <w:rsid w:val="001C4858"/>
    <w:rsid w:val="001D3943"/>
    <w:rsid w:val="001D4D78"/>
    <w:rsid w:val="001E070F"/>
    <w:rsid w:val="001E158A"/>
    <w:rsid w:val="001E24A4"/>
    <w:rsid w:val="001E29F8"/>
    <w:rsid w:val="001E2FFF"/>
    <w:rsid w:val="001E5FA6"/>
    <w:rsid w:val="001E6FCE"/>
    <w:rsid w:val="001F103D"/>
    <w:rsid w:val="001F13A5"/>
    <w:rsid w:val="001F200E"/>
    <w:rsid w:val="001F2855"/>
    <w:rsid w:val="001F3EA0"/>
    <w:rsid w:val="001F633B"/>
    <w:rsid w:val="001F66E4"/>
    <w:rsid w:val="001F7A1C"/>
    <w:rsid w:val="00204238"/>
    <w:rsid w:val="00210AE7"/>
    <w:rsid w:val="00220AF1"/>
    <w:rsid w:val="00222BDD"/>
    <w:rsid w:val="0022387E"/>
    <w:rsid w:val="0022444B"/>
    <w:rsid w:val="00230B31"/>
    <w:rsid w:val="00234B30"/>
    <w:rsid w:val="0023620E"/>
    <w:rsid w:val="002378AC"/>
    <w:rsid w:val="00237D68"/>
    <w:rsid w:val="00237DF9"/>
    <w:rsid w:val="00240A04"/>
    <w:rsid w:val="00243FEA"/>
    <w:rsid w:val="002444B7"/>
    <w:rsid w:val="00244AC5"/>
    <w:rsid w:val="00252D6D"/>
    <w:rsid w:val="002545A5"/>
    <w:rsid w:val="00257E3C"/>
    <w:rsid w:val="002636AD"/>
    <w:rsid w:val="00266C25"/>
    <w:rsid w:val="0027124C"/>
    <w:rsid w:val="002712B6"/>
    <w:rsid w:val="002728D7"/>
    <w:rsid w:val="00273011"/>
    <w:rsid w:val="00277D27"/>
    <w:rsid w:val="00277D2C"/>
    <w:rsid w:val="002831C3"/>
    <w:rsid w:val="0028492A"/>
    <w:rsid w:val="002854EB"/>
    <w:rsid w:val="00292924"/>
    <w:rsid w:val="002970A0"/>
    <w:rsid w:val="002A3052"/>
    <w:rsid w:val="002A3F05"/>
    <w:rsid w:val="002A4958"/>
    <w:rsid w:val="002B0DE2"/>
    <w:rsid w:val="002B37BA"/>
    <w:rsid w:val="002B425B"/>
    <w:rsid w:val="002B7C0C"/>
    <w:rsid w:val="002C0194"/>
    <w:rsid w:val="002C3A87"/>
    <w:rsid w:val="002C5DD5"/>
    <w:rsid w:val="002C6A4E"/>
    <w:rsid w:val="002D01CD"/>
    <w:rsid w:val="002D67FA"/>
    <w:rsid w:val="002E11E0"/>
    <w:rsid w:val="002E3DB4"/>
    <w:rsid w:val="002E4AEB"/>
    <w:rsid w:val="002F1450"/>
    <w:rsid w:val="002F750E"/>
    <w:rsid w:val="0030711E"/>
    <w:rsid w:val="00312DC6"/>
    <w:rsid w:val="0031346C"/>
    <w:rsid w:val="00317D90"/>
    <w:rsid w:val="00322DF7"/>
    <w:rsid w:val="00323B86"/>
    <w:rsid w:val="00325D41"/>
    <w:rsid w:val="003332DC"/>
    <w:rsid w:val="00344BEC"/>
    <w:rsid w:val="0034603D"/>
    <w:rsid w:val="003462AE"/>
    <w:rsid w:val="003503A7"/>
    <w:rsid w:val="00350C00"/>
    <w:rsid w:val="00356333"/>
    <w:rsid w:val="00361079"/>
    <w:rsid w:val="003625BB"/>
    <w:rsid w:val="003626D2"/>
    <w:rsid w:val="00365AAF"/>
    <w:rsid w:val="0036609F"/>
    <w:rsid w:val="003707D9"/>
    <w:rsid w:val="00373679"/>
    <w:rsid w:val="00375D35"/>
    <w:rsid w:val="0037795E"/>
    <w:rsid w:val="0038128C"/>
    <w:rsid w:val="00383FE2"/>
    <w:rsid w:val="00384728"/>
    <w:rsid w:val="003849D1"/>
    <w:rsid w:val="00384E33"/>
    <w:rsid w:val="00387F03"/>
    <w:rsid w:val="0039401A"/>
    <w:rsid w:val="003A0AB2"/>
    <w:rsid w:val="003A331B"/>
    <w:rsid w:val="003B15E0"/>
    <w:rsid w:val="003B58B8"/>
    <w:rsid w:val="003B64C7"/>
    <w:rsid w:val="003B7808"/>
    <w:rsid w:val="003C0792"/>
    <w:rsid w:val="003D13FD"/>
    <w:rsid w:val="003D4003"/>
    <w:rsid w:val="003D6138"/>
    <w:rsid w:val="003E1A1D"/>
    <w:rsid w:val="003E67E3"/>
    <w:rsid w:val="003E79A5"/>
    <w:rsid w:val="003F31AD"/>
    <w:rsid w:val="003F5A2E"/>
    <w:rsid w:val="003F7207"/>
    <w:rsid w:val="00404EBF"/>
    <w:rsid w:val="00405BA5"/>
    <w:rsid w:val="00407D4B"/>
    <w:rsid w:val="00411CC6"/>
    <w:rsid w:val="00412C07"/>
    <w:rsid w:val="004143B0"/>
    <w:rsid w:val="00415F5A"/>
    <w:rsid w:val="00416039"/>
    <w:rsid w:val="004203C1"/>
    <w:rsid w:val="00420B7E"/>
    <w:rsid w:val="00420C59"/>
    <w:rsid w:val="00421767"/>
    <w:rsid w:val="0042197D"/>
    <w:rsid w:val="00422CED"/>
    <w:rsid w:val="00423EC4"/>
    <w:rsid w:val="004257BC"/>
    <w:rsid w:val="00427C92"/>
    <w:rsid w:val="00433B13"/>
    <w:rsid w:val="00433DB4"/>
    <w:rsid w:val="004379B7"/>
    <w:rsid w:val="00444981"/>
    <w:rsid w:val="004450A9"/>
    <w:rsid w:val="00446F72"/>
    <w:rsid w:val="00454B72"/>
    <w:rsid w:val="0045664F"/>
    <w:rsid w:val="00456670"/>
    <w:rsid w:val="00466F83"/>
    <w:rsid w:val="00467D8A"/>
    <w:rsid w:val="00472BB7"/>
    <w:rsid w:val="00475F92"/>
    <w:rsid w:val="00482EAC"/>
    <w:rsid w:val="0048308D"/>
    <w:rsid w:val="00486295"/>
    <w:rsid w:val="00486621"/>
    <w:rsid w:val="00486BF4"/>
    <w:rsid w:val="0049002D"/>
    <w:rsid w:val="00491A4E"/>
    <w:rsid w:val="00493DEF"/>
    <w:rsid w:val="0049446C"/>
    <w:rsid w:val="004954AD"/>
    <w:rsid w:val="004954D8"/>
    <w:rsid w:val="004B0CDC"/>
    <w:rsid w:val="004B3E19"/>
    <w:rsid w:val="004B63A7"/>
    <w:rsid w:val="004B7BA6"/>
    <w:rsid w:val="004C2399"/>
    <w:rsid w:val="004C5799"/>
    <w:rsid w:val="004C76E1"/>
    <w:rsid w:val="004D0C5E"/>
    <w:rsid w:val="004D32D7"/>
    <w:rsid w:val="004D773F"/>
    <w:rsid w:val="004D7C15"/>
    <w:rsid w:val="004E044E"/>
    <w:rsid w:val="004E128B"/>
    <w:rsid w:val="004E3C75"/>
    <w:rsid w:val="004E73EE"/>
    <w:rsid w:val="004E7B26"/>
    <w:rsid w:val="004F1861"/>
    <w:rsid w:val="004F3262"/>
    <w:rsid w:val="004F76E6"/>
    <w:rsid w:val="00500399"/>
    <w:rsid w:val="0050040A"/>
    <w:rsid w:val="005020F8"/>
    <w:rsid w:val="00505022"/>
    <w:rsid w:val="005060EF"/>
    <w:rsid w:val="00506FA1"/>
    <w:rsid w:val="00507CF3"/>
    <w:rsid w:val="00513273"/>
    <w:rsid w:val="00514979"/>
    <w:rsid w:val="005203DB"/>
    <w:rsid w:val="00523E89"/>
    <w:rsid w:val="005270C8"/>
    <w:rsid w:val="0053120E"/>
    <w:rsid w:val="0053159E"/>
    <w:rsid w:val="0053365B"/>
    <w:rsid w:val="005337DE"/>
    <w:rsid w:val="00537D9E"/>
    <w:rsid w:val="00543B15"/>
    <w:rsid w:val="00553BB2"/>
    <w:rsid w:val="0056058C"/>
    <w:rsid w:val="005641D1"/>
    <w:rsid w:val="00565264"/>
    <w:rsid w:val="0057264B"/>
    <w:rsid w:val="0057406A"/>
    <w:rsid w:val="005806E8"/>
    <w:rsid w:val="005808B0"/>
    <w:rsid w:val="00582D5D"/>
    <w:rsid w:val="00583120"/>
    <w:rsid w:val="005845E2"/>
    <w:rsid w:val="00596F7F"/>
    <w:rsid w:val="005A17DA"/>
    <w:rsid w:val="005A3CE4"/>
    <w:rsid w:val="005A4B57"/>
    <w:rsid w:val="005A7F2C"/>
    <w:rsid w:val="005B0FEB"/>
    <w:rsid w:val="005B4468"/>
    <w:rsid w:val="005B7361"/>
    <w:rsid w:val="005B7EF1"/>
    <w:rsid w:val="005C08DC"/>
    <w:rsid w:val="005C2914"/>
    <w:rsid w:val="005C2CDA"/>
    <w:rsid w:val="005C64CC"/>
    <w:rsid w:val="005C6A97"/>
    <w:rsid w:val="005D007D"/>
    <w:rsid w:val="005D0F14"/>
    <w:rsid w:val="005D4AC0"/>
    <w:rsid w:val="005E040B"/>
    <w:rsid w:val="005E2B07"/>
    <w:rsid w:val="005E2EA6"/>
    <w:rsid w:val="005F08A1"/>
    <w:rsid w:val="005F0F47"/>
    <w:rsid w:val="005F3B12"/>
    <w:rsid w:val="005F4E29"/>
    <w:rsid w:val="005F638F"/>
    <w:rsid w:val="005F6651"/>
    <w:rsid w:val="005F6FE0"/>
    <w:rsid w:val="005F7C84"/>
    <w:rsid w:val="005F7FA9"/>
    <w:rsid w:val="0060433C"/>
    <w:rsid w:val="0060727C"/>
    <w:rsid w:val="00611B81"/>
    <w:rsid w:val="00636747"/>
    <w:rsid w:val="006405B5"/>
    <w:rsid w:val="00642549"/>
    <w:rsid w:val="00647952"/>
    <w:rsid w:val="00650ED7"/>
    <w:rsid w:val="00653539"/>
    <w:rsid w:val="00656C22"/>
    <w:rsid w:val="00663B7D"/>
    <w:rsid w:val="00664441"/>
    <w:rsid w:val="006663D0"/>
    <w:rsid w:val="006721AE"/>
    <w:rsid w:val="00673444"/>
    <w:rsid w:val="00674179"/>
    <w:rsid w:val="00674239"/>
    <w:rsid w:val="006752F3"/>
    <w:rsid w:val="00682577"/>
    <w:rsid w:val="0069452D"/>
    <w:rsid w:val="00695E33"/>
    <w:rsid w:val="00696EDF"/>
    <w:rsid w:val="0069725C"/>
    <w:rsid w:val="00697663"/>
    <w:rsid w:val="006A02D9"/>
    <w:rsid w:val="006A08B4"/>
    <w:rsid w:val="006A1E67"/>
    <w:rsid w:val="006A224F"/>
    <w:rsid w:val="006B06FF"/>
    <w:rsid w:val="006B3B80"/>
    <w:rsid w:val="006B3FA3"/>
    <w:rsid w:val="006B5764"/>
    <w:rsid w:val="006B5ECD"/>
    <w:rsid w:val="006B637D"/>
    <w:rsid w:val="006B7E7C"/>
    <w:rsid w:val="006C2EE4"/>
    <w:rsid w:val="006C3B06"/>
    <w:rsid w:val="006C3F53"/>
    <w:rsid w:val="006C43CA"/>
    <w:rsid w:val="006C5409"/>
    <w:rsid w:val="006D003B"/>
    <w:rsid w:val="006D1855"/>
    <w:rsid w:val="006D37BF"/>
    <w:rsid w:val="006E0A38"/>
    <w:rsid w:val="006E0B28"/>
    <w:rsid w:val="006E6D87"/>
    <w:rsid w:val="006F134F"/>
    <w:rsid w:val="00700544"/>
    <w:rsid w:val="00702144"/>
    <w:rsid w:val="00702423"/>
    <w:rsid w:val="007135D7"/>
    <w:rsid w:val="0071409C"/>
    <w:rsid w:val="007151B5"/>
    <w:rsid w:val="007154FE"/>
    <w:rsid w:val="00720C71"/>
    <w:rsid w:val="0072188E"/>
    <w:rsid w:val="0072434B"/>
    <w:rsid w:val="0072549A"/>
    <w:rsid w:val="007260DF"/>
    <w:rsid w:val="0072776C"/>
    <w:rsid w:val="0073241A"/>
    <w:rsid w:val="00734F14"/>
    <w:rsid w:val="00737C28"/>
    <w:rsid w:val="00740DDF"/>
    <w:rsid w:val="00741EF7"/>
    <w:rsid w:val="00745B76"/>
    <w:rsid w:val="00750DEB"/>
    <w:rsid w:val="0075263D"/>
    <w:rsid w:val="007564ED"/>
    <w:rsid w:val="007619F9"/>
    <w:rsid w:val="00761E5C"/>
    <w:rsid w:val="007642A5"/>
    <w:rsid w:val="00764918"/>
    <w:rsid w:val="00766A49"/>
    <w:rsid w:val="0076752D"/>
    <w:rsid w:val="00770753"/>
    <w:rsid w:val="007731FD"/>
    <w:rsid w:val="00773E14"/>
    <w:rsid w:val="00774768"/>
    <w:rsid w:val="00774E6C"/>
    <w:rsid w:val="00775A5B"/>
    <w:rsid w:val="00776665"/>
    <w:rsid w:val="007801FD"/>
    <w:rsid w:val="00783C73"/>
    <w:rsid w:val="007859E5"/>
    <w:rsid w:val="00787A5E"/>
    <w:rsid w:val="007935DB"/>
    <w:rsid w:val="007A141A"/>
    <w:rsid w:val="007A167E"/>
    <w:rsid w:val="007A223B"/>
    <w:rsid w:val="007A339C"/>
    <w:rsid w:val="007A5962"/>
    <w:rsid w:val="007A6F27"/>
    <w:rsid w:val="007B1517"/>
    <w:rsid w:val="007B5EC4"/>
    <w:rsid w:val="007C32F6"/>
    <w:rsid w:val="007C5699"/>
    <w:rsid w:val="007D29D0"/>
    <w:rsid w:val="007D6B00"/>
    <w:rsid w:val="007E0972"/>
    <w:rsid w:val="007E0F08"/>
    <w:rsid w:val="007E21DF"/>
    <w:rsid w:val="007E3FCF"/>
    <w:rsid w:val="007E6632"/>
    <w:rsid w:val="007F1C52"/>
    <w:rsid w:val="007F2624"/>
    <w:rsid w:val="007F4D63"/>
    <w:rsid w:val="008007E4"/>
    <w:rsid w:val="008074F4"/>
    <w:rsid w:val="008125AA"/>
    <w:rsid w:val="008144B6"/>
    <w:rsid w:val="00815E03"/>
    <w:rsid w:val="0082114E"/>
    <w:rsid w:val="00822A25"/>
    <w:rsid w:val="00824742"/>
    <w:rsid w:val="00824FA2"/>
    <w:rsid w:val="00831C9E"/>
    <w:rsid w:val="008342A1"/>
    <w:rsid w:val="00842CA3"/>
    <w:rsid w:val="00846284"/>
    <w:rsid w:val="00850EDB"/>
    <w:rsid w:val="00851423"/>
    <w:rsid w:val="00863F79"/>
    <w:rsid w:val="00864D7D"/>
    <w:rsid w:val="00865BDE"/>
    <w:rsid w:val="0087043F"/>
    <w:rsid w:val="0087619A"/>
    <w:rsid w:val="00885B66"/>
    <w:rsid w:val="00885E16"/>
    <w:rsid w:val="0089028B"/>
    <w:rsid w:val="00892DB9"/>
    <w:rsid w:val="00892F48"/>
    <w:rsid w:val="00892F70"/>
    <w:rsid w:val="0089332E"/>
    <w:rsid w:val="008A450F"/>
    <w:rsid w:val="008A670B"/>
    <w:rsid w:val="008B7EB0"/>
    <w:rsid w:val="008C0312"/>
    <w:rsid w:val="008C17FA"/>
    <w:rsid w:val="008C26E2"/>
    <w:rsid w:val="008C28FC"/>
    <w:rsid w:val="008D073F"/>
    <w:rsid w:val="008D4155"/>
    <w:rsid w:val="008D4780"/>
    <w:rsid w:val="008D7D72"/>
    <w:rsid w:val="008E3A8F"/>
    <w:rsid w:val="008E5DCD"/>
    <w:rsid w:val="008F10C3"/>
    <w:rsid w:val="008F1168"/>
    <w:rsid w:val="008F2440"/>
    <w:rsid w:val="008F3C41"/>
    <w:rsid w:val="008F6424"/>
    <w:rsid w:val="008F6D7F"/>
    <w:rsid w:val="008F7717"/>
    <w:rsid w:val="009012E8"/>
    <w:rsid w:val="009022E7"/>
    <w:rsid w:val="00914930"/>
    <w:rsid w:val="00915028"/>
    <w:rsid w:val="0091563D"/>
    <w:rsid w:val="0091594B"/>
    <w:rsid w:val="00915F8E"/>
    <w:rsid w:val="00917402"/>
    <w:rsid w:val="00917719"/>
    <w:rsid w:val="00921AD3"/>
    <w:rsid w:val="00927579"/>
    <w:rsid w:val="00927582"/>
    <w:rsid w:val="00927A24"/>
    <w:rsid w:val="00933A2A"/>
    <w:rsid w:val="00934CB5"/>
    <w:rsid w:val="00936C2E"/>
    <w:rsid w:val="00937BDF"/>
    <w:rsid w:val="009408F7"/>
    <w:rsid w:val="009410E0"/>
    <w:rsid w:val="00944FE5"/>
    <w:rsid w:val="0094505E"/>
    <w:rsid w:val="00945E43"/>
    <w:rsid w:val="00951818"/>
    <w:rsid w:val="009636D6"/>
    <w:rsid w:val="0096603F"/>
    <w:rsid w:val="0097234A"/>
    <w:rsid w:val="0097588D"/>
    <w:rsid w:val="00975E1F"/>
    <w:rsid w:val="0098318F"/>
    <w:rsid w:val="00985AB5"/>
    <w:rsid w:val="00986800"/>
    <w:rsid w:val="00987611"/>
    <w:rsid w:val="00990249"/>
    <w:rsid w:val="00993180"/>
    <w:rsid w:val="00994DAD"/>
    <w:rsid w:val="009A11CE"/>
    <w:rsid w:val="009A59EE"/>
    <w:rsid w:val="009A5F44"/>
    <w:rsid w:val="009B48C6"/>
    <w:rsid w:val="009B641F"/>
    <w:rsid w:val="009B7481"/>
    <w:rsid w:val="009C2D4D"/>
    <w:rsid w:val="009C625C"/>
    <w:rsid w:val="009C65CE"/>
    <w:rsid w:val="009D072C"/>
    <w:rsid w:val="009D2716"/>
    <w:rsid w:val="009E04BE"/>
    <w:rsid w:val="009E3765"/>
    <w:rsid w:val="009E450F"/>
    <w:rsid w:val="009E57C4"/>
    <w:rsid w:val="009F531E"/>
    <w:rsid w:val="009F6A41"/>
    <w:rsid w:val="00A0531F"/>
    <w:rsid w:val="00A0658F"/>
    <w:rsid w:val="00A06602"/>
    <w:rsid w:val="00A10EAD"/>
    <w:rsid w:val="00A12A78"/>
    <w:rsid w:val="00A13E5A"/>
    <w:rsid w:val="00A13F55"/>
    <w:rsid w:val="00A1633B"/>
    <w:rsid w:val="00A17FAC"/>
    <w:rsid w:val="00A23F31"/>
    <w:rsid w:val="00A244F2"/>
    <w:rsid w:val="00A27328"/>
    <w:rsid w:val="00A3138F"/>
    <w:rsid w:val="00A31F3B"/>
    <w:rsid w:val="00A34650"/>
    <w:rsid w:val="00A36214"/>
    <w:rsid w:val="00A424D6"/>
    <w:rsid w:val="00A4587B"/>
    <w:rsid w:val="00A52C76"/>
    <w:rsid w:val="00A52EE9"/>
    <w:rsid w:val="00A63A78"/>
    <w:rsid w:val="00A64EA0"/>
    <w:rsid w:val="00A700B3"/>
    <w:rsid w:val="00A74680"/>
    <w:rsid w:val="00A82147"/>
    <w:rsid w:val="00A842A6"/>
    <w:rsid w:val="00A8638B"/>
    <w:rsid w:val="00A914AA"/>
    <w:rsid w:val="00AA20B6"/>
    <w:rsid w:val="00AA4C1F"/>
    <w:rsid w:val="00AA57D9"/>
    <w:rsid w:val="00AA5889"/>
    <w:rsid w:val="00AB03F0"/>
    <w:rsid w:val="00AB1C0A"/>
    <w:rsid w:val="00AB48D2"/>
    <w:rsid w:val="00AB5851"/>
    <w:rsid w:val="00AB6505"/>
    <w:rsid w:val="00AC0BBE"/>
    <w:rsid w:val="00AC2F5A"/>
    <w:rsid w:val="00AD43FE"/>
    <w:rsid w:val="00AD4573"/>
    <w:rsid w:val="00AD5A9D"/>
    <w:rsid w:val="00AD6808"/>
    <w:rsid w:val="00AE0A18"/>
    <w:rsid w:val="00AE3F8C"/>
    <w:rsid w:val="00AE5DE8"/>
    <w:rsid w:val="00AF0F65"/>
    <w:rsid w:val="00AF20FE"/>
    <w:rsid w:val="00AF25E1"/>
    <w:rsid w:val="00AF5BF1"/>
    <w:rsid w:val="00B049BC"/>
    <w:rsid w:val="00B05414"/>
    <w:rsid w:val="00B05606"/>
    <w:rsid w:val="00B1158A"/>
    <w:rsid w:val="00B11A21"/>
    <w:rsid w:val="00B142A2"/>
    <w:rsid w:val="00B17B07"/>
    <w:rsid w:val="00B20CBC"/>
    <w:rsid w:val="00B260C3"/>
    <w:rsid w:val="00B34D11"/>
    <w:rsid w:val="00B40A83"/>
    <w:rsid w:val="00B46E60"/>
    <w:rsid w:val="00B51A50"/>
    <w:rsid w:val="00B52C30"/>
    <w:rsid w:val="00B5300C"/>
    <w:rsid w:val="00B5325A"/>
    <w:rsid w:val="00B60F55"/>
    <w:rsid w:val="00B6114B"/>
    <w:rsid w:val="00B63456"/>
    <w:rsid w:val="00B66A74"/>
    <w:rsid w:val="00B67096"/>
    <w:rsid w:val="00B734BA"/>
    <w:rsid w:val="00B7594B"/>
    <w:rsid w:val="00B83020"/>
    <w:rsid w:val="00B90A51"/>
    <w:rsid w:val="00B90D4A"/>
    <w:rsid w:val="00B93CDD"/>
    <w:rsid w:val="00B95C6E"/>
    <w:rsid w:val="00BA71BD"/>
    <w:rsid w:val="00BA7BA1"/>
    <w:rsid w:val="00BA7D07"/>
    <w:rsid w:val="00BB16E1"/>
    <w:rsid w:val="00BB2918"/>
    <w:rsid w:val="00BB3E08"/>
    <w:rsid w:val="00BC3627"/>
    <w:rsid w:val="00BC5BD7"/>
    <w:rsid w:val="00BC67F8"/>
    <w:rsid w:val="00BC69B0"/>
    <w:rsid w:val="00BD3D76"/>
    <w:rsid w:val="00BD6104"/>
    <w:rsid w:val="00BD7667"/>
    <w:rsid w:val="00BE1352"/>
    <w:rsid w:val="00BE2C34"/>
    <w:rsid w:val="00BE38E4"/>
    <w:rsid w:val="00BE642F"/>
    <w:rsid w:val="00BE7A8B"/>
    <w:rsid w:val="00BF0ECD"/>
    <w:rsid w:val="00BF454B"/>
    <w:rsid w:val="00BF7D26"/>
    <w:rsid w:val="00C017FE"/>
    <w:rsid w:val="00C02268"/>
    <w:rsid w:val="00C04852"/>
    <w:rsid w:val="00C10F0C"/>
    <w:rsid w:val="00C11F61"/>
    <w:rsid w:val="00C1328E"/>
    <w:rsid w:val="00C13A91"/>
    <w:rsid w:val="00C15291"/>
    <w:rsid w:val="00C153B1"/>
    <w:rsid w:val="00C20132"/>
    <w:rsid w:val="00C23B49"/>
    <w:rsid w:val="00C27C8E"/>
    <w:rsid w:val="00C31207"/>
    <w:rsid w:val="00C328A4"/>
    <w:rsid w:val="00C34791"/>
    <w:rsid w:val="00C378FA"/>
    <w:rsid w:val="00C412D4"/>
    <w:rsid w:val="00C41E7F"/>
    <w:rsid w:val="00C44B07"/>
    <w:rsid w:val="00C4540B"/>
    <w:rsid w:val="00C47C2A"/>
    <w:rsid w:val="00C5055D"/>
    <w:rsid w:val="00C514C7"/>
    <w:rsid w:val="00C51686"/>
    <w:rsid w:val="00C52912"/>
    <w:rsid w:val="00C52E4F"/>
    <w:rsid w:val="00C5446B"/>
    <w:rsid w:val="00C60172"/>
    <w:rsid w:val="00C61ECF"/>
    <w:rsid w:val="00C632D9"/>
    <w:rsid w:val="00C6616D"/>
    <w:rsid w:val="00C70AD6"/>
    <w:rsid w:val="00C76BD7"/>
    <w:rsid w:val="00C8000C"/>
    <w:rsid w:val="00C83A27"/>
    <w:rsid w:val="00C9137A"/>
    <w:rsid w:val="00C91F22"/>
    <w:rsid w:val="00C96363"/>
    <w:rsid w:val="00CA1673"/>
    <w:rsid w:val="00CA4CC2"/>
    <w:rsid w:val="00CA777D"/>
    <w:rsid w:val="00CB0F82"/>
    <w:rsid w:val="00CB4193"/>
    <w:rsid w:val="00CD3BAF"/>
    <w:rsid w:val="00CD4DE4"/>
    <w:rsid w:val="00CF2A3C"/>
    <w:rsid w:val="00CF307C"/>
    <w:rsid w:val="00CF39CD"/>
    <w:rsid w:val="00CF43F8"/>
    <w:rsid w:val="00CF4E40"/>
    <w:rsid w:val="00CF5611"/>
    <w:rsid w:val="00D00A08"/>
    <w:rsid w:val="00D013C8"/>
    <w:rsid w:val="00D03ED4"/>
    <w:rsid w:val="00D043E7"/>
    <w:rsid w:val="00D0593E"/>
    <w:rsid w:val="00D116BB"/>
    <w:rsid w:val="00D14E9C"/>
    <w:rsid w:val="00D205C2"/>
    <w:rsid w:val="00D22E99"/>
    <w:rsid w:val="00D23F9B"/>
    <w:rsid w:val="00D24CD9"/>
    <w:rsid w:val="00D257E5"/>
    <w:rsid w:val="00D27BAE"/>
    <w:rsid w:val="00D32A4D"/>
    <w:rsid w:val="00D36CAE"/>
    <w:rsid w:val="00D36EF5"/>
    <w:rsid w:val="00D3773D"/>
    <w:rsid w:val="00D431F2"/>
    <w:rsid w:val="00D47173"/>
    <w:rsid w:val="00D50CC7"/>
    <w:rsid w:val="00D5399D"/>
    <w:rsid w:val="00D72263"/>
    <w:rsid w:val="00D726A4"/>
    <w:rsid w:val="00D73706"/>
    <w:rsid w:val="00D76C80"/>
    <w:rsid w:val="00D839AE"/>
    <w:rsid w:val="00D865B9"/>
    <w:rsid w:val="00D86AD0"/>
    <w:rsid w:val="00D93F80"/>
    <w:rsid w:val="00D9559B"/>
    <w:rsid w:val="00D96DE5"/>
    <w:rsid w:val="00DA2865"/>
    <w:rsid w:val="00DA39CD"/>
    <w:rsid w:val="00DA5671"/>
    <w:rsid w:val="00DA66D7"/>
    <w:rsid w:val="00DB70BA"/>
    <w:rsid w:val="00DB7174"/>
    <w:rsid w:val="00DD0254"/>
    <w:rsid w:val="00DD0617"/>
    <w:rsid w:val="00DE0831"/>
    <w:rsid w:val="00DE08B6"/>
    <w:rsid w:val="00DE1E51"/>
    <w:rsid w:val="00DE1FB5"/>
    <w:rsid w:val="00DE27B8"/>
    <w:rsid w:val="00DE45DF"/>
    <w:rsid w:val="00DE583F"/>
    <w:rsid w:val="00DE5E9E"/>
    <w:rsid w:val="00DE7324"/>
    <w:rsid w:val="00E0152D"/>
    <w:rsid w:val="00E075D9"/>
    <w:rsid w:val="00E141AC"/>
    <w:rsid w:val="00E14507"/>
    <w:rsid w:val="00E16F09"/>
    <w:rsid w:val="00E26B1F"/>
    <w:rsid w:val="00E403E5"/>
    <w:rsid w:val="00E40936"/>
    <w:rsid w:val="00E4253D"/>
    <w:rsid w:val="00E45DBB"/>
    <w:rsid w:val="00E50F72"/>
    <w:rsid w:val="00E51CFA"/>
    <w:rsid w:val="00E51E94"/>
    <w:rsid w:val="00E53C80"/>
    <w:rsid w:val="00E54662"/>
    <w:rsid w:val="00E54C5D"/>
    <w:rsid w:val="00E55032"/>
    <w:rsid w:val="00E6203C"/>
    <w:rsid w:val="00E679A7"/>
    <w:rsid w:val="00E70F83"/>
    <w:rsid w:val="00E7238F"/>
    <w:rsid w:val="00E7364E"/>
    <w:rsid w:val="00E74E3E"/>
    <w:rsid w:val="00E81B53"/>
    <w:rsid w:val="00E82CFA"/>
    <w:rsid w:val="00E83A76"/>
    <w:rsid w:val="00E86451"/>
    <w:rsid w:val="00E86E39"/>
    <w:rsid w:val="00E872DE"/>
    <w:rsid w:val="00E90807"/>
    <w:rsid w:val="00E9158D"/>
    <w:rsid w:val="00E92017"/>
    <w:rsid w:val="00E92B36"/>
    <w:rsid w:val="00E92DD7"/>
    <w:rsid w:val="00E94998"/>
    <w:rsid w:val="00E952E4"/>
    <w:rsid w:val="00EA18E3"/>
    <w:rsid w:val="00EA260C"/>
    <w:rsid w:val="00EA656B"/>
    <w:rsid w:val="00EB014D"/>
    <w:rsid w:val="00EB11AE"/>
    <w:rsid w:val="00EB31D2"/>
    <w:rsid w:val="00EC0F19"/>
    <w:rsid w:val="00EC2277"/>
    <w:rsid w:val="00EC6DA6"/>
    <w:rsid w:val="00EC7C2F"/>
    <w:rsid w:val="00EC7F7C"/>
    <w:rsid w:val="00ED12C0"/>
    <w:rsid w:val="00ED13BF"/>
    <w:rsid w:val="00ED16F7"/>
    <w:rsid w:val="00ED7695"/>
    <w:rsid w:val="00EE0015"/>
    <w:rsid w:val="00EE164B"/>
    <w:rsid w:val="00EE7804"/>
    <w:rsid w:val="00F0287F"/>
    <w:rsid w:val="00F0655A"/>
    <w:rsid w:val="00F11086"/>
    <w:rsid w:val="00F122BB"/>
    <w:rsid w:val="00F21A41"/>
    <w:rsid w:val="00F22F19"/>
    <w:rsid w:val="00F25810"/>
    <w:rsid w:val="00F331BE"/>
    <w:rsid w:val="00F4062B"/>
    <w:rsid w:val="00F40B0F"/>
    <w:rsid w:val="00F41922"/>
    <w:rsid w:val="00F4206D"/>
    <w:rsid w:val="00F421B4"/>
    <w:rsid w:val="00F50E9F"/>
    <w:rsid w:val="00F52099"/>
    <w:rsid w:val="00F56B77"/>
    <w:rsid w:val="00F5736E"/>
    <w:rsid w:val="00F5787A"/>
    <w:rsid w:val="00F60A0A"/>
    <w:rsid w:val="00F61DEB"/>
    <w:rsid w:val="00F66669"/>
    <w:rsid w:val="00F708E1"/>
    <w:rsid w:val="00F70E4F"/>
    <w:rsid w:val="00F76CD7"/>
    <w:rsid w:val="00F77473"/>
    <w:rsid w:val="00F800D5"/>
    <w:rsid w:val="00F87861"/>
    <w:rsid w:val="00F91123"/>
    <w:rsid w:val="00F91E8D"/>
    <w:rsid w:val="00F93826"/>
    <w:rsid w:val="00F974D5"/>
    <w:rsid w:val="00F97DAE"/>
    <w:rsid w:val="00FA2047"/>
    <w:rsid w:val="00FA6490"/>
    <w:rsid w:val="00FB164A"/>
    <w:rsid w:val="00FB1EDD"/>
    <w:rsid w:val="00FB3554"/>
    <w:rsid w:val="00FB54E9"/>
    <w:rsid w:val="00FB718A"/>
    <w:rsid w:val="00FC26DE"/>
    <w:rsid w:val="00FD138F"/>
    <w:rsid w:val="00FD366D"/>
    <w:rsid w:val="00FD61D3"/>
    <w:rsid w:val="00FD7572"/>
    <w:rsid w:val="00FD7747"/>
    <w:rsid w:val="00FE42AC"/>
    <w:rsid w:val="00FE7C37"/>
    <w:rsid w:val="00FF5698"/>
    <w:rsid w:val="00FF6B16"/>
    <w:rsid w:val="01D93776"/>
    <w:rsid w:val="01F577B9"/>
    <w:rsid w:val="022167D2"/>
    <w:rsid w:val="023545E6"/>
    <w:rsid w:val="02483CA8"/>
    <w:rsid w:val="0259405D"/>
    <w:rsid w:val="02A87A41"/>
    <w:rsid w:val="02C35F1A"/>
    <w:rsid w:val="0543483B"/>
    <w:rsid w:val="054826E6"/>
    <w:rsid w:val="05486BF5"/>
    <w:rsid w:val="055C366D"/>
    <w:rsid w:val="059D0C5B"/>
    <w:rsid w:val="05AA6458"/>
    <w:rsid w:val="05AE0EA7"/>
    <w:rsid w:val="05CB7009"/>
    <w:rsid w:val="06870DAC"/>
    <w:rsid w:val="06922C24"/>
    <w:rsid w:val="06BF4FE7"/>
    <w:rsid w:val="07740842"/>
    <w:rsid w:val="07773497"/>
    <w:rsid w:val="080240DB"/>
    <w:rsid w:val="08BC3F7D"/>
    <w:rsid w:val="09593BE6"/>
    <w:rsid w:val="097B6FF1"/>
    <w:rsid w:val="09DF4FD2"/>
    <w:rsid w:val="0A152E7E"/>
    <w:rsid w:val="0A2D1211"/>
    <w:rsid w:val="0A66188B"/>
    <w:rsid w:val="0A841691"/>
    <w:rsid w:val="0BD71EE3"/>
    <w:rsid w:val="0CE73CE2"/>
    <w:rsid w:val="0E1378E5"/>
    <w:rsid w:val="0E2813BC"/>
    <w:rsid w:val="0E330069"/>
    <w:rsid w:val="0FF22D75"/>
    <w:rsid w:val="101007C5"/>
    <w:rsid w:val="116C0DA5"/>
    <w:rsid w:val="12DD29B7"/>
    <w:rsid w:val="12E74761"/>
    <w:rsid w:val="12F91650"/>
    <w:rsid w:val="136F5708"/>
    <w:rsid w:val="138C04F1"/>
    <w:rsid w:val="139F4C26"/>
    <w:rsid w:val="13EF32B1"/>
    <w:rsid w:val="140677C1"/>
    <w:rsid w:val="14494DA0"/>
    <w:rsid w:val="146F074D"/>
    <w:rsid w:val="152016D6"/>
    <w:rsid w:val="159E1414"/>
    <w:rsid w:val="15C13076"/>
    <w:rsid w:val="16001B5A"/>
    <w:rsid w:val="16142C2C"/>
    <w:rsid w:val="164160AE"/>
    <w:rsid w:val="16F54AFF"/>
    <w:rsid w:val="17C12A54"/>
    <w:rsid w:val="1978453B"/>
    <w:rsid w:val="199961DA"/>
    <w:rsid w:val="1AB766D3"/>
    <w:rsid w:val="1B1E5671"/>
    <w:rsid w:val="1BF251FB"/>
    <w:rsid w:val="1C1E7791"/>
    <w:rsid w:val="1C2C1439"/>
    <w:rsid w:val="1C530D68"/>
    <w:rsid w:val="1C953F06"/>
    <w:rsid w:val="1CDE5D67"/>
    <w:rsid w:val="1D7338A6"/>
    <w:rsid w:val="1E4F567E"/>
    <w:rsid w:val="1F43662E"/>
    <w:rsid w:val="1F85078D"/>
    <w:rsid w:val="203175DD"/>
    <w:rsid w:val="20C22B0F"/>
    <w:rsid w:val="212577C9"/>
    <w:rsid w:val="21E309CC"/>
    <w:rsid w:val="22781FE1"/>
    <w:rsid w:val="228C1924"/>
    <w:rsid w:val="231321D1"/>
    <w:rsid w:val="248C0836"/>
    <w:rsid w:val="26C2123A"/>
    <w:rsid w:val="27192C51"/>
    <w:rsid w:val="27DD580C"/>
    <w:rsid w:val="285F0DD4"/>
    <w:rsid w:val="294F6A51"/>
    <w:rsid w:val="299E51AB"/>
    <w:rsid w:val="2B185B0D"/>
    <w:rsid w:val="2CC422A3"/>
    <w:rsid w:val="2D3F3099"/>
    <w:rsid w:val="2DBE47DC"/>
    <w:rsid w:val="2E5D760A"/>
    <w:rsid w:val="2E997E89"/>
    <w:rsid w:val="2EA02B25"/>
    <w:rsid w:val="2EBB4636"/>
    <w:rsid w:val="30443666"/>
    <w:rsid w:val="304478B7"/>
    <w:rsid w:val="31054673"/>
    <w:rsid w:val="31373757"/>
    <w:rsid w:val="318800B8"/>
    <w:rsid w:val="31A67991"/>
    <w:rsid w:val="327169B3"/>
    <w:rsid w:val="32B413B0"/>
    <w:rsid w:val="32BD5199"/>
    <w:rsid w:val="32DA04F5"/>
    <w:rsid w:val="33525A0A"/>
    <w:rsid w:val="3386387A"/>
    <w:rsid w:val="33984B88"/>
    <w:rsid w:val="33C62097"/>
    <w:rsid w:val="33F6199A"/>
    <w:rsid w:val="34BE693E"/>
    <w:rsid w:val="34DF2DE7"/>
    <w:rsid w:val="3606082A"/>
    <w:rsid w:val="36607940"/>
    <w:rsid w:val="3679122E"/>
    <w:rsid w:val="36E22959"/>
    <w:rsid w:val="37C67B3A"/>
    <w:rsid w:val="38352242"/>
    <w:rsid w:val="38B7769F"/>
    <w:rsid w:val="38E24762"/>
    <w:rsid w:val="38FB076B"/>
    <w:rsid w:val="396C2796"/>
    <w:rsid w:val="3A65734A"/>
    <w:rsid w:val="3AA77AD9"/>
    <w:rsid w:val="3CCF420F"/>
    <w:rsid w:val="3D010241"/>
    <w:rsid w:val="3D6019E2"/>
    <w:rsid w:val="3EA83A40"/>
    <w:rsid w:val="3EBE0E18"/>
    <w:rsid w:val="3F263F12"/>
    <w:rsid w:val="3F6B4D22"/>
    <w:rsid w:val="3F972198"/>
    <w:rsid w:val="404919BE"/>
    <w:rsid w:val="407812DD"/>
    <w:rsid w:val="40865790"/>
    <w:rsid w:val="41BD2E20"/>
    <w:rsid w:val="423C58E6"/>
    <w:rsid w:val="427F06AC"/>
    <w:rsid w:val="42ED2564"/>
    <w:rsid w:val="42F04B90"/>
    <w:rsid w:val="43BC78EC"/>
    <w:rsid w:val="458512A6"/>
    <w:rsid w:val="45EA14EE"/>
    <w:rsid w:val="463B1AAA"/>
    <w:rsid w:val="463F04DF"/>
    <w:rsid w:val="46851492"/>
    <w:rsid w:val="46975AF3"/>
    <w:rsid w:val="46E6270B"/>
    <w:rsid w:val="47174E47"/>
    <w:rsid w:val="474F32D6"/>
    <w:rsid w:val="47772291"/>
    <w:rsid w:val="47C03AAC"/>
    <w:rsid w:val="48DC2BE3"/>
    <w:rsid w:val="493577ED"/>
    <w:rsid w:val="49415DBF"/>
    <w:rsid w:val="49553CAC"/>
    <w:rsid w:val="49632188"/>
    <w:rsid w:val="498F735A"/>
    <w:rsid w:val="49971004"/>
    <w:rsid w:val="4A705D29"/>
    <w:rsid w:val="4AC026BD"/>
    <w:rsid w:val="4B392FD5"/>
    <w:rsid w:val="4BA14D45"/>
    <w:rsid w:val="4BCD0145"/>
    <w:rsid w:val="4CE47A3E"/>
    <w:rsid w:val="4CEB2A43"/>
    <w:rsid w:val="4D2852AE"/>
    <w:rsid w:val="4DAF2B52"/>
    <w:rsid w:val="4DD26988"/>
    <w:rsid w:val="4E41582A"/>
    <w:rsid w:val="4EB77DE7"/>
    <w:rsid w:val="4FBD68F8"/>
    <w:rsid w:val="502A390E"/>
    <w:rsid w:val="505121FE"/>
    <w:rsid w:val="5084796D"/>
    <w:rsid w:val="51560155"/>
    <w:rsid w:val="519B1BA0"/>
    <w:rsid w:val="51DE5599"/>
    <w:rsid w:val="51F77181"/>
    <w:rsid w:val="52621F83"/>
    <w:rsid w:val="53F372ED"/>
    <w:rsid w:val="543F4416"/>
    <w:rsid w:val="54C70160"/>
    <w:rsid w:val="54F619AF"/>
    <w:rsid w:val="54FC014A"/>
    <w:rsid w:val="55233E35"/>
    <w:rsid w:val="55495A6C"/>
    <w:rsid w:val="55597748"/>
    <w:rsid w:val="555C3769"/>
    <w:rsid w:val="572D0997"/>
    <w:rsid w:val="5751077E"/>
    <w:rsid w:val="57E56DE8"/>
    <w:rsid w:val="58210661"/>
    <w:rsid w:val="5948587F"/>
    <w:rsid w:val="597A0CF9"/>
    <w:rsid w:val="5A992B2C"/>
    <w:rsid w:val="5AFB1B92"/>
    <w:rsid w:val="5B047FE2"/>
    <w:rsid w:val="5B5271CD"/>
    <w:rsid w:val="5C54349C"/>
    <w:rsid w:val="5C7239E0"/>
    <w:rsid w:val="5C9725E4"/>
    <w:rsid w:val="5CF46AC5"/>
    <w:rsid w:val="5D365FD4"/>
    <w:rsid w:val="5D491E3A"/>
    <w:rsid w:val="5D94403E"/>
    <w:rsid w:val="5DF83CD8"/>
    <w:rsid w:val="5E180D90"/>
    <w:rsid w:val="5E1E0ACC"/>
    <w:rsid w:val="5E492213"/>
    <w:rsid w:val="5E527EC3"/>
    <w:rsid w:val="5E665441"/>
    <w:rsid w:val="5F296C2A"/>
    <w:rsid w:val="5FB64157"/>
    <w:rsid w:val="5FEC0957"/>
    <w:rsid w:val="60145E67"/>
    <w:rsid w:val="614B4BC0"/>
    <w:rsid w:val="616D01B4"/>
    <w:rsid w:val="61B131C8"/>
    <w:rsid w:val="62674E7A"/>
    <w:rsid w:val="628711C7"/>
    <w:rsid w:val="62A5476F"/>
    <w:rsid w:val="62B3538F"/>
    <w:rsid w:val="62B40821"/>
    <w:rsid w:val="63711198"/>
    <w:rsid w:val="63D66457"/>
    <w:rsid w:val="6409526A"/>
    <w:rsid w:val="645D6907"/>
    <w:rsid w:val="64DA4F14"/>
    <w:rsid w:val="65233802"/>
    <w:rsid w:val="66A1426F"/>
    <w:rsid w:val="672512E6"/>
    <w:rsid w:val="672D4C66"/>
    <w:rsid w:val="677231B7"/>
    <w:rsid w:val="687B1AC6"/>
    <w:rsid w:val="689451EC"/>
    <w:rsid w:val="689F0630"/>
    <w:rsid w:val="699E3128"/>
    <w:rsid w:val="69AB3883"/>
    <w:rsid w:val="6A511A1B"/>
    <w:rsid w:val="6B242E96"/>
    <w:rsid w:val="6B391AB4"/>
    <w:rsid w:val="6B6443A0"/>
    <w:rsid w:val="6BC46FCF"/>
    <w:rsid w:val="6BE03119"/>
    <w:rsid w:val="6D394FFA"/>
    <w:rsid w:val="6D5C3B68"/>
    <w:rsid w:val="6E4861B3"/>
    <w:rsid w:val="6ED40A7D"/>
    <w:rsid w:val="6F0408C9"/>
    <w:rsid w:val="6F9F5752"/>
    <w:rsid w:val="6FEA13A8"/>
    <w:rsid w:val="6FF4258B"/>
    <w:rsid w:val="70225701"/>
    <w:rsid w:val="702F63A9"/>
    <w:rsid w:val="70E24EF9"/>
    <w:rsid w:val="71FE3A25"/>
    <w:rsid w:val="72176D98"/>
    <w:rsid w:val="72484353"/>
    <w:rsid w:val="734E035F"/>
    <w:rsid w:val="73E2393B"/>
    <w:rsid w:val="73EC233E"/>
    <w:rsid w:val="74394A4C"/>
    <w:rsid w:val="77FB607A"/>
    <w:rsid w:val="780A2C9F"/>
    <w:rsid w:val="783D79A3"/>
    <w:rsid w:val="78664122"/>
    <w:rsid w:val="791B706C"/>
    <w:rsid w:val="79B96A83"/>
    <w:rsid w:val="79C66977"/>
    <w:rsid w:val="7ADE77A7"/>
    <w:rsid w:val="7B5E4B72"/>
    <w:rsid w:val="7B5F5E64"/>
    <w:rsid w:val="7B8C3430"/>
    <w:rsid w:val="7BB74F57"/>
    <w:rsid w:val="7C1A111F"/>
    <w:rsid w:val="7CCE4378"/>
    <w:rsid w:val="7CD27F73"/>
    <w:rsid w:val="7D670B73"/>
    <w:rsid w:val="7D6A7849"/>
    <w:rsid w:val="7D9A3483"/>
    <w:rsid w:val="7DA63861"/>
    <w:rsid w:val="7E1A5D65"/>
    <w:rsid w:val="7E3E49D2"/>
    <w:rsid w:val="7E7E2A4A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0" w:semiHidden="0" w:name="Emphasis" w:locked="1"/>
    <w:lsdException w:qFormat="1"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ascii="Times New Roman" w:hAnsi="Times New Roman" w:eastAsia="黑体" w:cs="Times New Roman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Document Map"/>
    <w:basedOn w:val="1"/>
    <w:link w:val="28"/>
    <w:semiHidden/>
    <w:unhideWhenUsed/>
    <w:qFormat/>
    <w:uiPriority w:val="99"/>
    <w:rPr>
      <w:rFonts w:ascii="宋体"/>
      <w:sz w:val="18"/>
      <w:szCs w:val="18"/>
    </w:rPr>
  </w:style>
  <w:style w:type="paragraph" w:styleId="5">
    <w:name w:val="toc 3"/>
    <w:basedOn w:val="1"/>
    <w:next w:val="1"/>
    <w:qFormat/>
    <w:locked/>
    <w:uiPriority w:val="39"/>
    <w:pPr>
      <w:ind w:left="840" w:leftChars="400"/>
    </w:pPr>
  </w:style>
  <w:style w:type="paragraph" w:styleId="6">
    <w:name w:val="Balloon Text"/>
    <w:basedOn w:val="1"/>
    <w:link w:val="19"/>
    <w:semiHidden/>
    <w:qFormat/>
    <w:uiPriority w:val="99"/>
    <w:rPr>
      <w:rFonts w:ascii="Times New Roman" w:hAnsi="Times New Roman" w:cs="Times New Roman"/>
      <w:kern w:val="0"/>
      <w:sz w:val="18"/>
      <w:szCs w:val="18"/>
    </w:rPr>
  </w:style>
  <w:style w:type="paragraph" w:styleId="7">
    <w:name w:val="footer"/>
    <w:basedOn w:val="1"/>
    <w:link w:val="20"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Times New Roman" w:hAnsi="Times New Roman" w:cs="Times New Roman"/>
      <w:kern w:val="0"/>
      <w:sz w:val="18"/>
      <w:szCs w:val="18"/>
    </w:rPr>
  </w:style>
  <w:style w:type="paragraph" w:styleId="8">
    <w:name w:val="header"/>
    <w:basedOn w:val="1"/>
    <w:link w:val="21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Times New Roman" w:hAnsi="Times New Roman" w:cs="Times New Roman"/>
      <w:kern w:val="0"/>
      <w:sz w:val="18"/>
      <w:szCs w:val="18"/>
    </w:rPr>
  </w:style>
  <w:style w:type="paragraph" w:styleId="9">
    <w:name w:val="toc 1"/>
    <w:basedOn w:val="1"/>
    <w:next w:val="1"/>
    <w:qFormat/>
    <w:uiPriority w:val="3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2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qFormat/>
    <w:uiPriority w:val="39"/>
    <w:pPr>
      <w:tabs>
        <w:tab w:val="right" w:leader="dot" w:pos="9170"/>
      </w:tabs>
      <w:spacing w:line="360" w:lineRule="auto"/>
      <w:ind w:left="210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22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标题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标题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批注框文本 Char"/>
    <w:basedOn w:val="14"/>
    <w:link w:val="6"/>
    <w:semiHidden/>
    <w:qFormat/>
    <w:locked/>
    <w:uiPriority w:val="99"/>
    <w:rPr>
      <w:sz w:val="18"/>
      <w:szCs w:val="18"/>
    </w:rPr>
  </w:style>
  <w:style w:type="character" w:customStyle="1" w:styleId="20">
    <w:name w:val="页脚 Char"/>
    <w:basedOn w:val="14"/>
    <w:link w:val="7"/>
    <w:qFormat/>
    <w:locked/>
    <w:uiPriority w:val="99"/>
    <w:rPr>
      <w:sz w:val="18"/>
      <w:szCs w:val="18"/>
    </w:rPr>
  </w:style>
  <w:style w:type="character" w:customStyle="1" w:styleId="21">
    <w:name w:val="页眉 Char"/>
    <w:basedOn w:val="14"/>
    <w:link w:val="8"/>
    <w:qFormat/>
    <w:locked/>
    <w:uiPriority w:val="99"/>
    <w:rPr>
      <w:sz w:val="18"/>
      <w:szCs w:val="18"/>
    </w:rPr>
  </w:style>
  <w:style w:type="character" w:customStyle="1" w:styleId="22">
    <w:name w:val="副标题 Char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3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  <w:style w:type="character" w:customStyle="1" w:styleId="24">
    <w:name w:val="txt4"/>
    <w:basedOn w:val="14"/>
    <w:qFormat/>
    <w:uiPriority w:val="99"/>
  </w:style>
  <w:style w:type="paragraph" w:customStyle="1" w:styleId="25">
    <w:name w:val="TOC 标题1"/>
    <w:basedOn w:val="2"/>
    <w:next w:val="1"/>
    <w:qFormat/>
    <w:uiPriority w:val="99"/>
    <w:pPr>
      <w:widowControl/>
      <w:spacing w:before="480" w:after="0" w:line="276" w:lineRule="auto"/>
      <w:jc w:val="left"/>
      <w:outlineLvl w:val="9"/>
    </w:pPr>
    <w:rPr>
      <w:rFonts w:ascii="Cambria" w:hAnsi="Cambria" w:eastAsia="宋体" w:cs="Cambria"/>
      <w:color w:val="365F91"/>
      <w:kern w:val="0"/>
      <w:sz w:val="28"/>
      <w:szCs w:val="28"/>
    </w:rPr>
  </w:style>
  <w:style w:type="paragraph" w:customStyle="1" w:styleId="26">
    <w:name w:val="列出段落1"/>
    <w:basedOn w:val="1"/>
    <w:qFormat/>
    <w:uiPriority w:val="99"/>
    <w:pPr>
      <w:ind w:firstLine="420" w:firstLineChars="200"/>
    </w:pPr>
  </w:style>
  <w:style w:type="character" w:customStyle="1" w:styleId="27">
    <w:name w:val="apple-converted-space"/>
    <w:basedOn w:val="14"/>
    <w:qFormat/>
    <w:uiPriority w:val="0"/>
  </w:style>
  <w:style w:type="character" w:customStyle="1" w:styleId="28">
    <w:name w:val="文档结构图 Char"/>
    <w:basedOn w:val="14"/>
    <w:link w:val="4"/>
    <w:semiHidden/>
    <w:qFormat/>
    <w:uiPriority w:val="99"/>
    <w:rPr>
      <w:rFonts w:ascii="宋体" w:hAnsi="Calibri" w:cs="Calibri"/>
      <w:kern w:val="2"/>
      <w:sz w:val="18"/>
      <w:szCs w:val="18"/>
    </w:rPr>
  </w:style>
  <w:style w:type="paragraph" w:styleId="29">
    <w:name w:val="No Spacing"/>
    <w:link w:val="30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30">
    <w:name w:val="无间隔 Char"/>
    <w:basedOn w:val="14"/>
    <w:link w:val="29"/>
    <w:qFormat/>
    <w:uiPriority w:val="1"/>
    <w:rPr>
      <w:rFonts w:asciiTheme="minorHAnsi" w:hAnsiTheme="minorHAnsi" w:eastAsiaTheme="minorEastAsia" w:cstheme="minorBidi"/>
      <w:sz w:val="22"/>
      <w:szCs w:val="22"/>
    </w:rPr>
  </w:style>
  <w:style w:type="paragraph" w:styleId="31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8"/>
    <customShpInfo spid="_x0000_s1029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11</Pages>
  <Words>745</Words>
  <Characters>4249</Characters>
  <Lines>35</Lines>
  <Paragraphs>9</Paragraphs>
  <TotalTime>15</TotalTime>
  <ScaleCrop>false</ScaleCrop>
  <LinksUpToDate>false</LinksUpToDate>
  <CharactersWithSpaces>4985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2018-07-12T05:18:00Z</dcterms:created>
  <dc:creator>AutoBVT</dc:creator>
  <cp:lastModifiedBy>° 胡先生</cp:lastModifiedBy>
  <dcterms:modified xsi:type="dcterms:W3CDTF">2019-10-11T08:51:55Z</dcterms:modified>
  <cp:revision>358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