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cs="Times New Roman"/>
        </w:rPr>
      </w:pPr>
      <w:bookmarkStart w:id="0" w:name="_Toc485828985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-1300480</wp:posOffset>
            </wp:positionV>
            <wp:extent cx="7644765" cy="10696575"/>
            <wp:effectExtent l="19050" t="0" r="0" b="0"/>
            <wp:wrapNone/>
            <wp:docPr id="3" name="图片 1" descr="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封面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476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cs="Times New Roman"/>
        </w:rPr>
      </w:pPr>
      <w:r>
        <w:pict>
          <v:shape id="文本框 2" o:spid="_x0000_s1028" o:spt="202" type="#_x0000_t202" style="position:absolute;left:0pt;margin-left:36.9pt;margin-top:586.45pt;height:110.7pt;width:419.1pt;z-index: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3"/>
                    <w:rPr>
                      <w:rFonts w:ascii="黑体" w:hAnsi="宋体" w:eastAsia="黑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责任编辑：庞浩明思</w:t>
                  </w:r>
                </w:p>
                <w:p>
                  <w:pPr>
                    <w:pStyle w:val="23"/>
                    <w:rPr>
                      <w:rFonts w:ascii="黑体" w:hAnsi="宋体" w:eastAsia="黑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电话：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18513790720</w:t>
                  </w:r>
                </w:p>
                <w:p>
                  <w:pPr>
                    <w:pStyle w:val="23"/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传真：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86-010-85725399</w:t>
                  </w:r>
                </w:p>
                <w:p>
                  <w:pPr>
                    <w:pStyle w:val="23"/>
                    <w:rPr>
                      <w:rFonts w:ascii="黑体" w:hAnsi="宋体" w:eastAsia="黑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编辑邮箱：</w:t>
                  </w:r>
                  <w:r>
                    <w:fldChar w:fldCharType="begin"/>
                  </w:r>
                  <w:r>
                    <w:instrText xml:space="preserve"> HYPERLINK "mailto:hljbsc2017zsw@163.com"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ascii="黑体" w:hAnsi="宋体" w:eastAsia="黑体" w:cs="黑体"/>
                      <w:color w:val="auto"/>
                      <w:kern w:val="2"/>
                      <w:sz w:val="24"/>
                      <w:szCs w:val="24"/>
                      <w:u w:val="none"/>
                      <w:lang w:eastAsia="zh-CN"/>
                    </w:rPr>
                    <w:t>hljbsc2017zsw@163.com</w:t>
                  </w:r>
                  <w:r>
                    <w:rPr>
                      <w:rStyle w:val="16"/>
                      <w:rFonts w:ascii="黑体" w:hAnsi="宋体" w:eastAsia="黑体" w:cs="黑体"/>
                      <w:color w:val="auto"/>
                      <w:kern w:val="2"/>
                      <w:sz w:val="24"/>
                      <w:szCs w:val="24"/>
                      <w:u w:val="none"/>
                      <w:lang w:eastAsia="zh-CN"/>
                    </w:rPr>
                    <w:fldChar w:fldCharType="end"/>
                  </w:r>
                </w:p>
                <w:p>
                  <w:pPr>
                    <w:pStyle w:val="23"/>
                    <w:rPr>
                      <w:rFonts w:ascii="黑体" w:hAnsi="宋体" w:eastAsia="黑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地址：北京市朝阳区高碑店东区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B</w:t>
                  </w: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区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 xml:space="preserve">8-1 </w:t>
                  </w:r>
                  <w:r>
                    <w:rPr>
                      <w:rFonts w:hint="eastAsia"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邮编：</w:t>
                  </w:r>
                  <w:r>
                    <w:rPr>
                      <w:rFonts w:ascii="黑体" w:hAnsi="宋体" w:eastAsia="黑体" w:cs="黑体"/>
                      <w:kern w:val="2"/>
                      <w:sz w:val="24"/>
                      <w:szCs w:val="24"/>
                      <w:lang w:eastAsia="zh-CN"/>
                    </w:rPr>
                    <w:t>100022</w:t>
                  </w:r>
                </w:p>
                <w:p>
                  <w:pPr>
                    <w:jc w:val="left"/>
                    <w:rPr>
                      <w:rFonts w:cs="Times New Roman"/>
                    </w:rPr>
                  </w:pPr>
                </w:p>
                <w:p>
                  <w:pPr>
                    <w:jc w:val="lef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pict>
          <v:shape id="文本框 3" o:spid="_x0000_s1029" o:spt="202" type="#_x0000_t202" style="position:absolute;left:0pt;margin-left:175.45pt;margin-top:490.7pt;height:54.1pt;width:126.6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default" w:eastAsia="黑体"/>
                      <w:lang w:val="en-US" w:eastAsia="zh-CN"/>
                    </w:rPr>
                  </w:pPr>
                  <w:bookmarkStart w:id="476" w:name="_Toc485828984"/>
                  <w:bookmarkStart w:id="477" w:name="_Toc485981320"/>
                  <w:bookmarkStart w:id="478" w:name="_Toc13217629"/>
                  <w:r>
                    <w:rPr>
                      <w:kern w:val="2"/>
                    </w:rPr>
                    <w:t>201</w:t>
                  </w:r>
                  <w:r>
                    <w:rPr>
                      <w:rFonts w:hint="eastAsia"/>
                      <w:kern w:val="2"/>
                    </w:rPr>
                    <w:t>9</w:t>
                  </w:r>
                  <w:r>
                    <w:rPr>
                      <w:kern w:val="2"/>
                    </w:rPr>
                    <w:t>.</w:t>
                  </w:r>
                  <w:bookmarkEnd w:id="476"/>
                  <w:bookmarkEnd w:id="477"/>
                  <w:r>
                    <w:rPr>
                      <w:rFonts w:hint="eastAsia"/>
                      <w:kern w:val="2"/>
                      <w:lang w:val="en-US" w:eastAsia="zh-CN"/>
                    </w:rPr>
                    <w:t>10</w:t>
                  </w:r>
                  <w:r>
                    <w:rPr>
                      <w:rFonts w:hint="eastAsia"/>
                      <w:kern w:val="2"/>
                    </w:rPr>
                    <w:t>.</w:t>
                  </w:r>
                  <w:bookmarkEnd w:id="478"/>
                  <w:r>
                    <w:rPr>
                      <w:rFonts w:hint="eastAsia"/>
                      <w:kern w:val="2"/>
                      <w:lang w:val="en-US" w:eastAsia="zh-CN"/>
                    </w:rPr>
                    <w:t>25</w:t>
                  </w:r>
                </w:p>
              </w:txbxContent>
            </v:textbox>
          </v:shape>
        </w:pict>
      </w:r>
      <w:r>
        <w:rPr>
          <w:rFonts w:cs="Times New Roman"/>
        </w:rPr>
        <w:br w:type="page"/>
      </w:r>
      <w:r>
        <w:rPr>
          <w:rFonts w:ascii="Times New Roman" w:eastAsia="黑体"/>
          <w:sz w:val="32"/>
          <w:szCs w:val="32"/>
        </w:rPr>
        <w:pict>
          <v:shape id="_x0000_s1030" o:spid="_x0000_s1030" o:spt="202" type="#_x0000_t202" style="position:absolute;left:0pt;margin-left:-0.9pt;margin-top:34.7pt;height:565.3pt;width:492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3"/>
                    <w:spacing w:line="240" w:lineRule="auto"/>
                    <w:jc w:val="center"/>
                    <w:outlineLvl w:val="0"/>
                    <w:rPr>
                      <w:rFonts w:ascii="宋体" w:cs="Times New Roman"/>
                      <w:b/>
                      <w:bCs/>
                      <w:color w:val="000080"/>
                      <w:sz w:val="28"/>
                      <w:szCs w:val="28"/>
                      <w:lang w:eastAsia="zh-CN"/>
                    </w:rPr>
                  </w:pPr>
                  <w:bookmarkStart w:id="479" w:name="_Toc13217630"/>
                  <w:r>
                    <w:rPr>
                      <w:rFonts w:hint="eastAsia" w:ascii="宋体" w:hAnsi="宋体" w:cs="宋体"/>
                      <w:b/>
                      <w:bCs/>
                      <w:color w:val="000080"/>
                      <w:sz w:val="28"/>
                      <w:szCs w:val="28"/>
                      <w:lang w:eastAsia="zh-CN"/>
                    </w:rPr>
                    <w:t>氯碱市场周报目录</w:t>
                  </w:r>
                  <w:bookmarkEnd w:id="479"/>
                  <w:r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ab/>
                  </w:r>
                  <w:r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ab/>
                  </w:r>
                </w:p>
                <w:p>
                  <w:pPr>
                    <w:pStyle w:val="9"/>
                    <w:rPr>
                      <w:rFonts w:asciiTheme="minorHAnsi" w:hAnsiTheme="minorHAnsi" w:eastAsiaTheme="minorEastAsia" w:cstheme="minorBidi"/>
                      <w:b w:val="0"/>
                      <w:bCs w:val="0"/>
                      <w: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TOC \o "1-3" \h \z \u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HYPERLINK "file:///C:\\Users\\Administrator.USER-20170424GR\\Desktop\\我之前\\周报\\周报\\氯碱.docx" \l "_Toc13217629" </w:instrText>
                  </w:r>
                  <w:r>
                    <w:fldChar w:fldCharType="separate"/>
                  </w:r>
                  <w:r>
                    <w:rPr>
                      <w:rStyle w:val="16"/>
                    </w:rPr>
                    <w:t>2019.</w:t>
                  </w:r>
                  <w:r>
                    <w:rPr>
                      <w:rStyle w:val="16"/>
                      <w:rFonts w:hint="eastAsia"/>
                      <w:lang w:val="en-US" w:eastAsia="zh-CN"/>
                    </w:rPr>
                    <w:t>10</w:t>
                  </w:r>
                  <w:r>
                    <w:rPr>
                      <w:rStyle w:val="16"/>
                    </w:rPr>
                    <w:t>.</w:t>
                  </w:r>
                  <w:r>
                    <w:rPr>
                      <w:rStyle w:val="16"/>
                      <w:rFonts w:hint="eastAsia"/>
                      <w:lang w:val="en-US" w:eastAsia="zh-CN"/>
                    </w:rPr>
                    <w:t>25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_Toc13217629 \h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9"/>
                    <w:rPr>
                      <w:rFonts w:asciiTheme="minorHAnsi" w:hAnsiTheme="minorHAnsi" w:eastAsiaTheme="minorEastAsia" w:cstheme="minorBidi"/>
                      <w:b w:val="0"/>
                      <w:bCs w:val="0"/>
                      <w: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"file:///C:\\Users\\Administrator.USER-20170424GR\\Desktop\\我之前\\周报\\周报\\氯碱.docx" \l "_Toc13217630"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/>
                    </w:rPr>
                    <w:t>氯碱市场周报目录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_Toc13217630 \h 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9"/>
                    <w:rPr>
                      <w:rFonts w:asciiTheme="minorHAnsi" w:hAnsiTheme="minorHAnsi" w:eastAsiaTheme="minorEastAsia" w:cstheme="minorBidi"/>
                      <w:b w:val="0"/>
                      <w:bCs w:val="0"/>
                      <w: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"_Toc13217631"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cs="黑体"/>
                    </w:rPr>
                    <w:t>纯碱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_Toc13217631 \h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"_Toc13217632"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评述：本周纯碱市场评述及行情预测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_Toc13217632 \h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"_Toc13217633"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  <w:kern w:val="0"/>
                    </w:rPr>
                    <w:t>一、纯碱市场一周综述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_Toc13217633 \h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"_Toc13217634"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二、 影响市场因素及后市预测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_Toc13217634 \h </w:instrText>
                  </w:r>
                  <w:r>
                    <w:fldChar w:fldCharType="separate"/>
                  </w:r>
                  <w:r>
                    <w:t>4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5"/>
                    <w:tabs>
                      <w:tab w:val="right" w:leader="dot" w:pos="8494"/>
                    </w:tabs>
                    <w:rPr>
                      <w:rFonts w:asciiTheme="minorHAnsi" w:hAnsiTheme="minorHAnsi" w:eastAsiaTheme="minorEastAsia" w:cstheme="minorBidi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"_Toc13217635"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/>
                      <w:b/>
                      <w:bCs/>
                    </w:rPr>
                    <w:t>本周国内纯碱市场价格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_Toc13217635 \h 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9"/>
                    <w:rPr>
                      <w:rFonts w:asciiTheme="minorHAnsi" w:hAnsiTheme="minorHAnsi" w:eastAsiaTheme="minorEastAsia" w:cstheme="minorBidi"/>
                      <w:b w:val="0"/>
                      <w:bCs w:val="0"/>
                      <w: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"_Toc13217636"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cs="黑体"/>
                    </w:rPr>
                    <w:t>烧碱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_Toc13217636 \h 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"_Toc13217637"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中国烧碱市场行情综述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_Toc13217637 \h 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tabs>
                      <w:tab w:val="left" w:pos="1050"/>
                    </w:tabs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"_Toc13217638"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一、</w:t>
                  </w:r>
                  <w:r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  <w:tab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市场综述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_Toc13217638 \h 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"_Toc13217639"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/>
                    </w:rPr>
                    <w:t>二、价格方面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_Toc13217639 \h 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5"/>
                    <w:tabs>
                      <w:tab w:val="right" w:leader="dot" w:pos="8494"/>
                    </w:tabs>
                    <w:rPr>
                      <w:rFonts w:asciiTheme="minorHAnsi" w:hAnsiTheme="minorHAnsi" w:eastAsiaTheme="minorEastAsia" w:cstheme="minorBidi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"_Toc13217640"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/>
                      <w:b/>
                      <w:bCs/>
                    </w:rPr>
                    <w:t>本周国内片碱实际成交周汇总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_Toc13217640 \h </w:instrText>
                  </w:r>
                  <w:r>
                    <w:fldChar w:fldCharType="separate"/>
                  </w:r>
                  <w:r>
                    <w:t>7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9"/>
                    <w:rPr>
                      <w:rFonts w:asciiTheme="minorHAnsi" w:hAnsiTheme="minorHAnsi" w:eastAsiaTheme="minorEastAsia" w:cstheme="minorBidi"/>
                      <w:b w:val="0"/>
                      <w:bCs w:val="0"/>
                      <w: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"_Toc13217641"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cs="黑体"/>
                    </w:rPr>
                    <w:t>液氯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_Toc13217641 \h 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"_Toc13217642"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评述：本周国内液氯市场评述及行情预测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_Toc13217642 \h 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"_Toc13217643"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一、中国液氯市场行情综述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_Toc13217643 \h </w:instrText>
                  </w:r>
                  <w:r>
                    <w:fldChar w:fldCharType="separate"/>
                  </w:r>
                  <w:r>
                    <w:t>8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"_Toc13217644"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二、市场价格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_Toc13217644 \h 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"_Toc13217645"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三、山东市场分析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_Toc13217645 \h </w:instrText>
                  </w:r>
                  <w:r>
                    <w:fldChar w:fldCharType="separate"/>
                  </w:r>
                  <w:r>
                    <w:t>9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11"/>
                    <w:rPr>
                      <w:rFonts w:asciiTheme="minorHAnsi" w:hAnsiTheme="minorHAnsi" w:eastAsiaTheme="minorEastAsia" w:cstheme="minorBidi"/>
                      <w:b w:val="0"/>
                      <w:bCs w:val="0"/>
                      <w:smallCaps w:val="0"/>
                      <w:color w:val="auto"/>
                      <w:sz w:val="21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"_Toc13217646"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 w:ascii="黑体" w:hAnsi="黑体" w:eastAsia="黑体" w:cs="黑体"/>
                    </w:rPr>
                    <w:t>四、后市分析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_Toc13217646 \h 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5"/>
                    <w:tabs>
                      <w:tab w:val="right" w:leader="dot" w:pos="8494"/>
                    </w:tabs>
                    <w:rPr>
                      <w:rFonts w:asciiTheme="minorHAnsi" w:hAnsiTheme="minorHAnsi" w:eastAsiaTheme="minorEastAsia" w:cstheme="minorBidi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\l "_Toc13217647" </w:instrText>
                  </w:r>
                  <w:r>
                    <w:fldChar w:fldCharType="separate"/>
                  </w:r>
                  <w:r>
                    <w:rPr>
                      <w:rStyle w:val="16"/>
                      <w:rFonts w:hint="eastAsia"/>
                      <w:b/>
                      <w:bCs/>
                    </w:rPr>
                    <w:t>国内地区市场价格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_Toc13217647 \h </w:instrText>
                  </w:r>
                  <w:r>
                    <w:fldChar w:fldCharType="separate"/>
                  </w:r>
                  <w:r>
                    <w:t>10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rPr>
                      <w:rFonts w:cs="Times New Roman"/>
                    </w:rPr>
                  </w:pPr>
                  <w:r>
                    <w:fldChar w:fldCharType="end"/>
                  </w:r>
                </w:p>
              </w:txbxContent>
            </v:textbox>
          </v:shape>
        </w:pict>
      </w:r>
      <w:r>
        <w:br w:type="page"/>
      </w:r>
      <w:bookmarkEnd w:id="0"/>
    </w:p>
    <w:p>
      <w:pPr>
        <w:pStyle w:val="2"/>
        <w:spacing w:line="400" w:lineRule="exact"/>
        <w:jc w:val="center"/>
        <w:rPr>
          <w:rStyle w:val="24"/>
          <w:color w:val="auto"/>
          <w:highlight w:val="none"/>
        </w:rPr>
      </w:pPr>
      <w:bookmarkStart w:id="1" w:name="_Toc534915165"/>
      <w:bookmarkStart w:id="2" w:name="_Toc527101790"/>
      <w:bookmarkStart w:id="3" w:name="_Toc532564260"/>
      <w:bookmarkStart w:id="4" w:name="_Toc519848557"/>
      <w:bookmarkStart w:id="5" w:name="_Toc518031999"/>
      <w:bookmarkStart w:id="6" w:name="_Toc9583952"/>
      <w:bookmarkStart w:id="7" w:name="_Toc13217631"/>
      <w:bookmarkStart w:id="8" w:name="_Toc12609903"/>
      <w:bookmarkStart w:id="9" w:name="_Toc522870760"/>
      <w:bookmarkStart w:id="10" w:name="_Toc525306463"/>
      <w:bookmarkStart w:id="11" w:name="_Toc485981321"/>
      <w:bookmarkStart w:id="12" w:name="_Toc524701464"/>
      <w:bookmarkStart w:id="13" w:name="_Toc392240276"/>
      <w:bookmarkStart w:id="14" w:name="_Toc533149330"/>
      <w:bookmarkStart w:id="15" w:name="_Toc521057601"/>
      <w:bookmarkStart w:id="16" w:name="_Toc530750139"/>
      <w:bookmarkStart w:id="17" w:name="_Toc4654028"/>
      <w:bookmarkStart w:id="18" w:name="_Toc10202308"/>
      <w:bookmarkStart w:id="19" w:name="_Toc536540307"/>
      <w:bookmarkStart w:id="20" w:name="_Toc9597659"/>
      <w:bookmarkStart w:id="21" w:name="_Toc4139106"/>
      <w:bookmarkStart w:id="22" w:name="_Toc534378400"/>
      <w:bookmarkStart w:id="23" w:name="_Toc529526325"/>
      <w:bookmarkStart w:id="24" w:name="_Toc524091681"/>
      <w:bookmarkStart w:id="25" w:name="_Toc532564037"/>
      <w:bookmarkStart w:id="26" w:name="_Toc521660547"/>
      <w:bookmarkStart w:id="27" w:name="_Toc517425038"/>
      <w:bookmarkStart w:id="28" w:name="_Toc522870751"/>
      <w:bookmarkStart w:id="29" w:name="_Toc525306474"/>
      <w:bookmarkStart w:id="30" w:name="_Toc1739294"/>
      <w:bookmarkStart w:id="31" w:name="_Toc528919986"/>
      <w:bookmarkStart w:id="32" w:name="_Toc536198167"/>
      <w:bookmarkStart w:id="33" w:name="_Toc1139285"/>
      <w:bookmarkStart w:id="34" w:name="_Toc525289546"/>
      <w:bookmarkStart w:id="35" w:name="_Toc8991653"/>
      <w:bookmarkStart w:id="36" w:name="_Toc535588708"/>
      <w:bookmarkStart w:id="37" w:name="_Toc8313133"/>
      <w:bookmarkStart w:id="38" w:name="_Toc536541137"/>
      <w:bookmarkStart w:id="39" w:name="_Toc525912526"/>
      <w:bookmarkStart w:id="40" w:name="_Toc528329956"/>
      <w:bookmarkStart w:id="41" w:name="_Toc530128349"/>
      <w:bookmarkStart w:id="42" w:name="_Toc8378815"/>
      <w:bookmarkStart w:id="43" w:name="_Toc4596891"/>
      <w:bookmarkStart w:id="44" w:name="_Toc513127190"/>
      <w:bookmarkStart w:id="45" w:name="_Toc532564063"/>
      <w:bookmarkStart w:id="46" w:name="_Toc528930993"/>
      <w:bookmarkStart w:id="47" w:name="_Toc522870745"/>
      <w:bookmarkStart w:id="48" w:name="_Toc518638259"/>
      <w:bookmarkStart w:id="49" w:name="_Toc1035930"/>
      <w:bookmarkStart w:id="50" w:name="_Toc522259764"/>
      <w:bookmarkStart w:id="51" w:name="_Toc531954272"/>
      <w:bookmarkStart w:id="52" w:name="_Toc516234897"/>
      <w:bookmarkStart w:id="53" w:name="_Toc520465076"/>
      <w:bookmarkStart w:id="54" w:name="_Toc522870769"/>
      <w:bookmarkStart w:id="55" w:name="_Toc4767063"/>
      <w:bookmarkStart w:id="56" w:name="_Toc516234891"/>
      <w:bookmarkStart w:id="57" w:name="_Toc515610373"/>
      <w:bookmarkStart w:id="58" w:name="_Toc522280054"/>
      <w:bookmarkStart w:id="59" w:name="_Toc536789785"/>
      <w:bookmarkStart w:id="60" w:name="_Toc1394100"/>
      <w:bookmarkStart w:id="61" w:name="_Toc516839084"/>
      <w:bookmarkStart w:id="62" w:name="_Toc527705000"/>
      <w:bookmarkStart w:id="63" w:name="_Toc511390005"/>
      <w:bookmarkStart w:id="64" w:name="_Toc300238840"/>
      <w:r>
        <w:rPr>
          <w:rFonts w:hint="eastAsia" w:cs="黑体"/>
          <w:color w:val="auto"/>
          <w:highlight w:val="none"/>
        </w:rPr>
        <w:t>纯碱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Start w:id="65" w:name="_Toc392240277"/>
      <w:bookmarkStart w:id="66" w:name="_Toc485981322"/>
    </w:p>
    <w:p>
      <w:pPr>
        <w:pStyle w:val="3"/>
        <w:snapToGrid w:val="0"/>
        <w:spacing w:before="0" w:after="0" w:line="400" w:lineRule="exact"/>
        <w:ind w:right="-145" w:rightChars="-69" w:firstLine="602" w:firstLineChars="200"/>
        <w:rPr>
          <w:rStyle w:val="24"/>
          <w:rFonts w:ascii="黑体" w:hAnsi="黑体" w:eastAsia="黑体" w:cs="黑体"/>
          <w:sz w:val="30"/>
          <w:szCs w:val="30"/>
          <w:highlight w:val="none"/>
        </w:rPr>
      </w:pPr>
      <w:bookmarkStart w:id="67" w:name="_Toc521660548"/>
      <w:bookmarkStart w:id="68" w:name="_Toc516234898"/>
      <w:bookmarkStart w:id="69" w:name="_Toc536541138"/>
      <w:bookmarkStart w:id="70" w:name="_Toc531954273"/>
      <w:bookmarkStart w:id="71" w:name="_Toc534915166"/>
      <w:bookmarkStart w:id="72" w:name="_Toc530128350"/>
      <w:bookmarkStart w:id="73" w:name="_Toc528329957"/>
      <w:bookmarkStart w:id="74" w:name="_Toc4654029"/>
      <w:bookmarkStart w:id="75" w:name="_Toc527101791"/>
      <w:bookmarkStart w:id="76" w:name="_Toc525912527"/>
      <w:bookmarkStart w:id="77" w:name="_Toc534378401"/>
      <w:bookmarkStart w:id="78" w:name="_Toc532564038"/>
      <w:bookmarkStart w:id="79" w:name="_Toc532564261"/>
      <w:bookmarkStart w:id="80" w:name="_Toc536789786"/>
      <w:bookmarkStart w:id="81" w:name="_Toc522259765"/>
      <w:bookmarkStart w:id="82" w:name="_Toc524701465"/>
      <w:bookmarkStart w:id="83" w:name="_Toc1139286"/>
      <w:bookmarkStart w:id="84" w:name="_Toc511390006"/>
      <w:bookmarkStart w:id="85" w:name="_Toc1739295"/>
      <w:bookmarkStart w:id="86" w:name="_Toc525306475"/>
      <w:bookmarkStart w:id="87" w:name="_Toc528919987"/>
      <w:bookmarkStart w:id="88" w:name="_Toc516234892"/>
      <w:bookmarkStart w:id="89" w:name="_Toc522870752"/>
      <w:bookmarkStart w:id="90" w:name="_Toc520465077"/>
      <w:bookmarkStart w:id="91" w:name="_Toc521057602"/>
      <w:bookmarkStart w:id="92" w:name="_Toc1035931"/>
      <w:bookmarkStart w:id="93" w:name="_Toc536198168"/>
      <w:bookmarkStart w:id="94" w:name="_Toc518032000"/>
      <w:bookmarkStart w:id="95" w:name="_Toc522870746"/>
      <w:bookmarkStart w:id="96" w:name="_Toc524091682"/>
      <w:bookmarkStart w:id="97" w:name="_Toc529526326"/>
      <w:bookmarkStart w:id="98" w:name="_Toc516839085"/>
      <w:bookmarkStart w:id="99" w:name="_Toc533149331"/>
      <w:bookmarkStart w:id="100" w:name="_Toc530750140"/>
      <w:bookmarkStart w:id="101" w:name="_Toc532564064"/>
      <w:bookmarkStart w:id="102" w:name="_Toc528930994"/>
      <w:bookmarkStart w:id="103" w:name="_Toc518638260"/>
      <w:bookmarkStart w:id="104" w:name="_Toc536540308"/>
      <w:bookmarkStart w:id="105" w:name="_Toc1394101"/>
      <w:bookmarkStart w:id="106" w:name="_Toc525289547"/>
      <w:bookmarkStart w:id="107" w:name="_Toc519848558"/>
      <w:bookmarkStart w:id="108" w:name="_Toc522280055"/>
      <w:bookmarkStart w:id="109" w:name="_Toc522870761"/>
      <w:bookmarkStart w:id="110" w:name="_Toc522870770"/>
      <w:bookmarkStart w:id="111" w:name="_Toc527705001"/>
      <w:bookmarkStart w:id="112" w:name="_Toc4596892"/>
      <w:bookmarkStart w:id="113" w:name="_Toc535588709"/>
      <w:bookmarkStart w:id="114" w:name="_Toc517425039"/>
      <w:bookmarkStart w:id="115" w:name="_Toc4139107"/>
      <w:bookmarkStart w:id="116" w:name="_Toc513127191"/>
      <w:bookmarkStart w:id="117" w:name="_Toc525306464"/>
      <w:bookmarkStart w:id="118" w:name="_Toc515610374"/>
    </w:p>
    <w:p>
      <w:pPr>
        <w:pStyle w:val="3"/>
        <w:snapToGrid w:val="0"/>
        <w:spacing w:before="0" w:after="0" w:line="400" w:lineRule="exact"/>
        <w:ind w:right="-145" w:rightChars="-69" w:firstLine="602" w:firstLineChars="200"/>
        <w:rPr>
          <w:rStyle w:val="24"/>
          <w:rFonts w:ascii="黑体" w:hAnsi="黑体" w:eastAsia="黑体" w:cs="黑体"/>
          <w:sz w:val="30"/>
          <w:szCs w:val="30"/>
          <w:highlight w:val="none"/>
        </w:rPr>
      </w:pPr>
      <w:bookmarkStart w:id="119" w:name="_Toc8313134"/>
      <w:bookmarkStart w:id="120" w:name="_Toc12609904"/>
      <w:bookmarkStart w:id="121" w:name="_Toc9583953"/>
      <w:bookmarkStart w:id="122" w:name="_Toc9597660"/>
      <w:bookmarkStart w:id="123" w:name="_Toc8991654"/>
      <w:bookmarkStart w:id="124" w:name="_Toc10202309"/>
      <w:bookmarkStart w:id="125" w:name="_Toc13217632"/>
      <w:bookmarkStart w:id="126" w:name="_Toc4767064"/>
      <w:bookmarkStart w:id="127" w:name="_Toc8378816"/>
      <w:r>
        <w:rPr>
          <w:rStyle w:val="24"/>
          <w:rFonts w:hint="eastAsia" w:ascii="黑体" w:hAnsi="黑体" w:eastAsia="黑体" w:cs="黑体"/>
          <w:sz w:val="30"/>
          <w:szCs w:val="30"/>
          <w:highlight w:val="none"/>
        </w:rPr>
        <w:t>评述：本周纯碱市场评述及行情预测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>
      <w:pPr>
        <w:rPr>
          <w:highlight w:val="none"/>
        </w:rPr>
      </w:pPr>
    </w:p>
    <w:p>
      <w:pPr>
        <w:pStyle w:val="26"/>
        <w:widowControl/>
        <w:spacing w:line="400" w:lineRule="exact"/>
        <w:ind w:firstLine="600"/>
        <w:jc w:val="left"/>
        <w:outlineLvl w:val="1"/>
        <w:rPr>
          <w:rFonts w:hint="eastAsia" w:ascii="黑体" w:hAnsi="黑体" w:eastAsia="黑体" w:cs="黑体"/>
          <w:kern w:val="0"/>
          <w:sz w:val="30"/>
          <w:szCs w:val="30"/>
          <w:highlight w:val="none"/>
        </w:rPr>
      </w:pPr>
      <w:bookmarkStart w:id="128" w:name="_Toc8313135"/>
      <w:bookmarkStart w:id="129" w:name="_Toc12609905"/>
      <w:bookmarkStart w:id="130" w:name="_Toc4654030"/>
      <w:bookmarkStart w:id="131" w:name="_Toc9583954"/>
      <w:bookmarkStart w:id="132" w:name="_Toc8991655"/>
      <w:bookmarkStart w:id="133" w:name="_Toc4596893"/>
      <w:bookmarkStart w:id="134" w:name="_Toc13217633"/>
      <w:bookmarkStart w:id="135" w:name="_Toc4767065"/>
      <w:bookmarkStart w:id="136" w:name="_Toc10202310"/>
      <w:bookmarkStart w:id="137" w:name="_Toc9597661"/>
      <w:bookmarkStart w:id="138" w:name="_Toc8378817"/>
    </w:p>
    <w:p>
      <w:pPr>
        <w:pStyle w:val="26"/>
        <w:widowControl/>
        <w:spacing w:line="400" w:lineRule="exact"/>
        <w:ind w:firstLine="600"/>
        <w:jc w:val="left"/>
        <w:outlineLvl w:val="1"/>
        <w:rPr>
          <w:rFonts w:ascii="黑体" w:hAnsi="黑体" w:eastAsia="黑体" w:cs="Times New Roman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kern w:val="0"/>
          <w:sz w:val="30"/>
          <w:szCs w:val="30"/>
          <w:highlight w:val="none"/>
        </w:rPr>
        <w:t>一、纯碱市场一周</w:t>
      </w:r>
      <w:bookmarkStart w:id="139" w:name="_Toc392240278"/>
      <w:r>
        <w:rPr>
          <w:rFonts w:hint="eastAsia" w:ascii="黑体" w:hAnsi="黑体" w:eastAsia="黑体" w:cs="黑体"/>
          <w:kern w:val="0"/>
          <w:sz w:val="30"/>
          <w:szCs w:val="30"/>
          <w:highlight w:val="none"/>
        </w:rPr>
        <w:t>综述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>
      <w:pPr>
        <w:pStyle w:val="12"/>
        <w:ind w:firstLine="560" w:firstLineChars="200"/>
        <w:rPr>
          <w:rFonts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/>
        </w:rPr>
        <w:t>本周纯碱全局多以维稳运行为主，局部小降50-80元/吨。河南区域考虑满产后供应回升销售压力渐涨，出货方式灵活导致成交重心下移。本周降势主因河南区域轻质纯碱出现明显降幅，加上外发其他区域影响外围市场稳定局势，导致多地用户对近期成交价格有持续降价期待，轻质纯碱市场疲软运行;重碱一方面受轻质纯碱价格牵制，价格运行欠佳;另一方面受其采购特性，河南区域重质纯碱对外报低售价，月末采购商观望情绪加重，僵持博弈心态加强。</w:t>
      </w:r>
    </w:p>
    <w:p>
      <w:pPr>
        <w:pStyle w:val="26"/>
        <w:widowControl/>
        <w:spacing w:line="400" w:lineRule="exact"/>
        <w:ind w:firstLine="600"/>
        <w:jc w:val="left"/>
        <w:outlineLvl w:val="1"/>
        <w:rPr>
          <w:rFonts w:hint="eastAsia" w:ascii="黑体" w:hAnsi="黑体" w:eastAsia="黑体" w:cs="黑体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kern w:val="0"/>
          <w:sz w:val="30"/>
          <w:szCs w:val="30"/>
          <w:highlight w:val="none"/>
        </w:rPr>
        <w:t>供应端：</w:t>
      </w:r>
    </w:p>
    <w:p>
      <w:pPr>
        <w:pStyle w:val="12"/>
        <w:ind w:firstLine="560" w:firstLineChars="200"/>
        <w:rPr>
          <w:rFonts w:ascii="仿宋" w:hAnsi="仿宋" w:eastAsia="仿宋" w:cs="仿宋"/>
          <w:kern w:val="2"/>
          <w:sz w:val="28"/>
          <w:szCs w:val="28"/>
          <w:lang w:val="en-US" w:eastAsia="zh-CN"/>
        </w:rPr>
      </w:pPr>
      <w:bookmarkStart w:id="140" w:name="_Toc8991656"/>
      <w:bookmarkStart w:id="141" w:name="_Toc9597662"/>
      <w:bookmarkStart w:id="142" w:name="_Toc10202311"/>
      <w:bookmarkStart w:id="143" w:name="_Toc4654031"/>
      <w:bookmarkStart w:id="144" w:name="_Toc8378818"/>
      <w:bookmarkStart w:id="145" w:name="_Toc13217634"/>
      <w:bookmarkStart w:id="146" w:name="_Toc8313136"/>
      <w:bookmarkStart w:id="147" w:name="_Toc4596894"/>
      <w:bookmarkStart w:id="148" w:name="_Toc12609906"/>
      <w:bookmarkStart w:id="149" w:name="_Toc9583955"/>
      <w:bookmarkStart w:id="150" w:name="_Toc4767066"/>
      <w:r>
        <w:rPr>
          <w:rFonts w:ascii="仿宋" w:hAnsi="仿宋" w:eastAsia="仿宋" w:cs="仿宋"/>
          <w:kern w:val="2"/>
          <w:sz w:val="28"/>
          <w:szCs w:val="28"/>
          <w:lang w:val="en-US" w:eastAsia="zh-CN"/>
        </w:rPr>
        <w:t>轻碱主流含税出厂价格：辽宁地区现阶段本地贸易出货含税出价在1750-1850元/吨左右，终端到货1850-1950元/吨左右;河北地区含税出价1650-1750元/吨;山东地区含税出价1650-1780元/吨;江苏地区主流含税出价1550-1700元/吨，部分高价以1680-1750元/吨;杭州地区含税出价1700-1750元/吨;福建地区含税出价1550-1650元/吨左右;广东地区含税出价1750-1850元/吨;华中地区主流含税出价1600-1650元/吨，部分高价在1680元/吨左右;青海地区含税出价1500-1550元/吨;川渝区域含税出价1700-1780元/吨;云贵地区含税出价1720-1750元/吨左右;江西区域含税出价1700元/吨左右。</w:t>
      </w:r>
    </w:p>
    <w:p>
      <w:pPr>
        <w:pStyle w:val="12"/>
        <w:ind w:firstLine="560" w:firstLineChars="200"/>
        <w:rPr>
          <w:rFonts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/>
        </w:rPr>
        <w:t>重碱主流含税送到价格：目前华北地区重碱含税送到1850-1900元/吨左右，沙河区域含税送达1800-1880元/吨(现汇价格);青海区域含税出厂价1550-1600元/吨;西南区域含税送到1850-1900元/吨;东北区域重碱主流含税送到1900-2000元/吨;广东重碱含税送到价格1950-2050元/吨;华东片区主流含税送到1850-1900元/吨。</w:t>
      </w:r>
    </w:p>
    <w:p>
      <w:pPr>
        <w:pStyle w:val="12"/>
        <w:ind w:firstLine="560" w:firstLineChars="200"/>
        <w:rPr>
          <w:rFonts w:ascii="仿宋" w:hAnsi="仿宋" w:eastAsia="仿宋" w:cs="仿宋"/>
          <w:kern w:val="2"/>
          <w:sz w:val="28"/>
          <w:szCs w:val="28"/>
          <w:lang w:val="en-US" w:eastAsia="zh-CN"/>
        </w:rPr>
      </w:pPr>
    </w:p>
    <w:p>
      <w:pPr>
        <w:pStyle w:val="12"/>
        <w:ind w:firstLine="560" w:firstLineChars="200"/>
        <w:rPr>
          <w:rFonts w:ascii="仿宋" w:hAnsi="仿宋" w:eastAsia="仿宋" w:cs="仿宋"/>
          <w:kern w:val="2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1"/>
        </w:numPr>
        <w:ind w:firstLine="600" w:firstLineChars="200"/>
        <w:jc w:val="left"/>
        <w:outlineLvl w:val="1"/>
        <w:rPr>
          <w:rFonts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影响市场因素及后市预测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>
      <w:pPr>
        <w:pStyle w:val="12"/>
        <w:ind w:firstLine="560" w:firstLineChars="200"/>
        <w:rPr>
          <w:rFonts w:ascii="仿宋" w:hAnsi="仿宋" w:eastAsia="仿宋" w:cs="仿宋"/>
          <w:kern w:val="2"/>
          <w:sz w:val="28"/>
          <w:szCs w:val="28"/>
          <w:lang w:val="en-US" w:eastAsia="zh-CN"/>
        </w:rPr>
      </w:pPr>
      <w:bookmarkStart w:id="151" w:name="_Toc4654032"/>
      <w:bookmarkStart w:id="152" w:name="_Toc8991657"/>
      <w:bookmarkStart w:id="153" w:name="_Toc4767067"/>
      <w:bookmarkStart w:id="154" w:name="_Toc4596895"/>
      <w:bookmarkStart w:id="155" w:name="_Toc8313137"/>
      <w:bookmarkStart w:id="156" w:name="_Toc8378819"/>
      <w:bookmarkStart w:id="157" w:name="_Toc9597663"/>
      <w:bookmarkStart w:id="158" w:name="_Toc12609907"/>
      <w:bookmarkStart w:id="159" w:name="_Toc9583956"/>
      <w:bookmarkStart w:id="160" w:name="_Toc10202312"/>
      <w:bookmarkStart w:id="161" w:name="_Toc13217635"/>
      <w:r>
        <w:rPr>
          <w:rFonts w:ascii="仿宋" w:hAnsi="仿宋" w:eastAsia="仿宋" w:cs="仿宋"/>
          <w:kern w:val="2"/>
          <w:sz w:val="28"/>
          <w:szCs w:val="28"/>
          <w:lang w:val="en-US" w:eastAsia="zh-CN"/>
        </w:rPr>
        <w:t>供应方面：中盐昆山及中盐吉兰泰即将于周末复产，江苏华昌待开，另外河南区域因红色预警有限产可能，全国纯碱开工负荷在83-85%之间震荡运行;另外行业库存尚处于合理范围，个企压力较大。</w:t>
      </w:r>
    </w:p>
    <w:p>
      <w:pPr>
        <w:pStyle w:val="12"/>
        <w:ind w:firstLine="560" w:firstLineChars="200"/>
        <w:rPr>
          <w:rFonts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/>
        </w:rPr>
        <w:t>需求方面：下游玻璃行业现货价格趋稳，期货价格普涨，产线变化较少，对纯碱需求变化影响不大;另外日用玻璃、焦亚硫酸钠、泡花碱等产品在冬季环保趋严情况下，实际需求或有小幅影响;另外考虑冬季运输影响，纯碱多数下游企业会考虑适当储量或有利好影响。</w:t>
      </w:r>
    </w:p>
    <w:p>
      <w:pPr>
        <w:pStyle w:val="12"/>
        <w:ind w:firstLine="560" w:firstLineChars="200"/>
        <w:rPr>
          <w:rStyle w:val="24"/>
          <w:rFonts w:hint="eastAsia"/>
          <w:b/>
          <w:bCs/>
          <w:sz w:val="30"/>
          <w:szCs w:val="30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/>
        </w:rPr>
        <w:t>综上，纯碱供需端实际影响有限，在市场价格阴跌氛围下，轻质纯碱或在下周有灵活调整表现，另外重质纯碱在刚需支撑下尚有挺价可能，下周纯碱市场或因上下游僵持博弈而有价格下跌可能，具体多参照厂家实际执行的价格变化。</w:t>
      </w:r>
    </w:p>
    <w:p>
      <w:pPr>
        <w:widowControl/>
        <w:ind w:firstLine="602" w:firstLineChars="200"/>
        <w:jc w:val="left"/>
        <w:outlineLvl w:val="2"/>
        <w:rPr>
          <w:rStyle w:val="24"/>
          <w:rFonts w:hint="eastAsia"/>
          <w:b/>
          <w:bCs/>
          <w:sz w:val="30"/>
          <w:szCs w:val="30"/>
        </w:rPr>
      </w:pPr>
      <w:r>
        <w:rPr>
          <w:rStyle w:val="24"/>
          <w:rFonts w:hint="eastAsia"/>
          <w:b/>
          <w:bCs/>
          <w:sz w:val="30"/>
          <w:szCs w:val="30"/>
        </w:rPr>
        <w:t>本周国内纯碱市场价格</w:t>
      </w:r>
      <w:bookmarkEnd w:id="139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>
      <w:pPr>
        <w:widowControl/>
        <w:jc w:val="left"/>
        <w:outlineLvl w:val="2"/>
        <w:rPr>
          <w:rStyle w:val="24"/>
          <w:rFonts w:hint="eastAsia"/>
          <w:b/>
          <w:bCs/>
          <w:sz w:val="30"/>
          <w:szCs w:val="30"/>
        </w:rPr>
      </w:pPr>
    </w:p>
    <w:tbl>
      <w:tblPr>
        <w:tblStyle w:val="13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41"/>
        <w:gridCol w:w="1444"/>
        <w:gridCol w:w="1444"/>
        <w:gridCol w:w="1444"/>
        <w:gridCol w:w="1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28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轻质碱</w:t>
            </w:r>
          </w:p>
        </w:tc>
        <w:tc>
          <w:tcPr>
            <w:tcW w:w="28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重质碱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低端价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高端价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低端价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高端价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华东</w:t>
            </w:r>
          </w:p>
        </w:tc>
        <w:tc>
          <w:tcPr>
            <w:tcW w:w="1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华南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华北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东北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西南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1700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西北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</w:tbl>
    <w:p>
      <w:pPr>
        <w:pStyle w:val="2"/>
        <w:spacing w:line="400" w:lineRule="exact"/>
        <w:ind w:firstLine="3855" w:firstLineChars="1200"/>
        <w:jc w:val="both"/>
        <w:rPr>
          <w:rFonts w:hint="eastAsia" w:cs="黑体"/>
        </w:rPr>
      </w:pPr>
      <w:bookmarkStart w:id="162" w:name="_Toc10202313"/>
      <w:bookmarkStart w:id="163" w:name="_Toc13217636"/>
      <w:bookmarkStart w:id="164" w:name="_Toc516839086"/>
      <w:bookmarkStart w:id="165" w:name="_Toc525289548"/>
      <w:bookmarkStart w:id="166" w:name="_Toc528919988"/>
      <w:bookmarkStart w:id="167" w:name="_Toc522870762"/>
      <w:bookmarkStart w:id="168" w:name="_Toc519848559"/>
      <w:bookmarkStart w:id="169" w:name="_Toc525306476"/>
      <w:bookmarkStart w:id="170" w:name="_Toc518032001"/>
      <w:bookmarkStart w:id="171" w:name="_Toc522870771"/>
      <w:bookmarkStart w:id="172" w:name="_Toc528329958"/>
      <w:bookmarkStart w:id="173" w:name="_Toc521660549"/>
      <w:bookmarkStart w:id="174" w:name="_Toc522259766"/>
      <w:bookmarkStart w:id="175" w:name="_Toc520465078"/>
      <w:bookmarkStart w:id="176" w:name="_Toc522870753"/>
      <w:bookmarkStart w:id="177" w:name="_Toc522280056"/>
      <w:bookmarkStart w:id="178" w:name="_Toc518638261"/>
      <w:bookmarkStart w:id="179" w:name="_Toc516234899"/>
      <w:bookmarkStart w:id="180" w:name="_Toc522870747"/>
      <w:bookmarkStart w:id="181" w:name="_Toc513127192"/>
      <w:bookmarkStart w:id="182" w:name="_Toc392240279"/>
      <w:bookmarkStart w:id="183" w:name="_Toc515610375"/>
      <w:bookmarkStart w:id="184" w:name="_Toc511390007"/>
      <w:bookmarkStart w:id="185" w:name="_Toc524091683"/>
      <w:bookmarkStart w:id="186" w:name="_Toc532564065"/>
      <w:bookmarkStart w:id="187" w:name="_Toc521057603"/>
      <w:bookmarkStart w:id="188" w:name="_Toc517425040"/>
      <w:bookmarkStart w:id="189" w:name="_Toc524701466"/>
      <w:bookmarkStart w:id="190" w:name="_Toc525306465"/>
      <w:bookmarkStart w:id="191" w:name="_Toc527101792"/>
      <w:bookmarkStart w:id="192" w:name="_Toc525912528"/>
      <w:bookmarkStart w:id="193" w:name="_Toc527705002"/>
      <w:bookmarkStart w:id="194" w:name="_Toc530128351"/>
      <w:bookmarkStart w:id="195" w:name="_Toc528930995"/>
      <w:bookmarkStart w:id="196" w:name="_Toc529526327"/>
      <w:bookmarkStart w:id="197" w:name="_Toc531954274"/>
      <w:bookmarkStart w:id="198" w:name="_Toc530750141"/>
      <w:bookmarkStart w:id="199" w:name="_Toc532564039"/>
      <w:bookmarkStart w:id="200" w:name="_Toc4654033"/>
      <w:bookmarkStart w:id="201" w:name="_Toc536541139"/>
      <w:bookmarkStart w:id="202" w:name="_Toc534915167"/>
      <w:bookmarkStart w:id="203" w:name="_Toc533149332"/>
      <w:bookmarkStart w:id="204" w:name="_Toc532564262"/>
      <w:bookmarkStart w:id="205" w:name="_Toc534378402"/>
      <w:bookmarkStart w:id="206" w:name="_Toc536198169"/>
      <w:bookmarkStart w:id="207" w:name="_Toc535588710"/>
      <w:bookmarkStart w:id="208" w:name="_Toc1394102"/>
      <w:bookmarkStart w:id="209" w:name="_Toc1739296"/>
      <w:bookmarkStart w:id="210" w:name="_Toc516234893"/>
      <w:bookmarkStart w:id="211" w:name="_Toc485981323"/>
      <w:bookmarkStart w:id="212" w:name="_Toc1035932"/>
      <w:bookmarkStart w:id="213" w:name="_Toc536540309"/>
      <w:bookmarkStart w:id="214" w:name="_Toc536789787"/>
      <w:bookmarkStart w:id="215" w:name="_Toc1139287"/>
      <w:bookmarkStart w:id="216" w:name="_Toc4139108"/>
      <w:bookmarkStart w:id="217" w:name="_Toc4596896"/>
      <w:bookmarkStart w:id="218" w:name="_Toc12609908"/>
      <w:bookmarkStart w:id="219" w:name="_Toc8991658"/>
      <w:bookmarkStart w:id="220" w:name="_Toc8313138"/>
      <w:bookmarkStart w:id="221" w:name="_Toc4767068"/>
      <w:bookmarkStart w:id="222" w:name="_Toc8378820"/>
      <w:bookmarkStart w:id="223" w:name="_Toc9597664"/>
      <w:bookmarkStart w:id="224" w:name="_Toc9583957"/>
    </w:p>
    <w:p>
      <w:pPr>
        <w:pStyle w:val="2"/>
        <w:spacing w:line="400" w:lineRule="exact"/>
        <w:ind w:firstLine="3855" w:firstLineChars="1200"/>
        <w:jc w:val="both"/>
        <w:rPr>
          <w:rFonts w:hint="eastAsia" w:cs="黑体"/>
        </w:rPr>
      </w:pPr>
      <w:r>
        <w:rPr>
          <w:rFonts w:hint="eastAsia" w:cs="黑体"/>
        </w:rPr>
        <w:t>烧碱</w:t>
      </w:r>
      <w:bookmarkEnd w:id="64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Start w:id="225" w:name="_Toc295403449"/>
      <w:bookmarkStart w:id="226" w:name="_Toc250731925"/>
      <w:bookmarkStart w:id="227" w:name="_Toc252539754"/>
      <w:bookmarkStart w:id="228" w:name="_Toc300238848"/>
      <w:bookmarkStart w:id="229" w:name="_Toc4596897"/>
      <w:bookmarkStart w:id="230" w:name="_Toc4654034"/>
    </w:p>
    <w:p/>
    <w:p>
      <w:pPr>
        <w:spacing w:line="400" w:lineRule="exact"/>
        <w:ind w:firstLine="602" w:firstLineChars="200"/>
        <w:outlineLvl w:val="1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231" w:name="_Toc8991659"/>
      <w:bookmarkStart w:id="232" w:name="_Toc8313139"/>
      <w:bookmarkStart w:id="233" w:name="_Toc9583958"/>
      <w:bookmarkStart w:id="234" w:name="_Toc9597665"/>
      <w:bookmarkStart w:id="235" w:name="_Toc13217637"/>
      <w:bookmarkStart w:id="236" w:name="_Toc12609909"/>
      <w:bookmarkStart w:id="237" w:name="_Toc4767069"/>
      <w:bookmarkStart w:id="238" w:name="_Toc8378821"/>
      <w:bookmarkStart w:id="239" w:name="_Toc10202314"/>
      <w:r>
        <w:rPr>
          <w:rFonts w:hint="eastAsia" w:ascii="黑体" w:hAnsi="黑体" w:eastAsia="黑体" w:cs="黑体"/>
          <w:b/>
          <w:bCs/>
          <w:sz w:val="30"/>
          <w:szCs w:val="30"/>
        </w:rPr>
        <w:t>中国烧碱市场行情综述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Start w:id="240" w:name="_Toc264643747"/>
      <w:bookmarkStart w:id="241" w:name="_Toc295403451"/>
      <w:bookmarkStart w:id="242" w:name="_Toc392240280"/>
      <w:bookmarkStart w:id="243" w:name="_Toc300238850"/>
    </w:p>
    <w:p>
      <w:pPr>
        <w:spacing w:line="400" w:lineRule="exact"/>
        <w:ind w:firstLine="602" w:firstLineChars="200"/>
        <w:outlineLvl w:val="1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400" w:lineRule="exact"/>
        <w:ind w:firstLine="602" w:firstLineChars="200"/>
        <w:outlineLvl w:val="1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pStyle w:val="12"/>
        <w:numPr>
          <w:ilvl w:val="0"/>
          <w:numId w:val="2"/>
        </w:numPr>
        <w:spacing w:before="0" w:beforeAutospacing="0" w:after="0" w:afterAutospacing="0" w:line="400" w:lineRule="exact"/>
        <w:ind w:left="1321"/>
        <w:outlineLvl w:val="1"/>
        <w:rPr>
          <w:rFonts w:ascii="黑体" w:hAnsi="黑体" w:eastAsia="黑体" w:cs="Times New Roman"/>
          <w:sz w:val="30"/>
          <w:szCs w:val="30"/>
        </w:rPr>
      </w:pPr>
      <w:bookmarkStart w:id="244" w:name="_Toc12609910"/>
      <w:bookmarkStart w:id="245" w:name="_Toc8378822"/>
      <w:bookmarkStart w:id="246" w:name="_Toc9597666"/>
      <w:bookmarkStart w:id="247" w:name="_Toc9583959"/>
      <w:bookmarkStart w:id="248" w:name="_Toc4767070"/>
      <w:bookmarkStart w:id="249" w:name="_Toc8313140"/>
      <w:bookmarkStart w:id="250" w:name="_Toc4596898"/>
      <w:bookmarkStart w:id="251" w:name="_Toc4654035"/>
      <w:bookmarkStart w:id="252" w:name="_Toc8991660"/>
      <w:bookmarkStart w:id="253" w:name="_Toc13217638"/>
      <w:bookmarkStart w:id="254" w:name="_Toc10202315"/>
      <w:r>
        <w:rPr>
          <w:rFonts w:hint="eastAsia" w:ascii="黑体" w:hAnsi="黑体" w:eastAsia="黑体" w:cs="黑体"/>
          <w:sz w:val="30"/>
          <w:szCs w:val="30"/>
        </w:rPr>
        <w:t>市场综述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>
      <w:pPr>
        <w:pStyle w:val="12"/>
        <w:numPr>
          <w:ilvl w:val="0"/>
          <w:numId w:val="0"/>
        </w:numPr>
        <w:spacing w:before="0" w:beforeAutospacing="0" w:after="0" w:afterAutospacing="0" w:line="400" w:lineRule="exact"/>
        <w:ind w:left="601" w:leftChars="0"/>
        <w:outlineLvl w:val="1"/>
        <w:rPr>
          <w:rFonts w:ascii="黑体" w:hAnsi="黑体" w:eastAsia="黑体" w:cs="Times New Roman"/>
          <w:sz w:val="30"/>
          <w:szCs w:val="30"/>
        </w:rPr>
      </w:pPr>
    </w:p>
    <w:p>
      <w:pPr>
        <w:pStyle w:val="12"/>
        <w:keepNext w:val="0"/>
        <w:keepLines w:val="0"/>
        <w:widowControl/>
        <w:suppressLineNumbers w:val="0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bookmarkStart w:id="255" w:name="_Toc9597667"/>
      <w:bookmarkStart w:id="256" w:name="_Toc10202316"/>
      <w:bookmarkStart w:id="257" w:name="_Toc9583960"/>
      <w:bookmarkStart w:id="258" w:name="_Toc8991661"/>
      <w:bookmarkStart w:id="259" w:name="_Toc12609911"/>
      <w:bookmarkStart w:id="260" w:name="_Toc4596899"/>
      <w:bookmarkStart w:id="261" w:name="_Toc4654036"/>
      <w:bookmarkStart w:id="262" w:name="_Toc13217639"/>
      <w:bookmarkStart w:id="263" w:name="_Toc8313141"/>
      <w:bookmarkStart w:id="264" w:name="_Toc8378823"/>
      <w:bookmarkStart w:id="265" w:name="_Toc4767071"/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本周局部地区液碱市场走势呈现下滑趋势，本周山东地区烧碱市场价格多地下行，山东中东部地区高浓度烧碱价格下调50-90元/吨，高浓度烧碱下调主受氧化铝企业采购50%离子膜碱昨日通知下调50元/吨，近期其他行业用户提货情绪转淡，对高价存在抵触心理，碱厂成交心态低迷。低浓度碱方面近期用户多观望外围的定价情况，存货情绪不足，局部地区成交重心亦有小幅滑落。河北地区液碱价格主要随山东地区调整为主，衡水地区32%离子膜液碱下调20元/吨，50%离子膜液碱下调90元/吨，省内液碱市场行情一般，降价后对下游刺激不足，观望情绪加重。河北地区沧州检修较多，烧碱供应收紧，出货尚可;唐山三友轮检中，主供自身粘胶短纤使用。天津地区持稳运行为主，区域内用碱下游需求尚可，上游氯碱企业有船碱合约订单，低浓度液碱供应量不多，持稳出货为主。</w:t>
      </w:r>
    </w:p>
    <w:p>
      <w:pPr>
        <w:pStyle w:val="12"/>
        <w:keepNext w:val="0"/>
        <w:keepLines w:val="0"/>
        <w:widowControl/>
        <w:suppressLineNumbers w:val="0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华东地区本周液碱市场价格下调，周初浙江地区液碱成交重心下滑，区域内走货表现疲惫，碱厂发货一般，市场需求观望情绪加重，碱厂库存有升温迹象，高价出货开始回落，远距离发货有所让利。江苏、安徽、江西及福建地区液碱价格开始接连下调，价格调整后市场交投氛围未见明显改善，走货压力依旧存在，且外围山东地区液碱价格回落，部分低价货源流入江苏，江苏地区整体观望心态浓厚，下游提货转淡。</w:t>
      </w:r>
    </w:p>
    <w:p>
      <w:pPr>
        <w:pStyle w:val="12"/>
        <w:keepNext w:val="0"/>
        <w:keepLines w:val="0"/>
        <w:widowControl/>
        <w:suppressLineNumbers w:val="0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华南广东地区随着外围液碱流入增多，省内液碱库存略有升温，且下游需求未有起色，价格上涨动力不足，并出现小幅滑坡走势，场内观望气氛浓厚，交投清淡为主。广西地区氯碱整体开工负荷稳定，主供下游氧化铝和造纸行业使用，需求平稳为主，厂家出货暂稳，库存水平不高。</w:t>
      </w:r>
    </w:p>
    <w:p>
      <w:pPr>
        <w:pStyle w:val="12"/>
        <w:keepNext w:val="0"/>
        <w:keepLines w:val="0"/>
        <w:widowControl/>
        <w:suppressLineNumbers w:val="0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西北地区主要因片碱市场走势不佳，片碱加工企业开工积极性降低，对液碱需求减量。上游氯碱企业液碱库存水平升温，出货价格下调50-100元/吨(折百)左右。</w:t>
      </w:r>
    </w:p>
    <w:p>
      <w:pPr>
        <w:pStyle w:val="12"/>
        <w:keepNext w:val="0"/>
        <w:keepLines w:val="0"/>
        <w:widowControl/>
        <w:suppressLineNumbers w:val="0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跟踪数据，10月24日中国32%离子膜液碱市场价格指数850，较10月17日数据相比↓0.75%;10月24日中国50%离子膜液碱市场平均出厂价格在1434元/吨，较10月17日数据相比稳。</w:t>
      </w:r>
    </w:p>
    <w:p>
      <w:pPr>
        <w:pStyle w:val="12"/>
        <w:spacing w:before="0" w:beforeAutospacing="0" w:after="0" w:afterAutospacing="0" w:line="400" w:lineRule="exact"/>
        <w:ind w:firstLine="602" w:firstLineChars="200"/>
        <w:outlineLvl w:val="1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bookmarkStart w:id="480" w:name="_GoBack"/>
      <w:bookmarkEnd w:id="480"/>
      <w:r>
        <w:rPr>
          <w:rFonts w:hint="eastAsia"/>
          <w:b/>
          <w:bCs/>
          <w:sz w:val="30"/>
          <w:szCs w:val="30"/>
        </w:rPr>
        <w:t>二、价格方面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Start w:id="266" w:name="_Toc4767072"/>
      <w:bookmarkStart w:id="267" w:name="_Toc4596900"/>
      <w:bookmarkStart w:id="268" w:name="_Toc4654037"/>
    </w:p>
    <w:p>
      <w:pPr>
        <w:pStyle w:val="12"/>
        <w:keepNext w:val="0"/>
        <w:keepLines w:val="0"/>
        <w:widowControl/>
        <w:suppressLineNumbers w:val="0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截止10月24日各地区液碱价格(文中价格为现汇，承兑低浓度水碱加15元/吨，高浓度碱加30元/吨)</w:t>
      </w:r>
    </w:p>
    <w:p>
      <w:pPr>
        <w:pStyle w:val="12"/>
        <w:keepNext w:val="0"/>
        <w:keepLines w:val="0"/>
        <w:widowControl/>
        <w:suppressLineNumbers w:val="0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32%离子膜液碱主流出厂价格：山东供给氧化铝行业现汇出厂价格执行750元/吨，供其他客户主流出厂价格810-850元/吨;河北830-900元/吨;天津2650-2700元/吨(折百);浙江送到萧绍经销商1050-1070元/吨;江苏900-980元/吨;安徽880-950元/吨;江西地区1000-1030元/吨;福建省内送到1030-1100元/吨;广西930-980元/吨;湖北950-1000元/吨;河南2600-2700元/吨(折百);内蒙古2000-2050元/吨(折百);辽宁960-980元/吨;四川2850-3000元/吨(折百)。</w:t>
      </w:r>
    </w:p>
    <w:p>
      <w:pPr>
        <w:pStyle w:val="12"/>
        <w:keepNext w:val="0"/>
        <w:keepLines w:val="0"/>
        <w:widowControl/>
        <w:suppressLineNumbers w:val="0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高浓碱主流出厂价格：山东48%离子膜液碱出厂1220-1300元/吨，50%离子膜液碱出厂1320-1360元/吨。天津49%离子膜碱出厂价格2750-2850元/吨(折百)，福建50%离子膜液碱省内送到1600-1680元/吨左右;广西50%离子膜液碱出厂价格1450-1520元/吨;内蒙古48-50%离子膜液碱出厂价格2150元/吨(折百)左右;江苏地区48%离子膜液碱出厂价格1450-1500元/吨。辽宁地区45-50%离子膜液碱出厂报价在1500-1600元/吨;四川地区50%离子膜液碱主流出厂价格2950-3100元/吨(折百)。</w:t>
      </w:r>
    </w:p>
    <w:p>
      <w:pPr>
        <w:widowControl/>
        <w:ind w:firstLine="602" w:firstLineChars="200"/>
        <w:jc w:val="left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三、后市预测</w:t>
      </w:r>
      <w:bookmarkEnd w:id="266"/>
      <w:bookmarkEnd w:id="267"/>
      <w:bookmarkEnd w:id="268"/>
      <w:bookmarkStart w:id="269" w:name="_Toc4654038"/>
      <w:bookmarkStart w:id="270" w:name="_Toc4596901"/>
    </w:p>
    <w:p>
      <w:pPr>
        <w:pStyle w:val="12"/>
        <w:keepNext w:val="0"/>
        <w:keepLines w:val="0"/>
        <w:widowControl/>
        <w:suppressLineNumbers w:val="0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bookmarkStart w:id="271" w:name="_Toc8991662"/>
      <w:bookmarkStart w:id="272" w:name="_Toc8378824"/>
      <w:bookmarkStart w:id="273" w:name="_Toc9597668"/>
      <w:bookmarkStart w:id="274" w:name="_Toc4767073"/>
      <w:bookmarkStart w:id="275" w:name="_Toc8313142"/>
      <w:bookmarkStart w:id="276" w:name="_Toc10202317"/>
      <w:bookmarkStart w:id="277" w:name="_Toc9583961"/>
      <w:bookmarkStart w:id="278" w:name="_Toc12609912"/>
      <w:bookmarkStart w:id="279" w:name="_Toc13217640"/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临近月末，各地长单价格即将进入商定阶段，鉴于近期液碱市场走势呈现下滑趋势，预计下游行业压价意识强烈，上下游博弈为主，但中国液体烧碱市场难改疲软走势，预计下周上游氯碱企业不乏有再度让利接单的可能。</w:t>
      </w:r>
    </w:p>
    <w:p>
      <w:pPr>
        <w:widowControl/>
        <w:ind w:firstLine="602" w:firstLineChars="200"/>
        <w:jc w:val="left"/>
        <w:outlineLvl w:val="2"/>
        <w:rPr>
          <w:rStyle w:val="24"/>
          <w:rFonts w:hint="eastAsia"/>
          <w:b/>
          <w:bCs/>
          <w:sz w:val="30"/>
          <w:szCs w:val="30"/>
        </w:rPr>
      </w:pPr>
      <w:r>
        <w:rPr>
          <w:rStyle w:val="24"/>
          <w:rFonts w:hint="eastAsia"/>
          <w:b/>
          <w:bCs/>
          <w:sz w:val="30"/>
          <w:szCs w:val="30"/>
        </w:rPr>
        <w:t>本周国内片碱实际成交周汇总</w:t>
      </w:r>
      <w:bookmarkEnd w:id="240"/>
      <w:bookmarkEnd w:id="241"/>
      <w:bookmarkEnd w:id="242"/>
      <w:bookmarkEnd w:id="243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>
      <w:pPr>
        <w:snapToGrid w:val="0"/>
        <w:spacing w:line="400" w:lineRule="exact"/>
        <w:ind w:right="-149" w:rightChars="-7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单位：元</w:t>
      </w:r>
      <w:r>
        <w:rPr>
          <w:rFonts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吨</w:t>
      </w:r>
    </w:p>
    <w:tbl>
      <w:tblPr>
        <w:tblStyle w:val="13"/>
        <w:tblpPr w:leftFromText="180" w:rightFromText="180" w:vertAnchor="text" w:horzAnchor="page" w:tblpX="2166" w:tblpY="434"/>
        <w:tblOverlap w:val="never"/>
        <w:tblW w:w="7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80"/>
        <w:gridCol w:w="1003"/>
        <w:gridCol w:w="1629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42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96%片碱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属性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主流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2500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主流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center" w:pos="766"/>
                <w:tab w:val="right" w:pos="1413"/>
              </w:tabs>
              <w:ind w:firstLine="540" w:firstLineChars="30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淄博环拓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山东永嘉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淄博青临鸿金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山东苗栗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淄博鲁威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2950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实得工贸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淄博丰通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天津红三环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3100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天津兴凯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天津云海碳素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天津丰泰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天津鹏坤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唐山汇成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2650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沧州市荣庆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内蒙乌海欣业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内蒙古中盐吉兰泰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2650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2650</w:t>
            </w:r>
          </w:p>
        </w:tc>
      </w:tr>
    </w:tbl>
    <w:p>
      <w:pPr>
        <w:snapToGrid w:val="0"/>
        <w:spacing w:line="400" w:lineRule="exact"/>
        <w:ind w:right="-149" w:rightChars="-71"/>
        <w:jc w:val="both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hint="eastAsia" w:cs="黑体"/>
        </w:rPr>
      </w:pPr>
      <w:bookmarkStart w:id="280" w:name="_Toc392240282"/>
      <w:bookmarkStart w:id="281" w:name="_Toc252539758"/>
      <w:bookmarkStart w:id="282" w:name="_Toc300238851"/>
      <w:bookmarkStart w:id="283" w:name="_Toc250731929"/>
      <w:bookmarkStart w:id="284" w:name="_Toc529526328"/>
      <w:bookmarkStart w:id="285" w:name="_Toc485981325"/>
      <w:bookmarkStart w:id="286" w:name="_Toc528329959"/>
      <w:bookmarkStart w:id="287" w:name="_Toc530750142"/>
      <w:bookmarkStart w:id="288" w:name="_Toc531954275"/>
      <w:bookmarkStart w:id="289" w:name="_Toc9597669"/>
      <w:bookmarkStart w:id="290" w:name="_Toc530128352"/>
      <w:bookmarkStart w:id="291" w:name="_Toc12609913"/>
      <w:bookmarkStart w:id="292" w:name="_Toc10202318"/>
      <w:bookmarkStart w:id="293" w:name="_Toc532564040"/>
      <w:bookmarkStart w:id="294" w:name="_Toc13217641"/>
      <w:bookmarkStart w:id="295" w:name="_Toc528919989"/>
      <w:bookmarkStart w:id="296" w:name="_Toc518032002"/>
      <w:bookmarkStart w:id="297" w:name="_Toc4139109"/>
      <w:bookmarkStart w:id="298" w:name="_Toc532564066"/>
      <w:bookmarkStart w:id="299" w:name="_Toc4596902"/>
      <w:bookmarkStart w:id="300" w:name="_Toc520465079"/>
      <w:bookmarkStart w:id="301" w:name="_Toc516234894"/>
      <w:bookmarkStart w:id="302" w:name="_Toc528930996"/>
      <w:bookmarkStart w:id="303" w:name="_Toc517425041"/>
      <w:bookmarkStart w:id="304" w:name="_Toc511390008"/>
      <w:bookmarkStart w:id="305" w:name="_Toc233795930"/>
      <w:bookmarkStart w:id="306" w:name="_Toc295403452"/>
      <w:bookmarkStart w:id="307" w:name="_Toc521057604"/>
      <w:bookmarkStart w:id="308" w:name="_Toc522870748"/>
      <w:bookmarkStart w:id="309" w:name="_Toc516234900"/>
      <w:bookmarkStart w:id="310" w:name="_Toc522280057"/>
      <w:bookmarkStart w:id="311" w:name="_Toc516839087"/>
      <w:bookmarkStart w:id="312" w:name="_Toc522259767"/>
      <w:bookmarkStart w:id="313" w:name="_Toc525306477"/>
      <w:bookmarkStart w:id="314" w:name="_Toc519848560"/>
      <w:bookmarkStart w:id="315" w:name="_Toc522870772"/>
      <w:bookmarkStart w:id="316" w:name="_Toc521660550"/>
      <w:bookmarkStart w:id="317" w:name="_Toc522870754"/>
      <w:bookmarkStart w:id="318" w:name="_Toc513127193"/>
      <w:bookmarkStart w:id="319" w:name="_Toc518638262"/>
      <w:bookmarkStart w:id="320" w:name="_Toc515610376"/>
      <w:bookmarkStart w:id="321" w:name="_Toc524091684"/>
      <w:bookmarkStart w:id="322" w:name="_Toc522870763"/>
      <w:bookmarkStart w:id="323" w:name="_Toc527101793"/>
      <w:bookmarkStart w:id="324" w:name="_Toc525912529"/>
      <w:bookmarkStart w:id="325" w:name="_Toc527705003"/>
      <w:bookmarkStart w:id="326" w:name="_Toc525306466"/>
      <w:bookmarkStart w:id="327" w:name="_Toc525289549"/>
      <w:bookmarkStart w:id="328" w:name="_Toc524701467"/>
      <w:bookmarkStart w:id="329" w:name="_Toc532564263"/>
      <w:bookmarkStart w:id="330" w:name="_Toc534378403"/>
      <w:bookmarkStart w:id="331" w:name="_Toc534915168"/>
      <w:bookmarkStart w:id="332" w:name="_Toc535588711"/>
      <w:bookmarkStart w:id="333" w:name="_Toc1739297"/>
      <w:bookmarkStart w:id="334" w:name="_Toc533149333"/>
      <w:bookmarkStart w:id="335" w:name="_Toc1394103"/>
      <w:bookmarkStart w:id="336" w:name="_Toc1139288"/>
      <w:bookmarkStart w:id="337" w:name="_Toc1035933"/>
      <w:bookmarkStart w:id="338" w:name="_Toc536789788"/>
      <w:bookmarkStart w:id="339" w:name="_Toc536541140"/>
      <w:bookmarkStart w:id="340" w:name="_Toc536540310"/>
      <w:bookmarkStart w:id="341" w:name="_Toc536198170"/>
      <w:bookmarkStart w:id="342" w:name="_Toc8991663"/>
      <w:bookmarkStart w:id="343" w:name="_Toc9583962"/>
      <w:bookmarkStart w:id="344" w:name="_Toc8378825"/>
      <w:bookmarkStart w:id="345" w:name="_Toc8313143"/>
      <w:bookmarkStart w:id="346" w:name="_Toc4654039"/>
      <w:bookmarkStart w:id="347" w:name="_Toc4767074"/>
    </w:p>
    <w:p>
      <w:pPr>
        <w:pStyle w:val="2"/>
        <w:spacing w:line="400" w:lineRule="exact"/>
        <w:jc w:val="center"/>
        <w:rPr>
          <w:rFonts w:cs="黑体"/>
        </w:rPr>
      </w:pPr>
      <w:r>
        <w:rPr>
          <w:rFonts w:hint="eastAsia" w:cs="黑体"/>
        </w:rPr>
        <w:t>液氯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Start w:id="348" w:name="_Toc233795931"/>
      <w:bookmarkEnd w:id="348"/>
      <w:bookmarkStart w:id="349" w:name="_Toc295403453"/>
      <w:bookmarkStart w:id="350" w:name="_Toc252539759"/>
      <w:bookmarkStart w:id="351" w:name="_Toc392240283"/>
      <w:bookmarkStart w:id="352" w:name="_Toc485981326"/>
      <w:bookmarkStart w:id="353" w:name="_Toc300238852"/>
      <w:bookmarkStart w:id="354" w:name="_Toc185611021"/>
      <w:bookmarkStart w:id="355" w:name="_Toc250731930"/>
    </w:p>
    <w:p>
      <w:pPr>
        <w:spacing w:line="400" w:lineRule="exact"/>
        <w:ind w:firstLine="602" w:firstLineChars="200"/>
        <w:outlineLvl w:val="1"/>
        <w:rPr>
          <w:rFonts w:ascii="黑体" w:hAnsi="黑体" w:eastAsia="黑体" w:cs="黑体"/>
          <w:b/>
          <w:bCs/>
          <w:sz w:val="30"/>
          <w:szCs w:val="30"/>
        </w:rPr>
      </w:pPr>
      <w:bookmarkStart w:id="356" w:name="_Toc528919990"/>
      <w:bookmarkStart w:id="357" w:name="_Toc529526329"/>
      <w:bookmarkStart w:id="358" w:name="_Toc528930997"/>
      <w:bookmarkStart w:id="359" w:name="_Toc528329960"/>
      <w:bookmarkStart w:id="360" w:name="_Toc527705004"/>
      <w:bookmarkStart w:id="361" w:name="_Toc527101794"/>
      <w:bookmarkStart w:id="362" w:name="_Toc525912530"/>
      <w:bookmarkStart w:id="363" w:name="_Toc525306478"/>
      <w:bookmarkStart w:id="364" w:name="_Toc525306467"/>
      <w:bookmarkStart w:id="365" w:name="_Toc524091685"/>
      <w:bookmarkStart w:id="366" w:name="_Toc524701468"/>
      <w:bookmarkStart w:id="367" w:name="_Toc525289550"/>
      <w:bookmarkStart w:id="368" w:name="_Toc522870773"/>
      <w:bookmarkStart w:id="369" w:name="_Toc522870764"/>
      <w:bookmarkStart w:id="370" w:name="_Toc522870755"/>
      <w:bookmarkStart w:id="371" w:name="_Toc522870749"/>
      <w:bookmarkStart w:id="372" w:name="_Toc522280058"/>
      <w:bookmarkStart w:id="373" w:name="_Toc522259768"/>
      <w:bookmarkStart w:id="374" w:name="_Toc521660551"/>
      <w:bookmarkStart w:id="375" w:name="_Toc519848561"/>
      <w:bookmarkStart w:id="376" w:name="_Toc521057605"/>
      <w:bookmarkStart w:id="377" w:name="_Toc530128353"/>
      <w:bookmarkStart w:id="378" w:name="_Toc534378404"/>
      <w:bookmarkStart w:id="379" w:name="_Toc518638263"/>
      <w:bookmarkStart w:id="380" w:name="_Toc520465080"/>
      <w:bookmarkStart w:id="381" w:name="_Toc518032003"/>
      <w:bookmarkStart w:id="382" w:name="_Toc517425042"/>
      <w:bookmarkStart w:id="383" w:name="_Toc516839088"/>
      <w:bookmarkStart w:id="384" w:name="_Toc516234901"/>
      <w:bookmarkStart w:id="385" w:name="_Toc516234895"/>
      <w:bookmarkStart w:id="386" w:name="_Toc515610377"/>
      <w:bookmarkStart w:id="387" w:name="_Toc1739298"/>
      <w:bookmarkStart w:id="388" w:name="_Toc513127194"/>
      <w:bookmarkStart w:id="389" w:name="_Toc511390009"/>
      <w:bookmarkStart w:id="390" w:name="_Toc1394104"/>
      <w:bookmarkStart w:id="391" w:name="_Toc1139289"/>
      <w:bookmarkStart w:id="392" w:name="_Toc1035934"/>
      <w:bookmarkStart w:id="393" w:name="_Toc536789789"/>
      <w:bookmarkStart w:id="394" w:name="_Toc536541141"/>
      <w:bookmarkStart w:id="395" w:name="_Toc536540311"/>
      <w:bookmarkStart w:id="396" w:name="_Toc536198171"/>
      <w:bookmarkStart w:id="397" w:name="_Toc534915169"/>
      <w:bookmarkStart w:id="398" w:name="_Toc535588712"/>
      <w:bookmarkStart w:id="399" w:name="_Toc533149334"/>
      <w:bookmarkStart w:id="400" w:name="_Toc532564264"/>
      <w:bookmarkStart w:id="401" w:name="_Toc532564067"/>
      <w:bookmarkStart w:id="402" w:name="_Toc532564041"/>
      <w:bookmarkStart w:id="403" w:name="_Toc531954276"/>
      <w:bookmarkStart w:id="404" w:name="_Toc530750143"/>
      <w:bookmarkStart w:id="405" w:name="_Toc4596903"/>
      <w:bookmarkStart w:id="406" w:name="_Toc4139110"/>
      <w:bookmarkStart w:id="407" w:name="_Toc4654040"/>
    </w:p>
    <w:p>
      <w:pPr>
        <w:spacing w:line="400" w:lineRule="exact"/>
        <w:ind w:firstLine="602" w:firstLineChars="200"/>
        <w:outlineLvl w:val="1"/>
        <w:rPr>
          <w:rFonts w:ascii="黑体" w:hAnsi="黑体" w:eastAsia="黑体" w:cs="黑体"/>
          <w:b/>
          <w:bCs/>
          <w:sz w:val="30"/>
          <w:szCs w:val="30"/>
        </w:rPr>
      </w:pPr>
      <w:bookmarkStart w:id="408" w:name="_Toc8378826"/>
      <w:bookmarkStart w:id="409" w:name="_Toc10202319"/>
      <w:bookmarkStart w:id="410" w:name="_Toc8313144"/>
      <w:bookmarkStart w:id="411" w:name="_Toc9583963"/>
      <w:bookmarkStart w:id="412" w:name="_Toc8991664"/>
      <w:bookmarkStart w:id="413" w:name="_Toc9597670"/>
      <w:bookmarkStart w:id="414" w:name="_Toc12609914"/>
      <w:bookmarkStart w:id="415" w:name="_Toc13217642"/>
      <w:bookmarkStart w:id="416" w:name="_Toc4767075"/>
      <w:r>
        <w:rPr>
          <w:rFonts w:hint="eastAsia" w:ascii="黑体" w:hAnsi="黑体" w:eastAsia="黑体" w:cs="黑体"/>
          <w:b/>
          <w:bCs/>
          <w:sz w:val="30"/>
          <w:szCs w:val="30"/>
        </w:rPr>
        <w:t>评述：本周国内液氯市场评述及行情预测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Start w:id="417" w:name="_Toc250731931"/>
      <w:bookmarkStart w:id="418" w:name="_Toc252539760"/>
    </w:p>
    <w:p>
      <w:pPr>
        <w:pStyle w:val="12"/>
        <w:spacing w:before="0" w:beforeAutospacing="0" w:after="0" w:afterAutospacing="0" w:line="400" w:lineRule="exact"/>
        <w:outlineLvl w:val="1"/>
        <w:rPr>
          <w:rFonts w:hint="eastAsia" w:ascii="黑体" w:hAnsi="黑体" w:eastAsia="黑体" w:cs="黑体"/>
          <w:sz w:val="30"/>
          <w:szCs w:val="30"/>
        </w:rPr>
      </w:pPr>
      <w:bookmarkStart w:id="419" w:name="_Toc4596904"/>
      <w:bookmarkStart w:id="420" w:name="_Toc4654041"/>
      <w:bookmarkStart w:id="421" w:name="_Toc8991665"/>
      <w:bookmarkStart w:id="422" w:name="_Toc4767076"/>
      <w:bookmarkStart w:id="423" w:name="_Toc8313145"/>
      <w:bookmarkStart w:id="424" w:name="_Toc9583964"/>
      <w:bookmarkStart w:id="425" w:name="_Toc8378827"/>
      <w:bookmarkStart w:id="426" w:name="_Toc10202320"/>
      <w:bookmarkStart w:id="427" w:name="_Toc12609915"/>
      <w:bookmarkStart w:id="428" w:name="_Toc13217643"/>
      <w:bookmarkStart w:id="429" w:name="_Toc9597671"/>
    </w:p>
    <w:p>
      <w:pPr>
        <w:pStyle w:val="12"/>
        <w:numPr>
          <w:ilvl w:val="0"/>
          <w:numId w:val="3"/>
        </w:numPr>
        <w:spacing w:before="0" w:beforeAutospacing="0" w:after="0" w:afterAutospacing="0" w:line="400" w:lineRule="exact"/>
        <w:ind w:firstLine="600" w:firstLineChars="200"/>
        <w:outlineLvl w:val="1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中国液氯市场行情综述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>
      <w:pPr>
        <w:pStyle w:val="12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bookmarkStart w:id="430" w:name="_Toc12609916"/>
      <w:bookmarkStart w:id="431" w:name="_Toc10202321"/>
      <w:bookmarkStart w:id="432" w:name="_Toc13217644"/>
      <w:bookmarkStart w:id="433" w:name="_Toc9583965"/>
      <w:bookmarkStart w:id="434" w:name="_Toc9597672"/>
      <w:bookmarkStart w:id="435" w:name="_Toc8991666"/>
      <w:bookmarkStart w:id="436" w:name="_Toc8378828"/>
      <w:bookmarkStart w:id="437" w:name="_Toc4767077"/>
      <w:bookmarkStart w:id="438" w:name="_Toc8313146"/>
      <w:bookmarkStart w:id="439" w:name="_Toc4654042"/>
      <w:bookmarkStart w:id="440" w:name="_Toc4596905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本周北方液氯市场价格持续攀升，南方局部地区价格有小幅上涨。</w:t>
      </w:r>
    </w:p>
    <w:p>
      <w:pPr>
        <w:pStyle w:val="12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本周北方市场，经过几日的不断攀升，目前液氯价格高位盘整为主，市场交投氛围温和。周初北方地区由于出现橙色空气污染预警部分城市限产20%，或者严格限制运输车辆为国五车辆，对上游出货产生一定限制，局部地区受此影响价格短暂下调100元/吨。本周上游企业检修较多，河北地区沧州聚隆10.20-10.24停车检修，东营华泰10.20-10.27停车检修，东营金茂暂未恢复开车;下游企业山东地区东营环氧丙烷厂家10.24检修结束恢复外采试车。几家碱厂检修的支撑下，河北、山东市场供应减量明显，货源供应紧张，市场交投重心持续上升。辽宁地区于10.20锁单价格开标，价格较高，碱厂出货价格大幅度跟涨。山西地区孝义氯碱装置已全面恢复正常运转，山西地区供应恢复;内蒙地区本周出货顺畅，成交水平有所提振。本周北方主流市场上涨幅度350-600元/吨。</w:t>
      </w:r>
    </w:p>
    <w:p>
      <w:pPr>
        <w:pStyle w:val="12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华东江苏、安徽地区，本周液氯价格小幅上调，库存消化顺畅，下游耗氯企业提货积极;苏南地区逐渐取消低价成交上调至300-400元/吨槽车，少部分成交有低价有200-250元/吨;江苏金桥丰益于10.23开车生产。安徽皖北一带货源紧张，后市不乏继续上调的可能;皖南地区本周小涨50-100元/吨。浙江地区市场行情一般，大单锁定价格偏低。江西地区市场持稳为主，省内出货压力较大。</w:t>
      </w:r>
    </w:p>
    <w:p>
      <w:pPr>
        <w:pStyle w:val="12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华中河南地区液氯市场大稳小动为主，豫北地区上周五开始价格上调至槽车600元/吨出货，豫南地区执行300-400元/吨出货，河南地区神马发展10月中下旬有检修计划，河南联创已开工，下游需求保持稳定态势。湖北地区受到军运会影响，局部10.15-10.28期间液氯作为危化品运输禁行，对部分有液氯外销的企业影响较大，局部液氯出货难，碱厂负荷下调。湖南地区液氯市场供应紧俏，湖南建滔目前开工稳定，液氯供应不多，园区管输为主，出货顺畅。</w:t>
      </w:r>
    </w:p>
    <w:p>
      <w:pPr>
        <w:pStyle w:val="12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华南广东一带液氯供应稍显紧张，场内货源不多。西南四川地区液氯市场整理为主，省内开工负荷整体高位。</w:t>
      </w:r>
    </w:p>
    <w:p>
      <w:pPr>
        <w:widowControl/>
        <w:ind w:firstLine="600" w:firstLineChars="200"/>
        <w:jc w:val="left"/>
        <w:outlineLvl w:val="1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二、市场价格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Start w:id="441" w:name="_Toc12609917"/>
      <w:bookmarkStart w:id="442" w:name="_Toc13217645"/>
      <w:bookmarkStart w:id="443" w:name="_Toc9597673"/>
      <w:bookmarkStart w:id="444" w:name="_Toc10202322"/>
      <w:bookmarkStart w:id="445" w:name="_Toc9583966"/>
      <w:bookmarkStart w:id="446" w:name="_Toc8991667"/>
    </w:p>
    <w:p>
      <w:pPr>
        <w:pStyle w:val="12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截止到10月24日发稿，各地区液氯槽车主流出厂价格：</w:t>
      </w:r>
    </w:p>
    <w:p>
      <w:pPr>
        <w:pStyle w:val="12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山东省内主流槽车700-750元/吨，河北省内主流槽车执行700-800元/吨;河南省槽车主流出货价格在300-600元/吨均有，钢瓶槽车同价;辽宁省内槽车出货价格在800元/吨，钢瓶暂不报价;山西地区槽车出货主流在100-200元/吨;浙江地区当前钢瓶出货价格为300-400元/吨;江苏地区槽车出厂价格在200-400元/吨，个别低端亦有;江西地区槽车500-550元/吨;安徽地区槽车出厂价格350-400元/吨;内蒙液氯槽车300-350元/吨;湖北地区少量槽车出厂价格在400-450元/吨;湖南当地少量槽车价格偏高，四川地区300-400元/吨，当地高价成交有限。</w:t>
      </w:r>
    </w:p>
    <w:p>
      <w:pPr>
        <w:pStyle w:val="12"/>
        <w:spacing w:before="0" w:beforeAutospacing="0" w:after="0" w:afterAutospacing="0" w:line="400" w:lineRule="exact"/>
        <w:ind w:firstLine="600" w:firstLineChars="200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</w:t>
      </w:r>
      <w:bookmarkStart w:id="447" w:name="_Toc8313147"/>
      <w:bookmarkStart w:id="448" w:name="_Toc8378829"/>
      <w:bookmarkStart w:id="449" w:name="_Toc4767078"/>
      <w:bookmarkStart w:id="450" w:name="_Toc4654043"/>
      <w:bookmarkStart w:id="451" w:name="_Toc4596906"/>
      <w:r>
        <w:rPr>
          <w:rFonts w:hint="eastAsia" w:ascii="黑体" w:hAnsi="黑体" w:eastAsia="黑体" w:cs="黑体"/>
          <w:sz w:val="30"/>
          <w:szCs w:val="30"/>
        </w:rPr>
        <w:t>山东市场分析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Start w:id="452" w:name="OLE_LINK56"/>
    </w:p>
    <w:bookmarkEnd w:id="452"/>
    <w:p>
      <w:pPr>
        <w:pStyle w:val="12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bookmarkStart w:id="453" w:name="_Toc9583967"/>
      <w:bookmarkStart w:id="454" w:name="_Toc8991668"/>
      <w:bookmarkStart w:id="455" w:name="_Toc8378830"/>
      <w:bookmarkStart w:id="456" w:name="_Toc8313148"/>
      <w:bookmarkStart w:id="457" w:name="_Toc4767079"/>
      <w:bookmarkStart w:id="458" w:name="_Toc4654044"/>
      <w:bookmarkStart w:id="459" w:name="_Toc4596907"/>
      <w:bookmarkStart w:id="460" w:name="_Toc13217646"/>
      <w:bookmarkStart w:id="461" w:name="_Toc12609918"/>
      <w:bookmarkStart w:id="462" w:name="_Toc10202323"/>
      <w:bookmarkStart w:id="463" w:name="_Toc9597674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山东省内主流槽车700-750元/吨，河北省内主流槽车执行700-800元/吨;河南省槽车主流出货价格在300-600元/吨均有，钢瓶槽车同价;辽宁省内槽车出货价格在800元/吨，钢瓶暂不报价;山西地区槽车出货主流在100-200元/吨;浙江地区当前钢瓶出货价格为300-400元/吨;江苏地区槽车出厂价格在200-400元/吨，个别低端亦有;江西地区槽车500-550元/吨;安徽地区槽车出厂价格350-400元/吨;内蒙液氯槽车300-350元/吨;湖北地区少量槽车出厂价格在400-450元/吨;湖南当地少量槽车价格偏高，四川地区300-400元/吨，当地高价成交有限。</w:t>
      </w:r>
    </w:p>
    <w:p>
      <w:pPr>
        <w:pStyle w:val="12"/>
        <w:spacing w:before="0" w:beforeAutospacing="0" w:after="0" w:afterAutospacing="0" w:line="400" w:lineRule="exact"/>
        <w:ind w:firstLine="600" w:firstLineChars="200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四、后市分析</w:t>
      </w:r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>
      <w:pPr>
        <w:pStyle w:val="12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bookmarkStart w:id="464" w:name="_Toc10202324"/>
      <w:bookmarkStart w:id="465" w:name="_Toc4596908"/>
      <w:bookmarkStart w:id="466" w:name="_Toc4654045"/>
      <w:bookmarkStart w:id="467" w:name="_Toc4767080"/>
      <w:bookmarkStart w:id="468" w:name="_Toc8313149"/>
      <w:bookmarkStart w:id="469" w:name="_Toc8991669"/>
      <w:bookmarkStart w:id="470" w:name="_Toc8378831"/>
      <w:bookmarkStart w:id="471" w:name="_Toc9597675"/>
      <w:bookmarkStart w:id="472" w:name="_Toc9583968"/>
      <w:bookmarkStart w:id="473" w:name="_Toc12609919"/>
      <w:bookmarkStart w:id="474" w:name="_Toc13217647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下周山东地区东营华泰检修完成恢复开车，整体上山东地区上游供应增加，下游需求偏稳定，耗氯企业有观望情绪，出货压力可能加大，液氯价格有下调的可能;华东地区整体供需两端变化不大，局部地区具备上涨条件。后市预测：下周北方地区液氯价格有回落趋势，南方地区不乏有小幅上涨可能。全国液氯市场调整幅度在100-300元/吨之间波动。</w:t>
      </w:r>
    </w:p>
    <w:p>
      <w:pPr>
        <w:pStyle w:val="12"/>
        <w:ind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国内地区市场价格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</w:p>
    <w:bookmarkEnd w:id="417"/>
    <w:bookmarkEnd w:id="418"/>
    <w:tbl>
      <w:tblPr>
        <w:tblStyle w:val="13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475" w:name="_Toc233795926"/>
            <w:bookmarkEnd w:id="475"/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属性</w:t>
            </w:r>
          </w:p>
        </w:tc>
        <w:tc>
          <w:tcPr>
            <w:tcW w:w="3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液氯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低端价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高端价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华北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华北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华中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华东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华南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西北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西北市场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</w:tr>
    </w:tbl>
    <w:p>
      <w:pPr>
        <w:spacing w:line="400" w:lineRule="exact"/>
        <w:rPr>
          <w:rFonts w:cs="Times New Roman"/>
        </w:rPr>
      </w:pPr>
    </w:p>
    <w:p>
      <w:pPr>
        <w:spacing w:line="400" w:lineRule="exact"/>
        <w:rPr>
          <w:rFonts w:ascii="Arial" w:hAnsi="Arial" w:cs="Arial"/>
          <w:kern w:val="0"/>
        </w:rPr>
      </w:pPr>
    </w:p>
    <w:p>
      <w:pPr>
        <w:spacing w:line="400" w:lineRule="exact"/>
        <w:ind w:firstLine="1600" w:firstLineChars="400"/>
        <w:rPr>
          <w:rFonts w:ascii="方正粗宋简体" w:eastAsia="方正粗宋简体" w:cs="Times New Roman"/>
          <w:spacing w:val="20"/>
          <w:sz w:val="36"/>
          <w:szCs w:val="36"/>
        </w:rPr>
      </w:pPr>
      <w:r>
        <w:rPr>
          <w:rFonts w:hint="eastAsia" w:ascii="方正粗宋简体" w:eastAsia="方正粗宋简体" w:cs="方正粗宋简体"/>
          <w:spacing w:val="20"/>
          <w:sz w:val="36"/>
          <w:szCs w:val="36"/>
        </w:rPr>
        <w:t>更多精彩敬请关注：</w:t>
      </w:r>
      <w:r>
        <w:fldChar w:fldCharType="begin"/>
      </w:r>
      <w:r>
        <w:instrText xml:space="preserve"> HYPERLINK "http://www.chinaccm.com/" </w:instrText>
      </w:r>
      <w:r>
        <w:fldChar w:fldCharType="separate"/>
      </w:r>
      <w:r>
        <w:rPr>
          <w:rStyle w:val="16"/>
          <w:rFonts w:hint="eastAsia" w:ascii="方正粗宋简体" w:eastAsia="方正粗宋简体" w:cs="方正粗宋简体"/>
          <w:spacing w:val="20"/>
          <w:sz w:val="36"/>
          <w:szCs w:val="36"/>
        </w:rPr>
        <w:t>中华商务网</w:t>
      </w:r>
      <w:r>
        <w:rPr>
          <w:rStyle w:val="16"/>
          <w:rFonts w:hint="eastAsia" w:ascii="方正粗宋简体" w:eastAsia="方正粗宋简体" w:cs="方正粗宋简体"/>
          <w:spacing w:val="20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eastAsia="方正粗宋简体" w:cs="Times New Roman"/>
          <w:spacing w:val="20"/>
          <w:sz w:val="36"/>
          <w:szCs w:val="36"/>
        </w:rPr>
      </w:pPr>
      <w:r>
        <w:rPr>
          <w:rFonts w:hint="eastAsia" w:ascii="方正粗宋简体" w:eastAsia="方正粗宋简体" w:cs="方正粗宋简体"/>
          <w:spacing w:val="20"/>
          <w:sz w:val="36"/>
          <w:szCs w:val="36"/>
        </w:rPr>
        <w:t>返回本期目录</w:t>
      </w:r>
    </w:p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10</w:t>
    </w:r>
    <w:r>
      <w:rPr>
        <w:b/>
        <w:bCs/>
      </w:rPr>
      <w:fldChar w:fldCharType="end"/>
    </w:r>
    <w:r>
      <w:rPr>
        <w:lang w:val="zh-CN"/>
      </w:rPr>
      <w:t xml:space="preserve">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11</w:t>
    </w:r>
    <w:r>
      <w:rPr>
        <w:b/>
        <w:bCs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-492760</wp:posOffset>
          </wp:positionV>
          <wp:extent cx="7553325" cy="10696575"/>
          <wp:effectExtent l="19050" t="0" r="9525" b="0"/>
          <wp:wrapNone/>
          <wp:docPr id="1" name="图片 7" descr="内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7" descr="内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8"/>
      <w:pBdr>
        <w:bottom w:val="none" w:color="auto" w:sz="0" w:space="0"/>
      </w:pBdr>
    </w:pPr>
  </w:p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9B408"/>
    <w:multiLevelType w:val="singleLevel"/>
    <w:tmpl w:val="8E59B4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A80BF45"/>
    <w:multiLevelType w:val="singleLevel"/>
    <w:tmpl w:val="AA80BF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7A37270"/>
    <w:multiLevelType w:val="multilevel"/>
    <w:tmpl w:val="17A37270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 w:cs="黑体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13C8"/>
    <w:rsid w:val="00002CE3"/>
    <w:rsid w:val="000053FD"/>
    <w:rsid w:val="00010DB4"/>
    <w:rsid w:val="000112E5"/>
    <w:rsid w:val="000154EF"/>
    <w:rsid w:val="000161BE"/>
    <w:rsid w:val="00026A36"/>
    <w:rsid w:val="00034D9D"/>
    <w:rsid w:val="0004320C"/>
    <w:rsid w:val="00045C9C"/>
    <w:rsid w:val="00057044"/>
    <w:rsid w:val="00057676"/>
    <w:rsid w:val="0005772F"/>
    <w:rsid w:val="0006570B"/>
    <w:rsid w:val="00065726"/>
    <w:rsid w:val="00072E1F"/>
    <w:rsid w:val="00074455"/>
    <w:rsid w:val="0007741E"/>
    <w:rsid w:val="000833E8"/>
    <w:rsid w:val="000849A7"/>
    <w:rsid w:val="00084DF0"/>
    <w:rsid w:val="00085917"/>
    <w:rsid w:val="00086FC3"/>
    <w:rsid w:val="0009407D"/>
    <w:rsid w:val="00095266"/>
    <w:rsid w:val="00096A95"/>
    <w:rsid w:val="00097923"/>
    <w:rsid w:val="000A004B"/>
    <w:rsid w:val="000B13BE"/>
    <w:rsid w:val="000B43A4"/>
    <w:rsid w:val="000B7162"/>
    <w:rsid w:val="000C4607"/>
    <w:rsid w:val="000C72ED"/>
    <w:rsid w:val="000D1869"/>
    <w:rsid w:val="000D33D7"/>
    <w:rsid w:val="000D3DBE"/>
    <w:rsid w:val="000E1971"/>
    <w:rsid w:val="000E26FB"/>
    <w:rsid w:val="000E41C2"/>
    <w:rsid w:val="000F061D"/>
    <w:rsid w:val="000F4985"/>
    <w:rsid w:val="000F4BC2"/>
    <w:rsid w:val="000F582E"/>
    <w:rsid w:val="001055DB"/>
    <w:rsid w:val="00105BD3"/>
    <w:rsid w:val="00105C40"/>
    <w:rsid w:val="001078AB"/>
    <w:rsid w:val="00113EEE"/>
    <w:rsid w:val="001164A9"/>
    <w:rsid w:val="00120F03"/>
    <w:rsid w:val="00123320"/>
    <w:rsid w:val="0012620F"/>
    <w:rsid w:val="00135248"/>
    <w:rsid w:val="001364CB"/>
    <w:rsid w:val="00136A19"/>
    <w:rsid w:val="0014366D"/>
    <w:rsid w:val="0014784B"/>
    <w:rsid w:val="00153176"/>
    <w:rsid w:val="00154128"/>
    <w:rsid w:val="00161430"/>
    <w:rsid w:val="00163783"/>
    <w:rsid w:val="0016388A"/>
    <w:rsid w:val="0016559E"/>
    <w:rsid w:val="00180C42"/>
    <w:rsid w:val="00190ADA"/>
    <w:rsid w:val="00192B10"/>
    <w:rsid w:val="001A10C8"/>
    <w:rsid w:val="001A49CA"/>
    <w:rsid w:val="001A5B29"/>
    <w:rsid w:val="001A5B52"/>
    <w:rsid w:val="001B0C21"/>
    <w:rsid w:val="001B1452"/>
    <w:rsid w:val="001B3397"/>
    <w:rsid w:val="001C20CD"/>
    <w:rsid w:val="001C42B0"/>
    <w:rsid w:val="001C4856"/>
    <w:rsid w:val="001C4858"/>
    <w:rsid w:val="001D3943"/>
    <w:rsid w:val="001D4D78"/>
    <w:rsid w:val="001E070F"/>
    <w:rsid w:val="001E158A"/>
    <w:rsid w:val="001E24A4"/>
    <w:rsid w:val="001E29F8"/>
    <w:rsid w:val="001E2FFF"/>
    <w:rsid w:val="001E5FA6"/>
    <w:rsid w:val="001E6FCE"/>
    <w:rsid w:val="001F103D"/>
    <w:rsid w:val="001F13A5"/>
    <w:rsid w:val="001F200E"/>
    <w:rsid w:val="001F2855"/>
    <w:rsid w:val="001F3EA0"/>
    <w:rsid w:val="001F633B"/>
    <w:rsid w:val="001F66E4"/>
    <w:rsid w:val="001F7A1C"/>
    <w:rsid w:val="00204238"/>
    <w:rsid w:val="00210AE7"/>
    <w:rsid w:val="00220AF1"/>
    <w:rsid w:val="00222BDD"/>
    <w:rsid w:val="0022387E"/>
    <w:rsid w:val="0022444B"/>
    <w:rsid w:val="00230B31"/>
    <w:rsid w:val="00234B30"/>
    <w:rsid w:val="0023620E"/>
    <w:rsid w:val="002378AC"/>
    <w:rsid w:val="00237D68"/>
    <w:rsid w:val="00237DF9"/>
    <w:rsid w:val="00240A04"/>
    <w:rsid w:val="00243FEA"/>
    <w:rsid w:val="002444B7"/>
    <w:rsid w:val="00244AC5"/>
    <w:rsid w:val="00252D6D"/>
    <w:rsid w:val="002545A5"/>
    <w:rsid w:val="00257E3C"/>
    <w:rsid w:val="002636AD"/>
    <w:rsid w:val="00266C25"/>
    <w:rsid w:val="0027124C"/>
    <w:rsid w:val="002712B6"/>
    <w:rsid w:val="002728D7"/>
    <w:rsid w:val="00273011"/>
    <w:rsid w:val="00277D27"/>
    <w:rsid w:val="00277D2C"/>
    <w:rsid w:val="002831C3"/>
    <w:rsid w:val="0028492A"/>
    <w:rsid w:val="002854EB"/>
    <w:rsid w:val="00292924"/>
    <w:rsid w:val="002970A0"/>
    <w:rsid w:val="002A3052"/>
    <w:rsid w:val="002A3F05"/>
    <w:rsid w:val="002A4958"/>
    <w:rsid w:val="002B0DE2"/>
    <w:rsid w:val="002B37BA"/>
    <w:rsid w:val="002B425B"/>
    <w:rsid w:val="002B7C0C"/>
    <w:rsid w:val="002C0194"/>
    <w:rsid w:val="002C3A87"/>
    <w:rsid w:val="002C5DD5"/>
    <w:rsid w:val="002C6A4E"/>
    <w:rsid w:val="002D01CD"/>
    <w:rsid w:val="002D67FA"/>
    <w:rsid w:val="002E11E0"/>
    <w:rsid w:val="002E3DB4"/>
    <w:rsid w:val="002E4AEB"/>
    <w:rsid w:val="002F1450"/>
    <w:rsid w:val="002F750E"/>
    <w:rsid w:val="0030711E"/>
    <w:rsid w:val="00312DC6"/>
    <w:rsid w:val="0031346C"/>
    <w:rsid w:val="00317D90"/>
    <w:rsid w:val="00322DF7"/>
    <w:rsid w:val="00323B86"/>
    <w:rsid w:val="00325D41"/>
    <w:rsid w:val="003332DC"/>
    <w:rsid w:val="00344BEC"/>
    <w:rsid w:val="0034603D"/>
    <w:rsid w:val="003462AE"/>
    <w:rsid w:val="003503A7"/>
    <w:rsid w:val="00350C00"/>
    <w:rsid w:val="00356333"/>
    <w:rsid w:val="00361079"/>
    <w:rsid w:val="003625BB"/>
    <w:rsid w:val="003626D2"/>
    <w:rsid w:val="00365AAF"/>
    <w:rsid w:val="0036609F"/>
    <w:rsid w:val="003707D9"/>
    <w:rsid w:val="00373679"/>
    <w:rsid w:val="00375D35"/>
    <w:rsid w:val="0037795E"/>
    <w:rsid w:val="0038128C"/>
    <w:rsid w:val="00383FE2"/>
    <w:rsid w:val="00384728"/>
    <w:rsid w:val="003849D1"/>
    <w:rsid w:val="00384E33"/>
    <w:rsid w:val="00387F03"/>
    <w:rsid w:val="0039401A"/>
    <w:rsid w:val="003A0AB2"/>
    <w:rsid w:val="003A331B"/>
    <w:rsid w:val="003B15E0"/>
    <w:rsid w:val="003B58B8"/>
    <w:rsid w:val="003B64C7"/>
    <w:rsid w:val="003B7808"/>
    <w:rsid w:val="003C0792"/>
    <w:rsid w:val="003D13FD"/>
    <w:rsid w:val="003D4003"/>
    <w:rsid w:val="003D6138"/>
    <w:rsid w:val="003E1A1D"/>
    <w:rsid w:val="003E67E3"/>
    <w:rsid w:val="003E79A5"/>
    <w:rsid w:val="003F31AD"/>
    <w:rsid w:val="003F5A2E"/>
    <w:rsid w:val="003F7207"/>
    <w:rsid w:val="00404EBF"/>
    <w:rsid w:val="00405BA5"/>
    <w:rsid w:val="00407D4B"/>
    <w:rsid w:val="00411CC6"/>
    <w:rsid w:val="00412C07"/>
    <w:rsid w:val="004143B0"/>
    <w:rsid w:val="00415F5A"/>
    <w:rsid w:val="00416039"/>
    <w:rsid w:val="004203C1"/>
    <w:rsid w:val="00420B7E"/>
    <w:rsid w:val="00420C59"/>
    <w:rsid w:val="00421767"/>
    <w:rsid w:val="0042197D"/>
    <w:rsid w:val="00422CED"/>
    <w:rsid w:val="00423EC4"/>
    <w:rsid w:val="004257BC"/>
    <w:rsid w:val="00427C92"/>
    <w:rsid w:val="00433B13"/>
    <w:rsid w:val="00433DB4"/>
    <w:rsid w:val="004379B7"/>
    <w:rsid w:val="00444981"/>
    <w:rsid w:val="004450A9"/>
    <w:rsid w:val="00446F72"/>
    <w:rsid w:val="00454B72"/>
    <w:rsid w:val="0045664F"/>
    <w:rsid w:val="00456670"/>
    <w:rsid w:val="00466F83"/>
    <w:rsid w:val="00467D8A"/>
    <w:rsid w:val="00472BB7"/>
    <w:rsid w:val="00475F92"/>
    <w:rsid w:val="00482EAC"/>
    <w:rsid w:val="0048308D"/>
    <w:rsid w:val="00486295"/>
    <w:rsid w:val="00486621"/>
    <w:rsid w:val="00486BF4"/>
    <w:rsid w:val="0049002D"/>
    <w:rsid w:val="00491A4E"/>
    <w:rsid w:val="00493DEF"/>
    <w:rsid w:val="0049446C"/>
    <w:rsid w:val="004954AD"/>
    <w:rsid w:val="004954D8"/>
    <w:rsid w:val="004B0CDC"/>
    <w:rsid w:val="004B3E19"/>
    <w:rsid w:val="004B63A7"/>
    <w:rsid w:val="004B7BA6"/>
    <w:rsid w:val="004C2399"/>
    <w:rsid w:val="004C5799"/>
    <w:rsid w:val="004C76E1"/>
    <w:rsid w:val="004D0C5E"/>
    <w:rsid w:val="004D32D7"/>
    <w:rsid w:val="004D773F"/>
    <w:rsid w:val="004D7C15"/>
    <w:rsid w:val="004E044E"/>
    <w:rsid w:val="004E128B"/>
    <w:rsid w:val="004E3C75"/>
    <w:rsid w:val="004E73EE"/>
    <w:rsid w:val="004E7B26"/>
    <w:rsid w:val="004F1861"/>
    <w:rsid w:val="004F3262"/>
    <w:rsid w:val="004F76E6"/>
    <w:rsid w:val="00500399"/>
    <w:rsid w:val="0050040A"/>
    <w:rsid w:val="005020F8"/>
    <w:rsid w:val="00505022"/>
    <w:rsid w:val="005060EF"/>
    <w:rsid w:val="00506FA1"/>
    <w:rsid w:val="00507CF3"/>
    <w:rsid w:val="00513273"/>
    <w:rsid w:val="00514979"/>
    <w:rsid w:val="005203DB"/>
    <w:rsid w:val="00523E89"/>
    <w:rsid w:val="005270C8"/>
    <w:rsid w:val="0053120E"/>
    <w:rsid w:val="0053159E"/>
    <w:rsid w:val="0053365B"/>
    <w:rsid w:val="005337DE"/>
    <w:rsid w:val="00537D9E"/>
    <w:rsid w:val="00543B15"/>
    <w:rsid w:val="00553BB2"/>
    <w:rsid w:val="0056058C"/>
    <w:rsid w:val="005641D1"/>
    <w:rsid w:val="00565264"/>
    <w:rsid w:val="0057264B"/>
    <w:rsid w:val="0057406A"/>
    <w:rsid w:val="005806E8"/>
    <w:rsid w:val="005808B0"/>
    <w:rsid w:val="00582D5D"/>
    <w:rsid w:val="00583120"/>
    <w:rsid w:val="005845E2"/>
    <w:rsid w:val="00596F7F"/>
    <w:rsid w:val="005A17DA"/>
    <w:rsid w:val="005A3CE4"/>
    <w:rsid w:val="005A4B57"/>
    <w:rsid w:val="005A7F2C"/>
    <w:rsid w:val="005B0FEB"/>
    <w:rsid w:val="005B4468"/>
    <w:rsid w:val="005B7361"/>
    <w:rsid w:val="005B7EF1"/>
    <w:rsid w:val="005C08DC"/>
    <w:rsid w:val="005C2914"/>
    <w:rsid w:val="005C2CDA"/>
    <w:rsid w:val="005C64CC"/>
    <w:rsid w:val="005C6A97"/>
    <w:rsid w:val="005D007D"/>
    <w:rsid w:val="005D0F14"/>
    <w:rsid w:val="005D4AC0"/>
    <w:rsid w:val="005E040B"/>
    <w:rsid w:val="005E2B07"/>
    <w:rsid w:val="005E2EA6"/>
    <w:rsid w:val="005F08A1"/>
    <w:rsid w:val="005F0F47"/>
    <w:rsid w:val="005F3B12"/>
    <w:rsid w:val="005F4E29"/>
    <w:rsid w:val="005F638F"/>
    <w:rsid w:val="005F6651"/>
    <w:rsid w:val="005F6FE0"/>
    <w:rsid w:val="005F7C84"/>
    <w:rsid w:val="005F7FA9"/>
    <w:rsid w:val="0060433C"/>
    <w:rsid w:val="0060727C"/>
    <w:rsid w:val="00611B81"/>
    <w:rsid w:val="00636747"/>
    <w:rsid w:val="006405B5"/>
    <w:rsid w:val="00642549"/>
    <w:rsid w:val="00647952"/>
    <w:rsid w:val="00650ED7"/>
    <w:rsid w:val="00653539"/>
    <w:rsid w:val="00656C22"/>
    <w:rsid w:val="00663B7D"/>
    <w:rsid w:val="00664441"/>
    <w:rsid w:val="006663D0"/>
    <w:rsid w:val="006721AE"/>
    <w:rsid w:val="00673444"/>
    <w:rsid w:val="00674179"/>
    <w:rsid w:val="00674239"/>
    <w:rsid w:val="006752F3"/>
    <w:rsid w:val="00682577"/>
    <w:rsid w:val="0069452D"/>
    <w:rsid w:val="00695E33"/>
    <w:rsid w:val="00696EDF"/>
    <w:rsid w:val="0069725C"/>
    <w:rsid w:val="00697663"/>
    <w:rsid w:val="006A02D9"/>
    <w:rsid w:val="006A08B4"/>
    <w:rsid w:val="006A1E67"/>
    <w:rsid w:val="006A224F"/>
    <w:rsid w:val="006B06FF"/>
    <w:rsid w:val="006B3B80"/>
    <w:rsid w:val="006B3FA3"/>
    <w:rsid w:val="006B5764"/>
    <w:rsid w:val="006B5ECD"/>
    <w:rsid w:val="006B637D"/>
    <w:rsid w:val="006B7E7C"/>
    <w:rsid w:val="006C2EE4"/>
    <w:rsid w:val="006C3B06"/>
    <w:rsid w:val="006C3F53"/>
    <w:rsid w:val="006C43CA"/>
    <w:rsid w:val="006C5409"/>
    <w:rsid w:val="006D003B"/>
    <w:rsid w:val="006D1855"/>
    <w:rsid w:val="006D37BF"/>
    <w:rsid w:val="006E0A38"/>
    <w:rsid w:val="006E0B28"/>
    <w:rsid w:val="006E6D87"/>
    <w:rsid w:val="006F134F"/>
    <w:rsid w:val="00700544"/>
    <w:rsid w:val="00702144"/>
    <w:rsid w:val="00702423"/>
    <w:rsid w:val="007135D7"/>
    <w:rsid w:val="0071409C"/>
    <w:rsid w:val="007151B5"/>
    <w:rsid w:val="007154FE"/>
    <w:rsid w:val="00720C71"/>
    <w:rsid w:val="0072188E"/>
    <w:rsid w:val="0072434B"/>
    <w:rsid w:val="0072549A"/>
    <w:rsid w:val="007260DF"/>
    <w:rsid w:val="0072776C"/>
    <w:rsid w:val="0073241A"/>
    <w:rsid w:val="00734F14"/>
    <w:rsid w:val="00737C28"/>
    <w:rsid w:val="00740DDF"/>
    <w:rsid w:val="00741EF7"/>
    <w:rsid w:val="00745B76"/>
    <w:rsid w:val="00750DEB"/>
    <w:rsid w:val="0075263D"/>
    <w:rsid w:val="007564ED"/>
    <w:rsid w:val="007619F9"/>
    <w:rsid w:val="00761E5C"/>
    <w:rsid w:val="007642A5"/>
    <w:rsid w:val="00764918"/>
    <w:rsid w:val="00766A49"/>
    <w:rsid w:val="0076752D"/>
    <w:rsid w:val="00770753"/>
    <w:rsid w:val="007731FD"/>
    <w:rsid w:val="00773E14"/>
    <w:rsid w:val="00774768"/>
    <w:rsid w:val="00774E6C"/>
    <w:rsid w:val="00775A5B"/>
    <w:rsid w:val="00776665"/>
    <w:rsid w:val="007801FD"/>
    <w:rsid w:val="00783C73"/>
    <w:rsid w:val="007859E5"/>
    <w:rsid w:val="00787A5E"/>
    <w:rsid w:val="007935DB"/>
    <w:rsid w:val="007A141A"/>
    <w:rsid w:val="007A167E"/>
    <w:rsid w:val="007A223B"/>
    <w:rsid w:val="007A339C"/>
    <w:rsid w:val="007A5962"/>
    <w:rsid w:val="007A6F27"/>
    <w:rsid w:val="007B1517"/>
    <w:rsid w:val="007B5EC4"/>
    <w:rsid w:val="007C32F6"/>
    <w:rsid w:val="007C5699"/>
    <w:rsid w:val="007D29D0"/>
    <w:rsid w:val="007D6B00"/>
    <w:rsid w:val="007E0972"/>
    <w:rsid w:val="007E0F08"/>
    <w:rsid w:val="007E21DF"/>
    <w:rsid w:val="007E3FCF"/>
    <w:rsid w:val="007E6632"/>
    <w:rsid w:val="007F1C52"/>
    <w:rsid w:val="007F2624"/>
    <w:rsid w:val="007F4D63"/>
    <w:rsid w:val="008007E4"/>
    <w:rsid w:val="008074F4"/>
    <w:rsid w:val="008125AA"/>
    <w:rsid w:val="008144B6"/>
    <w:rsid w:val="00815E03"/>
    <w:rsid w:val="0082114E"/>
    <w:rsid w:val="00822A25"/>
    <w:rsid w:val="00824742"/>
    <w:rsid w:val="00824FA2"/>
    <w:rsid w:val="00831C9E"/>
    <w:rsid w:val="008342A1"/>
    <w:rsid w:val="00842CA3"/>
    <w:rsid w:val="00846284"/>
    <w:rsid w:val="00850EDB"/>
    <w:rsid w:val="00851423"/>
    <w:rsid w:val="00863F79"/>
    <w:rsid w:val="00864D7D"/>
    <w:rsid w:val="00865BDE"/>
    <w:rsid w:val="0087043F"/>
    <w:rsid w:val="0087619A"/>
    <w:rsid w:val="00885B66"/>
    <w:rsid w:val="00885E16"/>
    <w:rsid w:val="0089028B"/>
    <w:rsid w:val="00892DB9"/>
    <w:rsid w:val="00892F48"/>
    <w:rsid w:val="00892F70"/>
    <w:rsid w:val="0089332E"/>
    <w:rsid w:val="008A450F"/>
    <w:rsid w:val="008A670B"/>
    <w:rsid w:val="008B7EB0"/>
    <w:rsid w:val="008C0312"/>
    <w:rsid w:val="008C17FA"/>
    <w:rsid w:val="008C26E2"/>
    <w:rsid w:val="008C28FC"/>
    <w:rsid w:val="008D073F"/>
    <w:rsid w:val="008D4155"/>
    <w:rsid w:val="008D4780"/>
    <w:rsid w:val="008D7D72"/>
    <w:rsid w:val="008E3A8F"/>
    <w:rsid w:val="008E5DCD"/>
    <w:rsid w:val="008F10C3"/>
    <w:rsid w:val="008F1168"/>
    <w:rsid w:val="008F2440"/>
    <w:rsid w:val="008F3C41"/>
    <w:rsid w:val="008F6424"/>
    <w:rsid w:val="008F6D7F"/>
    <w:rsid w:val="008F7717"/>
    <w:rsid w:val="009012E8"/>
    <w:rsid w:val="009022E7"/>
    <w:rsid w:val="00914930"/>
    <w:rsid w:val="00915028"/>
    <w:rsid w:val="0091563D"/>
    <w:rsid w:val="0091594B"/>
    <w:rsid w:val="00915F8E"/>
    <w:rsid w:val="00917402"/>
    <w:rsid w:val="00917719"/>
    <w:rsid w:val="00921AD3"/>
    <w:rsid w:val="00927579"/>
    <w:rsid w:val="00927582"/>
    <w:rsid w:val="00927A24"/>
    <w:rsid w:val="00933A2A"/>
    <w:rsid w:val="00934CB5"/>
    <w:rsid w:val="00936C2E"/>
    <w:rsid w:val="00937BDF"/>
    <w:rsid w:val="009408F7"/>
    <w:rsid w:val="009410E0"/>
    <w:rsid w:val="00944FE5"/>
    <w:rsid w:val="0094505E"/>
    <w:rsid w:val="00945E43"/>
    <w:rsid w:val="00951818"/>
    <w:rsid w:val="009636D6"/>
    <w:rsid w:val="0096603F"/>
    <w:rsid w:val="0097234A"/>
    <w:rsid w:val="0097588D"/>
    <w:rsid w:val="00975E1F"/>
    <w:rsid w:val="0098318F"/>
    <w:rsid w:val="00985AB5"/>
    <w:rsid w:val="00986800"/>
    <w:rsid w:val="00987611"/>
    <w:rsid w:val="00990249"/>
    <w:rsid w:val="00993180"/>
    <w:rsid w:val="00994DAD"/>
    <w:rsid w:val="009A11CE"/>
    <w:rsid w:val="009A59EE"/>
    <w:rsid w:val="009A5F44"/>
    <w:rsid w:val="009B48C6"/>
    <w:rsid w:val="009B641F"/>
    <w:rsid w:val="009B7481"/>
    <w:rsid w:val="009C2D4D"/>
    <w:rsid w:val="009C625C"/>
    <w:rsid w:val="009C65CE"/>
    <w:rsid w:val="009D072C"/>
    <w:rsid w:val="009D2716"/>
    <w:rsid w:val="009E04BE"/>
    <w:rsid w:val="009E3765"/>
    <w:rsid w:val="009E450F"/>
    <w:rsid w:val="009E57C4"/>
    <w:rsid w:val="009F531E"/>
    <w:rsid w:val="009F6A41"/>
    <w:rsid w:val="00A0531F"/>
    <w:rsid w:val="00A0658F"/>
    <w:rsid w:val="00A06602"/>
    <w:rsid w:val="00A10EAD"/>
    <w:rsid w:val="00A12A78"/>
    <w:rsid w:val="00A13E5A"/>
    <w:rsid w:val="00A13F55"/>
    <w:rsid w:val="00A1633B"/>
    <w:rsid w:val="00A17FAC"/>
    <w:rsid w:val="00A23F31"/>
    <w:rsid w:val="00A244F2"/>
    <w:rsid w:val="00A27328"/>
    <w:rsid w:val="00A3138F"/>
    <w:rsid w:val="00A31F3B"/>
    <w:rsid w:val="00A34650"/>
    <w:rsid w:val="00A36214"/>
    <w:rsid w:val="00A424D6"/>
    <w:rsid w:val="00A4587B"/>
    <w:rsid w:val="00A52C76"/>
    <w:rsid w:val="00A52EE9"/>
    <w:rsid w:val="00A63A78"/>
    <w:rsid w:val="00A64EA0"/>
    <w:rsid w:val="00A700B3"/>
    <w:rsid w:val="00A74680"/>
    <w:rsid w:val="00A82147"/>
    <w:rsid w:val="00A842A6"/>
    <w:rsid w:val="00A8638B"/>
    <w:rsid w:val="00A914AA"/>
    <w:rsid w:val="00AA20B6"/>
    <w:rsid w:val="00AA4C1F"/>
    <w:rsid w:val="00AA57D9"/>
    <w:rsid w:val="00AA5889"/>
    <w:rsid w:val="00AB03F0"/>
    <w:rsid w:val="00AB1C0A"/>
    <w:rsid w:val="00AB48D2"/>
    <w:rsid w:val="00AB5851"/>
    <w:rsid w:val="00AB6505"/>
    <w:rsid w:val="00AC0BBE"/>
    <w:rsid w:val="00AC2F5A"/>
    <w:rsid w:val="00AD43FE"/>
    <w:rsid w:val="00AD4573"/>
    <w:rsid w:val="00AD5A9D"/>
    <w:rsid w:val="00AD6808"/>
    <w:rsid w:val="00AE0A18"/>
    <w:rsid w:val="00AE3F8C"/>
    <w:rsid w:val="00AE5DE8"/>
    <w:rsid w:val="00AF0F65"/>
    <w:rsid w:val="00AF20FE"/>
    <w:rsid w:val="00AF25E1"/>
    <w:rsid w:val="00AF5BF1"/>
    <w:rsid w:val="00B049BC"/>
    <w:rsid w:val="00B05414"/>
    <w:rsid w:val="00B05606"/>
    <w:rsid w:val="00B1158A"/>
    <w:rsid w:val="00B11A21"/>
    <w:rsid w:val="00B142A2"/>
    <w:rsid w:val="00B17B07"/>
    <w:rsid w:val="00B20CBC"/>
    <w:rsid w:val="00B260C3"/>
    <w:rsid w:val="00B34D11"/>
    <w:rsid w:val="00B40A83"/>
    <w:rsid w:val="00B46E60"/>
    <w:rsid w:val="00B51A50"/>
    <w:rsid w:val="00B52C30"/>
    <w:rsid w:val="00B5300C"/>
    <w:rsid w:val="00B5325A"/>
    <w:rsid w:val="00B60F55"/>
    <w:rsid w:val="00B6114B"/>
    <w:rsid w:val="00B63456"/>
    <w:rsid w:val="00B66A74"/>
    <w:rsid w:val="00B67096"/>
    <w:rsid w:val="00B734BA"/>
    <w:rsid w:val="00B7594B"/>
    <w:rsid w:val="00B83020"/>
    <w:rsid w:val="00B90A51"/>
    <w:rsid w:val="00B90D4A"/>
    <w:rsid w:val="00B93CDD"/>
    <w:rsid w:val="00B95C6E"/>
    <w:rsid w:val="00BA71BD"/>
    <w:rsid w:val="00BA7BA1"/>
    <w:rsid w:val="00BA7D07"/>
    <w:rsid w:val="00BB16E1"/>
    <w:rsid w:val="00BB2918"/>
    <w:rsid w:val="00BB3E08"/>
    <w:rsid w:val="00BC3627"/>
    <w:rsid w:val="00BC5BD7"/>
    <w:rsid w:val="00BC67F8"/>
    <w:rsid w:val="00BC69B0"/>
    <w:rsid w:val="00BD3D76"/>
    <w:rsid w:val="00BD6104"/>
    <w:rsid w:val="00BD7667"/>
    <w:rsid w:val="00BE1352"/>
    <w:rsid w:val="00BE2C34"/>
    <w:rsid w:val="00BE38E4"/>
    <w:rsid w:val="00BE642F"/>
    <w:rsid w:val="00BE7A8B"/>
    <w:rsid w:val="00BF0ECD"/>
    <w:rsid w:val="00BF454B"/>
    <w:rsid w:val="00BF7D26"/>
    <w:rsid w:val="00C017FE"/>
    <w:rsid w:val="00C02268"/>
    <w:rsid w:val="00C04852"/>
    <w:rsid w:val="00C10F0C"/>
    <w:rsid w:val="00C11F61"/>
    <w:rsid w:val="00C1328E"/>
    <w:rsid w:val="00C13A91"/>
    <w:rsid w:val="00C15291"/>
    <w:rsid w:val="00C153B1"/>
    <w:rsid w:val="00C20132"/>
    <w:rsid w:val="00C23B49"/>
    <w:rsid w:val="00C27C8E"/>
    <w:rsid w:val="00C31207"/>
    <w:rsid w:val="00C328A4"/>
    <w:rsid w:val="00C34791"/>
    <w:rsid w:val="00C378FA"/>
    <w:rsid w:val="00C412D4"/>
    <w:rsid w:val="00C41E7F"/>
    <w:rsid w:val="00C44B07"/>
    <w:rsid w:val="00C4540B"/>
    <w:rsid w:val="00C47C2A"/>
    <w:rsid w:val="00C5055D"/>
    <w:rsid w:val="00C514C7"/>
    <w:rsid w:val="00C51686"/>
    <w:rsid w:val="00C52912"/>
    <w:rsid w:val="00C52E4F"/>
    <w:rsid w:val="00C5446B"/>
    <w:rsid w:val="00C60172"/>
    <w:rsid w:val="00C61ECF"/>
    <w:rsid w:val="00C632D9"/>
    <w:rsid w:val="00C6616D"/>
    <w:rsid w:val="00C70AD6"/>
    <w:rsid w:val="00C76BD7"/>
    <w:rsid w:val="00C8000C"/>
    <w:rsid w:val="00C83A27"/>
    <w:rsid w:val="00C9137A"/>
    <w:rsid w:val="00C91F22"/>
    <w:rsid w:val="00C96363"/>
    <w:rsid w:val="00CA1673"/>
    <w:rsid w:val="00CA4CC2"/>
    <w:rsid w:val="00CA777D"/>
    <w:rsid w:val="00CB0F82"/>
    <w:rsid w:val="00CB4193"/>
    <w:rsid w:val="00CD3BAF"/>
    <w:rsid w:val="00CD4DE4"/>
    <w:rsid w:val="00CF2A3C"/>
    <w:rsid w:val="00CF307C"/>
    <w:rsid w:val="00CF39CD"/>
    <w:rsid w:val="00CF43F8"/>
    <w:rsid w:val="00CF4E40"/>
    <w:rsid w:val="00CF5611"/>
    <w:rsid w:val="00D00A08"/>
    <w:rsid w:val="00D013C8"/>
    <w:rsid w:val="00D03ED4"/>
    <w:rsid w:val="00D043E7"/>
    <w:rsid w:val="00D0593E"/>
    <w:rsid w:val="00D116BB"/>
    <w:rsid w:val="00D14E9C"/>
    <w:rsid w:val="00D205C2"/>
    <w:rsid w:val="00D22E99"/>
    <w:rsid w:val="00D23F9B"/>
    <w:rsid w:val="00D24CD9"/>
    <w:rsid w:val="00D257E5"/>
    <w:rsid w:val="00D27BAE"/>
    <w:rsid w:val="00D32A4D"/>
    <w:rsid w:val="00D36CAE"/>
    <w:rsid w:val="00D36EF5"/>
    <w:rsid w:val="00D3773D"/>
    <w:rsid w:val="00D431F2"/>
    <w:rsid w:val="00D47173"/>
    <w:rsid w:val="00D50CC7"/>
    <w:rsid w:val="00D5399D"/>
    <w:rsid w:val="00D72263"/>
    <w:rsid w:val="00D726A4"/>
    <w:rsid w:val="00D73706"/>
    <w:rsid w:val="00D76C80"/>
    <w:rsid w:val="00D839AE"/>
    <w:rsid w:val="00D865B9"/>
    <w:rsid w:val="00D86AD0"/>
    <w:rsid w:val="00D93F80"/>
    <w:rsid w:val="00D9559B"/>
    <w:rsid w:val="00D96DE5"/>
    <w:rsid w:val="00DA2865"/>
    <w:rsid w:val="00DA39CD"/>
    <w:rsid w:val="00DA5671"/>
    <w:rsid w:val="00DA66D7"/>
    <w:rsid w:val="00DB70BA"/>
    <w:rsid w:val="00DB7174"/>
    <w:rsid w:val="00DD0254"/>
    <w:rsid w:val="00DD0617"/>
    <w:rsid w:val="00DE0831"/>
    <w:rsid w:val="00DE08B6"/>
    <w:rsid w:val="00DE1E51"/>
    <w:rsid w:val="00DE1FB5"/>
    <w:rsid w:val="00DE27B8"/>
    <w:rsid w:val="00DE45DF"/>
    <w:rsid w:val="00DE583F"/>
    <w:rsid w:val="00DE5E9E"/>
    <w:rsid w:val="00DE7324"/>
    <w:rsid w:val="00E0152D"/>
    <w:rsid w:val="00E075D9"/>
    <w:rsid w:val="00E141AC"/>
    <w:rsid w:val="00E14507"/>
    <w:rsid w:val="00E16F09"/>
    <w:rsid w:val="00E26B1F"/>
    <w:rsid w:val="00E403E5"/>
    <w:rsid w:val="00E40936"/>
    <w:rsid w:val="00E4253D"/>
    <w:rsid w:val="00E45DBB"/>
    <w:rsid w:val="00E50F72"/>
    <w:rsid w:val="00E51CFA"/>
    <w:rsid w:val="00E51E94"/>
    <w:rsid w:val="00E53C80"/>
    <w:rsid w:val="00E54662"/>
    <w:rsid w:val="00E54C5D"/>
    <w:rsid w:val="00E55032"/>
    <w:rsid w:val="00E6203C"/>
    <w:rsid w:val="00E679A7"/>
    <w:rsid w:val="00E70F83"/>
    <w:rsid w:val="00E7238F"/>
    <w:rsid w:val="00E7364E"/>
    <w:rsid w:val="00E74E3E"/>
    <w:rsid w:val="00E81B53"/>
    <w:rsid w:val="00E82CFA"/>
    <w:rsid w:val="00E83A76"/>
    <w:rsid w:val="00E86451"/>
    <w:rsid w:val="00E86E39"/>
    <w:rsid w:val="00E872DE"/>
    <w:rsid w:val="00E90807"/>
    <w:rsid w:val="00E9158D"/>
    <w:rsid w:val="00E92017"/>
    <w:rsid w:val="00E92B36"/>
    <w:rsid w:val="00E92DD7"/>
    <w:rsid w:val="00E94998"/>
    <w:rsid w:val="00E952E4"/>
    <w:rsid w:val="00EA18E3"/>
    <w:rsid w:val="00EA260C"/>
    <w:rsid w:val="00EA656B"/>
    <w:rsid w:val="00EB014D"/>
    <w:rsid w:val="00EB11AE"/>
    <w:rsid w:val="00EB31D2"/>
    <w:rsid w:val="00EC0F19"/>
    <w:rsid w:val="00EC2277"/>
    <w:rsid w:val="00EC6DA6"/>
    <w:rsid w:val="00EC7C2F"/>
    <w:rsid w:val="00EC7F7C"/>
    <w:rsid w:val="00ED12C0"/>
    <w:rsid w:val="00ED13BF"/>
    <w:rsid w:val="00ED16F7"/>
    <w:rsid w:val="00ED7695"/>
    <w:rsid w:val="00EE0015"/>
    <w:rsid w:val="00EE164B"/>
    <w:rsid w:val="00EE7804"/>
    <w:rsid w:val="00F0287F"/>
    <w:rsid w:val="00F0655A"/>
    <w:rsid w:val="00F11086"/>
    <w:rsid w:val="00F122BB"/>
    <w:rsid w:val="00F21A41"/>
    <w:rsid w:val="00F22F19"/>
    <w:rsid w:val="00F25810"/>
    <w:rsid w:val="00F331BE"/>
    <w:rsid w:val="00F4062B"/>
    <w:rsid w:val="00F40B0F"/>
    <w:rsid w:val="00F41922"/>
    <w:rsid w:val="00F4206D"/>
    <w:rsid w:val="00F421B4"/>
    <w:rsid w:val="00F50E9F"/>
    <w:rsid w:val="00F52099"/>
    <w:rsid w:val="00F56B77"/>
    <w:rsid w:val="00F5736E"/>
    <w:rsid w:val="00F5787A"/>
    <w:rsid w:val="00F60A0A"/>
    <w:rsid w:val="00F61DEB"/>
    <w:rsid w:val="00F66669"/>
    <w:rsid w:val="00F708E1"/>
    <w:rsid w:val="00F70E4F"/>
    <w:rsid w:val="00F76CD7"/>
    <w:rsid w:val="00F77473"/>
    <w:rsid w:val="00F800D5"/>
    <w:rsid w:val="00F87861"/>
    <w:rsid w:val="00F91123"/>
    <w:rsid w:val="00F91E8D"/>
    <w:rsid w:val="00F93826"/>
    <w:rsid w:val="00F974D5"/>
    <w:rsid w:val="00F97DAE"/>
    <w:rsid w:val="00FA2047"/>
    <w:rsid w:val="00FA6490"/>
    <w:rsid w:val="00FB164A"/>
    <w:rsid w:val="00FB1EDD"/>
    <w:rsid w:val="00FB3554"/>
    <w:rsid w:val="00FB54E9"/>
    <w:rsid w:val="00FB718A"/>
    <w:rsid w:val="00FC26DE"/>
    <w:rsid w:val="00FD138F"/>
    <w:rsid w:val="00FD366D"/>
    <w:rsid w:val="00FD61D3"/>
    <w:rsid w:val="00FD7572"/>
    <w:rsid w:val="00FD7747"/>
    <w:rsid w:val="00FE42AC"/>
    <w:rsid w:val="00FE7C37"/>
    <w:rsid w:val="00FF5698"/>
    <w:rsid w:val="00FF6B16"/>
    <w:rsid w:val="01D93776"/>
    <w:rsid w:val="01F577B9"/>
    <w:rsid w:val="022167D2"/>
    <w:rsid w:val="023545E6"/>
    <w:rsid w:val="02483CA8"/>
    <w:rsid w:val="0259405D"/>
    <w:rsid w:val="02A87A41"/>
    <w:rsid w:val="02C35F1A"/>
    <w:rsid w:val="0543483B"/>
    <w:rsid w:val="054826E6"/>
    <w:rsid w:val="05486BF5"/>
    <w:rsid w:val="055C366D"/>
    <w:rsid w:val="059D0C5B"/>
    <w:rsid w:val="05AA6458"/>
    <w:rsid w:val="05AE0EA7"/>
    <w:rsid w:val="05CB7009"/>
    <w:rsid w:val="06870DAC"/>
    <w:rsid w:val="06922C24"/>
    <w:rsid w:val="06BF4FE7"/>
    <w:rsid w:val="07740842"/>
    <w:rsid w:val="07773497"/>
    <w:rsid w:val="080240DB"/>
    <w:rsid w:val="08BC3F7D"/>
    <w:rsid w:val="09593BE6"/>
    <w:rsid w:val="097B6FF1"/>
    <w:rsid w:val="09DF4FD2"/>
    <w:rsid w:val="0A152E7E"/>
    <w:rsid w:val="0A2D1211"/>
    <w:rsid w:val="0A66188B"/>
    <w:rsid w:val="0A841691"/>
    <w:rsid w:val="0BD71EE3"/>
    <w:rsid w:val="0C695DCD"/>
    <w:rsid w:val="0CA66CC1"/>
    <w:rsid w:val="0CE73CE2"/>
    <w:rsid w:val="0D6F211C"/>
    <w:rsid w:val="0E1378E5"/>
    <w:rsid w:val="0E2813BC"/>
    <w:rsid w:val="0E330069"/>
    <w:rsid w:val="0E9A42BB"/>
    <w:rsid w:val="0FF22D75"/>
    <w:rsid w:val="101007C5"/>
    <w:rsid w:val="116C0DA5"/>
    <w:rsid w:val="12DD29B7"/>
    <w:rsid w:val="12E74761"/>
    <w:rsid w:val="12F91650"/>
    <w:rsid w:val="136F5708"/>
    <w:rsid w:val="138C04F1"/>
    <w:rsid w:val="139F4C26"/>
    <w:rsid w:val="13EF32B1"/>
    <w:rsid w:val="140677C1"/>
    <w:rsid w:val="14494DA0"/>
    <w:rsid w:val="146F074D"/>
    <w:rsid w:val="152016D6"/>
    <w:rsid w:val="159E1414"/>
    <w:rsid w:val="15C13076"/>
    <w:rsid w:val="16001B5A"/>
    <w:rsid w:val="16142C2C"/>
    <w:rsid w:val="164160AE"/>
    <w:rsid w:val="16F54AFF"/>
    <w:rsid w:val="17C12A54"/>
    <w:rsid w:val="1978453B"/>
    <w:rsid w:val="199961DA"/>
    <w:rsid w:val="1AB766D3"/>
    <w:rsid w:val="1B1E5671"/>
    <w:rsid w:val="1BF251FB"/>
    <w:rsid w:val="1C1E7791"/>
    <w:rsid w:val="1C2C1439"/>
    <w:rsid w:val="1C530D68"/>
    <w:rsid w:val="1C953F06"/>
    <w:rsid w:val="1CDE5D67"/>
    <w:rsid w:val="1D7338A6"/>
    <w:rsid w:val="1E4F567E"/>
    <w:rsid w:val="1F43662E"/>
    <w:rsid w:val="1F85078D"/>
    <w:rsid w:val="203175DD"/>
    <w:rsid w:val="20C22B0F"/>
    <w:rsid w:val="212577C9"/>
    <w:rsid w:val="21E309CC"/>
    <w:rsid w:val="22781FE1"/>
    <w:rsid w:val="228C1924"/>
    <w:rsid w:val="231321D1"/>
    <w:rsid w:val="244D7E8B"/>
    <w:rsid w:val="248C0836"/>
    <w:rsid w:val="26C2123A"/>
    <w:rsid w:val="27192C51"/>
    <w:rsid w:val="27DD580C"/>
    <w:rsid w:val="285F0DD4"/>
    <w:rsid w:val="28B71259"/>
    <w:rsid w:val="294F6A51"/>
    <w:rsid w:val="299E51AB"/>
    <w:rsid w:val="2B185B0D"/>
    <w:rsid w:val="2C4347F7"/>
    <w:rsid w:val="2CBE60B3"/>
    <w:rsid w:val="2CC422A3"/>
    <w:rsid w:val="2D3F3099"/>
    <w:rsid w:val="2DBE47DC"/>
    <w:rsid w:val="2E5D760A"/>
    <w:rsid w:val="2E997E89"/>
    <w:rsid w:val="2EA02B25"/>
    <w:rsid w:val="2EBB4636"/>
    <w:rsid w:val="30443666"/>
    <w:rsid w:val="304478B7"/>
    <w:rsid w:val="31054673"/>
    <w:rsid w:val="31373757"/>
    <w:rsid w:val="318800B8"/>
    <w:rsid w:val="31A67991"/>
    <w:rsid w:val="327169B3"/>
    <w:rsid w:val="32B413B0"/>
    <w:rsid w:val="32BD5199"/>
    <w:rsid w:val="32DA04F5"/>
    <w:rsid w:val="33525A0A"/>
    <w:rsid w:val="3386387A"/>
    <w:rsid w:val="33984B88"/>
    <w:rsid w:val="33C62097"/>
    <w:rsid w:val="33F6199A"/>
    <w:rsid w:val="34BE693E"/>
    <w:rsid w:val="34DF2DE7"/>
    <w:rsid w:val="3606082A"/>
    <w:rsid w:val="36607940"/>
    <w:rsid w:val="3679122E"/>
    <w:rsid w:val="36E22959"/>
    <w:rsid w:val="37C67B3A"/>
    <w:rsid w:val="38352242"/>
    <w:rsid w:val="38B7769F"/>
    <w:rsid w:val="38E24762"/>
    <w:rsid w:val="38FB076B"/>
    <w:rsid w:val="396C2796"/>
    <w:rsid w:val="3A65734A"/>
    <w:rsid w:val="3AA77AD9"/>
    <w:rsid w:val="3CCF420F"/>
    <w:rsid w:val="3D010241"/>
    <w:rsid w:val="3D6019E2"/>
    <w:rsid w:val="3E3F15FA"/>
    <w:rsid w:val="3EA83A40"/>
    <w:rsid w:val="3EBE0E18"/>
    <w:rsid w:val="3F263F12"/>
    <w:rsid w:val="3F6B4D22"/>
    <w:rsid w:val="3F972198"/>
    <w:rsid w:val="404919BE"/>
    <w:rsid w:val="407812DD"/>
    <w:rsid w:val="40865790"/>
    <w:rsid w:val="40BE43E7"/>
    <w:rsid w:val="41BD2E20"/>
    <w:rsid w:val="423C58E6"/>
    <w:rsid w:val="427F06AC"/>
    <w:rsid w:val="42ED2564"/>
    <w:rsid w:val="42F04B90"/>
    <w:rsid w:val="43BC78EC"/>
    <w:rsid w:val="458512A6"/>
    <w:rsid w:val="45EA14EE"/>
    <w:rsid w:val="45F4257A"/>
    <w:rsid w:val="463B1AAA"/>
    <w:rsid w:val="463F04DF"/>
    <w:rsid w:val="46851492"/>
    <w:rsid w:val="46975AF3"/>
    <w:rsid w:val="46E6270B"/>
    <w:rsid w:val="47174E47"/>
    <w:rsid w:val="474F32D6"/>
    <w:rsid w:val="47772291"/>
    <w:rsid w:val="47C03AAC"/>
    <w:rsid w:val="48DC2BE3"/>
    <w:rsid w:val="493577ED"/>
    <w:rsid w:val="49415DBF"/>
    <w:rsid w:val="49553CAC"/>
    <w:rsid w:val="49632188"/>
    <w:rsid w:val="498F735A"/>
    <w:rsid w:val="49971004"/>
    <w:rsid w:val="4A705D29"/>
    <w:rsid w:val="4AC026BD"/>
    <w:rsid w:val="4B392FD5"/>
    <w:rsid w:val="4BA14D45"/>
    <w:rsid w:val="4BCD0145"/>
    <w:rsid w:val="4CE47A3E"/>
    <w:rsid w:val="4CEB2A43"/>
    <w:rsid w:val="4D2852AE"/>
    <w:rsid w:val="4DAF2B52"/>
    <w:rsid w:val="4DD26988"/>
    <w:rsid w:val="4E41582A"/>
    <w:rsid w:val="4EB77DE7"/>
    <w:rsid w:val="4FBD68F8"/>
    <w:rsid w:val="502A390E"/>
    <w:rsid w:val="505121FE"/>
    <w:rsid w:val="5084796D"/>
    <w:rsid w:val="51560155"/>
    <w:rsid w:val="519B1BA0"/>
    <w:rsid w:val="51DE5599"/>
    <w:rsid w:val="51F77181"/>
    <w:rsid w:val="52621F83"/>
    <w:rsid w:val="53F372ED"/>
    <w:rsid w:val="543F4416"/>
    <w:rsid w:val="54C70160"/>
    <w:rsid w:val="54F619AF"/>
    <w:rsid w:val="54FC014A"/>
    <w:rsid w:val="55233E35"/>
    <w:rsid w:val="55495A6C"/>
    <w:rsid w:val="55597748"/>
    <w:rsid w:val="555C3769"/>
    <w:rsid w:val="572D0997"/>
    <w:rsid w:val="5751077E"/>
    <w:rsid w:val="57E56DE8"/>
    <w:rsid w:val="58210661"/>
    <w:rsid w:val="5948587F"/>
    <w:rsid w:val="597A0CF9"/>
    <w:rsid w:val="5A992B2C"/>
    <w:rsid w:val="5AFB1B92"/>
    <w:rsid w:val="5B047FE2"/>
    <w:rsid w:val="5B5271CD"/>
    <w:rsid w:val="5C54349C"/>
    <w:rsid w:val="5C7239E0"/>
    <w:rsid w:val="5C9725E4"/>
    <w:rsid w:val="5CF46AC5"/>
    <w:rsid w:val="5D365FD4"/>
    <w:rsid w:val="5D491E3A"/>
    <w:rsid w:val="5D94403E"/>
    <w:rsid w:val="5DF83CD8"/>
    <w:rsid w:val="5E180D90"/>
    <w:rsid w:val="5E1E0ACC"/>
    <w:rsid w:val="5E492213"/>
    <w:rsid w:val="5E527EC3"/>
    <w:rsid w:val="5E665441"/>
    <w:rsid w:val="5F296C2A"/>
    <w:rsid w:val="5FB64157"/>
    <w:rsid w:val="5FEC0957"/>
    <w:rsid w:val="60145E67"/>
    <w:rsid w:val="614B4BC0"/>
    <w:rsid w:val="616D01B4"/>
    <w:rsid w:val="61B131C8"/>
    <w:rsid w:val="62674E7A"/>
    <w:rsid w:val="628711C7"/>
    <w:rsid w:val="629B181D"/>
    <w:rsid w:val="62A5476F"/>
    <w:rsid w:val="62B3538F"/>
    <w:rsid w:val="62B40821"/>
    <w:rsid w:val="63711198"/>
    <w:rsid w:val="63D66457"/>
    <w:rsid w:val="6409526A"/>
    <w:rsid w:val="645D6907"/>
    <w:rsid w:val="64DA4F14"/>
    <w:rsid w:val="65233802"/>
    <w:rsid w:val="66A1426F"/>
    <w:rsid w:val="672512E6"/>
    <w:rsid w:val="672D4C66"/>
    <w:rsid w:val="677231B7"/>
    <w:rsid w:val="687B1AC6"/>
    <w:rsid w:val="689451EC"/>
    <w:rsid w:val="689F0630"/>
    <w:rsid w:val="699E3128"/>
    <w:rsid w:val="69AB3883"/>
    <w:rsid w:val="6A511A1B"/>
    <w:rsid w:val="6B242E96"/>
    <w:rsid w:val="6B391AB4"/>
    <w:rsid w:val="6B6443A0"/>
    <w:rsid w:val="6BC46FCF"/>
    <w:rsid w:val="6BE03119"/>
    <w:rsid w:val="6D394FFA"/>
    <w:rsid w:val="6D5C3B68"/>
    <w:rsid w:val="6E4861B3"/>
    <w:rsid w:val="6EC2522B"/>
    <w:rsid w:val="6ED40A7D"/>
    <w:rsid w:val="6F0408C9"/>
    <w:rsid w:val="6F9F5752"/>
    <w:rsid w:val="6FEA13A8"/>
    <w:rsid w:val="6FF4258B"/>
    <w:rsid w:val="70225701"/>
    <w:rsid w:val="702F63A9"/>
    <w:rsid w:val="70E24EF9"/>
    <w:rsid w:val="71CF1479"/>
    <w:rsid w:val="71FE3A25"/>
    <w:rsid w:val="72176D98"/>
    <w:rsid w:val="72484353"/>
    <w:rsid w:val="734E035F"/>
    <w:rsid w:val="73E2393B"/>
    <w:rsid w:val="73EC233E"/>
    <w:rsid w:val="74394A4C"/>
    <w:rsid w:val="77FB607A"/>
    <w:rsid w:val="780A2C9F"/>
    <w:rsid w:val="783D79A3"/>
    <w:rsid w:val="78664122"/>
    <w:rsid w:val="791B706C"/>
    <w:rsid w:val="79B96A83"/>
    <w:rsid w:val="79C66977"/>
    <w:rsid w:val="7ADE77A7"/>
    <w:rsid w:val="7B5E4B72"/>
    <w:rsid w:val="7B5F5E64"/>
    <w:rsid w:val="7B8C3430"/>
    <w:rsid w:val="7BB74F57"/>
    <w:rsid w:val="7C1A111F"/>
    <w:rsid w:val="7CCE4378"/>
    <w:rsid w:val="7CD27F73"/>
    <w:rsid w:val="7D670B73"/>
    <w:rsid w:val="7D6A7849"/>
    <w:rsid w:val="7D9A3483"/>
    <w:rsid w:val="7DA63861"/>
    <w:rsid w:val="7E1A5D65"/>
    <w:rsid w:val="7E3E49D2"/>
    <w:rsid w:val="7E7E2A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8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toc 3"/>
    <w:basedOn w:val="1"/>
    <w:next w:val="1"/>
    <w:qFormat/>
    <w:locked/>
    <w:uiPriority w:val="39"/>
    <w:pPr>
      <w:ind w:left="840" w:leftChars="400"/>
    </w:pPr>
  </w:style>
  <w:style w:type="paragraph" w:styleId="6">
    <w:name w:val="Balloon Text"/>
    <w:basedOn w:val="1"/>
    <w:link w:val="19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dot" w:pos="9170"/>
      </w:tabs>
      <w:spacing w:before="120" w:after="120"/>
      <w:jc w:val="left"/>
    </w:pPr>
    <w:rPr>
      <w:rFonts w:ascii="宋体" w:hAnsi="宋体" w:cs="宋体"/>
      <w:b/>
      <w:bCs/>
      <w:caps/>
      <w:color w:val="000000"/>
      <w:sz w:val="24"/>
      <w:szCs w:val="24"/>
    </w:rPr>
  </w:style>
  <w:style w:type="paragraph" w:styleId="10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1">
    <w:name w:val="toc 2"/>
    <w:basedOn w:val="1"/>
    <w:next w:val="1"/>
    <w:qFormat/>
    <w:uiPriority w:val="39"/>
    <w:pPr>
      <w:tabs>
        <w:tab w:val="right" w:leader="dot" w:pos="9170"/>
      </w:tabs>
      <w:spacing w:line="360" w:lineRule="auto"/>
      <w:ind w:left="210"/>
    </w:pPr>
    <w:rPr>
      <w:rFonts w:ascii="宋体" w:hAnsi="宋体" w:cs="宋体"/>
      <w:b/>
      <w:bCs/>
      <w:smallCaps/>
      <w:color w:val="000000"/>
      <w:sz w:val="24"/>
      <w:szCs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qFormat/>
    <w:uiPriority w:val="99"/>
    <w:rPr>
      <w:color w:val="0000FF"/>
      <w:u w:val="single"/>
    </w:rPr>
  </w:style>
  <w:style w:type="character" w:customStyle="1" w:styleId="17">
    <w:name w:val="标题 1 Char"/>
    <w:basedOn w:val="14"/>
    <w:link w:val="2"/>
    <w:qFormat/>
    <w:locked/>
    <w:uiPriority w:val="99"/>
    <w:rPr>
      <w:rFonts w:eastAsia="黑体"/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qFormat/>
    <w:locked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19">
    <w:name w:val="批注框文本 Char"/>
    <w:basedOn w:val="14"/>
    <w:link w:val="6"/>
    <w:semiHidden/>
    <w:qFormat/>
    <w:locked/>
    <w:uiPriority w:val="99"/>
    <w:rPr>
      <w:sz w:val="18"/>
      <w:szCs w:val="18"/>
    </w:rPr>
  </w:style>
  <w:style w:type="character" w:customStyle="1" w:styleId="20">
    <w:name w:val="页脚 Char"/>
    <w:basedOn w:val="14"/>
    <w:link w:val="7"/>
    <w:qFormat/>
    <w:locked/>
    <w:uiPriority w:val="99"/>
    <w:rPr>
      <w:sz w:val="18"/>
      <w:szCs w:val="18"/>
    </w:rPr>
  </w:style>
  <w:style w:type="character" w:customStyle="1" w:styleId="21">
    <w:name w:val="页眉 Char"/>
    <w:basedOn w:val="14"/>
    <w:link w:val="8"/>
    <w:qFormat/>
    <w:locked/>
    <w:uiPriority w:val="99"/>
    <w:rPr>
      <w:sz w:val="18"/>
      <w:szCs w:val="18"/>
    </w:rPr>
  </w:style>
  <w:style w:type="character" w:customStyle="1" w:styleId="22">
    <w:name w:val="副标题 Char"/>
    <w:basedOn w:val="14"/>
    <w:link w:val="10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23">
    <w:name w:val="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24">
    <w:name w:val="txt4"/>
    <w:basedOn w:val="14"/>
    <w:qFormat/>
    <w:uiPriority w:val="99"/>
  </w:style>
  <w:style w:type="paragraph" w:customStyle="1" w:styleId="25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color w:val="365F91"/>
      <w:kern w:val="0"/>
      <w:sz w:val="28"/>
      <w:szCs w:val="28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</w:style>
  <w:style w:type="character" w:customStyle="1" w:styleId="27">
    <w:name w:val="apple-converted-space"/>
    <w:basedOn w:val="14"/>
    <w:qFormat/>
    <w:uiPriority w:val="0"/>
  </w:style>
  <w:style w:type="character" w:customStyle="1" w:styleId="28">
    <w:name w:val="文档结构图 Char"/>
    <w:basedOn w:val="14"/>
    <w:link w:val="4"/>
    <w:semiHidden/>
    <w:qFormat/>
    <w:uiPriority w:val="99"/>
    <w:rPr>
      <w:rFonts w:ascii="宋体" w:hAnsi="Calibri" w:cs="Calibri"/>
      <w:kern w:val="2"/>
      <w:sz w:val="18"/>
      <w:szCs w:val="18"/>
    </w:rPr>
  </w:style>
  <w:style w:type="paragraph" w:styleId="29">
    <w:name w:val="No Spacing"/>
    <w:link w:val="3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0">
    <w:name w:val="无间隔 Char"/>
    <w:basedOn w:val="14"/>
    <w:link w:val="29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styleId="3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745</Words>
  <Characters>4249</Characters>
  <Lines>35</Lines>
  <Paragraphs>9</Paragraphs>
  <TotalTime>5</TotalTime>
  <ScaleCrop>false</ScaleCrop>
  <LinksUpToDate>false</LinksUpToDate>
  <CharactersWithSpaces>4985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2018-07-12T05:18:00Z</dcterms:created>
  <dc:creator>AutoBVT</dc:creator>
  <cp:lastModifiedBy>° 胡先生</cp:lastModifiedBy>
  <dcterms:modified xsi:type="dcterms:W3CDTF">2019-10-25T05:15:29Z</dcterms:modified>
  <cp:revision>358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