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cs="Times New Roman"/>
        </w:rPr>
      </w:pPr>
      <w:bookmarkStart w:id="0" w:name="_Toc485828985"/>
      <w:r>
        <w:drawing>
          <wp:anchor distT="0" distB="0" distL="114300" distR="114300" simplePos="0" relativeHeight="251659264" behindDoc="1" locked="0" layoutInCell="1" allowOverlap="1">
            <wp:simplePos x="0" y="0"/>
            <wp:positionH relativeFrom="column">
              <wp:posOffset>-787400</wp:posOffset>
            </wp:positionH>
            <wp:positionV relativeFrom="paragraph">
              <wp:posOffset>-1370330</wp:posOffset>
            </wp:positionV>
            <wp:extent cx="7644765" cy="10696575"/>
            <wp:effectExtent l="19050" t="0" r="0" b="0"/>
            <wp:wrapNone/>
            <wp:docPr id="3"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封面.jpg"/>
                    <pic:cNvPicPr>
                      <a:picLocks noChangeAspect="1" noChangeArrowheads="1"/>
                    </pic:cNvPicPr>
                  </pic:nvPicPr>
                  <pic:blipFill>
                    <a:blip r:embed="rId6"/>
                    <a:srcRect/>
                    <a:stretch>
                      <a:fillRect/>
                    </a:stretch>
                  </pic:blipFill>
                  <pic:spPr>
                    <a:xfrm>
                      <a:off x="0" y="0"/>
                      <a:ext cx="7644765" cy="10696575"/>
                    </a:xfrm>
                    <a:prstGeom prst="rect">
                      <a:avLst/>
                    </a:prstGeom>
                    <a:noFill/>
                  </pic:spPr>
                </pic:pic>
              </a:graphicData>
            </a:graphic>
          </wp:anchor>
        </w:drawing>
      </w:r>
    </w:p>
    <w:p>
      <w:pPr>
        <w:spacing w:line="400" w:lineRule="exact"/>
        <w:rPr>
          <w:rFonts w:cs="Times New Roman"/>
        </w:rPr>
      </w:pPr>
      <w:r>
        <w:pict>
          <v:shape id="文本框 2" o:spid="_x0000_s1028" o:spt="202" type="#_x0000_t202" style="position:absolute;left:0pt;margin-left:36.9pt;margin-top:586.45pt;height:110.7pt;width:419.1pt;z-index:251656192;mso-width-relative:page;mso-height-relative:page;" filled="f" stroked="f" coordsize="21600,21600">
            <v:path/>
            <v:fill on="f" focussize="0,0"/>
            <v:stroke on="f" joinstyle="miter"/>
            <v:imagedata o:title=""/>
            <o:lock v:ext="edit"/>
            <v:textbox>
              <w:txbxContent>
                <w:p>
                  <w:pPr>
                    <w:pStyle w:val="23"/>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责任编辑：庞浩明思</w:t>
                  </w:r>
                </w:p>
                <w:p>
                  <w:pPr>
                    <w:pStyle w:val="23"/>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18513790720</w:t>
                  </w:r>
                </w:p>
                <w:p>
                  <w:pPr>
                    <w:pStyle w:val="23"/>
                    <w:rPr>
                      <w:rFonts w:ascii="黑体" w:hAnsi="宋体" w:eastAsia="黑体" w:cs="黑体"/>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86-010-85725399</w:t>
                  </w:r>
                </w:p>
                <w:p>
                  <w:pPr>
                    <w:pStyle w:val="23"/>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编辑邮箱：</w:t>
                  </w:r>
                  <w:r>
                    <w:fldChar w:fldCharType="begin"/>
                  </w:r>
                  <w:r>
                    <w:instrText xml:space="preserve"> HYPERLINK "mailto:hljbsc2017zsw@163.com" </w:instrText>
                  </w:r>
                  <w:r>
                    <w:fldChar w:fldCharType="separate"/>
                  </w:r>
                  <w:r>
                    <w:rPr>
                      <w:rStyle w:val="16"/>
                      <w:rFonts w:ascii="黑体" w:hAnsi="宋体" w:eastAsia="黑体" w:cs="黑体"/>
                      <w:color w:val="auto"/>
                      <w:kern w:val="2"/>
                      <w:sz w:val="24"/>
                      <w:szCs w:val="24"/>
                      <w:u w:val="none"/>
                      <w:lang w:eastAsia="zh-CN"/>
                    </w:rPr>
                    <w:t>hljbsc2017zsw@163.com</w:t>
                  </w:r>
                  <w:r>
                    <w:rPr>
                      <w:rStyle w:val="16"/>
                      <w:rFonts w:ascii="黑体" w:hAnsi="宋体" w:eastAsia="黑体" w:cs="黑体"/>
                      <w:color w:val="auto"/>
                      <w:kern w:val="2"/>
                      <w:sz w:val="24"/>
                      <w:szCs w:val="24"/>
                      <w:u w:val="none"/>
                      <w:lang w:eastAsia="zh-CN"/>
                    </w:rPr>
                    <w:fldChar w:fldCharType="end"/>
                  </w:r>
                </w:p>
                <w:p>
                  <w:pPr>
                    <w:pStyle w:val="23"/>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地址：北京市朝阳区高碑店东区</w:t>
                  </w:r>
                  <w:r>
                    <w:rPr>
                      <w:rFonts w:ascii="黑体" w:hAnsi="宋体" w:eastAsia="黑体" w:cs="黑体"/>
                      <w:kern w:val="2"/>
                      <w:sz w:val="24"/>
                      <w:szCs w:val="24"/>
                      <w:lang w:eastAsia="zh-CN"/>
                    </w:rPr>
                    <w:t>B</w:t>
                  </w:r>
                  <w:r>
                    <w:rPr>
                      <w:rFonts w:hint="eastAsia" w:ascii="黑体" w:hAnsi="宋体" w:eastAsia="黑体" w:cs="黑体"/>
                      <w:kern w:val="2"/>
                      <w:sz w:val="24"/>
                      <w:szCs w:val="24"/>
                      <w:lang w:eastAsia="zh-CN"/>
                    </w:rPr>
                    <w:t>区</w:t>
                  </w:r>
                  <w:r>
                    <w:rPr>
                      <w:rFonts w:ascii="黑体" w:hAnsi="宋体" w:eastAsia="黑体" w:cs="黑体"/>
                      <w:kern w:val="2"/>
                      <w:sz w:val="24"/>
                      <w:szCs w:val="24"/>
                      <w:lang w:eastAsia="zh-CN"/>
                    </w:rPr>
                    <w:t xml:space="preserve">8-1 </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p>
                <w:p>
                  <w:pPr>
                    <w:jc w:val="left"/>
                    <w:rPr>
                      <w:rFonts w:cs="Times New Roman"/>
                    </w:rPr>
                  </w:pPr>
                </w:p>
                <w:p>
                  <w:pPr>
                    <w:jc w:val="left"/>
                    <w:rPr>
                      <w:rFonts w:cs="Times New Roman"/>
                    </w:rPr>
                  </w:pPr>
                </w:p>
              </w:txbxContent>
            </v:textbox>
          </v:shape>
        </w:pict>
      </w:r>
      <w:r>
        <w:pict>
          <v:shape id="文本框 3" o:spid="_x0000_s1029" o:spt="202" type="#_x0000_t202" style="position:absolute;left:0pt;margin-left:175.45pt;margin-top:490.7pt;height:54.1pt;width:126.6pt;z-index:251657216;mso-width-relative:page;mso-height-relative:page;" filled="f" stroked="f" coordsize="21600,21600">
            <v:path/>
            <v:fill on="f" focussize="0,0"/>
            <v:stroke on="f" joinstyle="miter"/>
            <v:imagedata o:title=""/>
            <o:lock v:ext="edit"/>
            <v:textbox>
              <w:txbxContent>
                <w:p>
                  <w:pPr>
                    <w:pStyle w:val="2"/>
                    <w:rPr>
                      <w:rFonts w:hint="default" w:eastAsia="黑体"/>
                      <w:lang w:val="en-US" w:eastAsia="zh-CN"/>
                    </w:rPr>
                  </w:pPr>
                  <w:bookmarkStart w:id="476" w:name="_Toc485981320"/>
                  <w:bookmarkStart w:id="477" w:name="_Toc485828984"/>
                  <w:bookmarkStart w:id="478" w:name="_Toc13217629"/>
                  <w:r>
                    <w:rPr>
                      <w:kern w:val="2"/>
                    </w:rPr>
                    <w:t>201</w:t>
                  </w:r>
                  <w:r>
                    <w:rPr>
                      <w:rFonts w:hint="eastAsia"/>
                      <w:kern w:val="2"/>
                    </w:rPr>
                    <w:t>9</w:t>
                  </w:r>
                  <w:r>
                    <w:rPr>
                      <w:kern w:val="2"/>
                    </w:rPr>
                    <w:t>.</w:t>
                  </w:r>
                  <w:bookmarkEnd w:id="476"/>
                  <w:bookmarkEnd w:id="477"/>
                  <w:r>
                    <w:rPr>
                      <w:rFonts w:hint="eastAsia"/>
                      <w:kern w:val="2"/>
                      <w:lang w:val="en-US" w:eastAsia="zh-CN"/>
                    </w:rPr>
                    <w:t>12</w:t>
                  </w:r>
                  <w:r>
                    <w:rPr>
                      <w:rFonts w:hint="eastAsia"/>
                      <w:kern w:val="2"/>
                    </w:rPr>
                    <w:t>.</w:t>
                  </w:r>
                  <w:bookmarkEnd w:id="478"/>
                  <w:r>
                    <w:rPr>
                      <w:rFonts w:hint="eastAsia"/>
                      <w:kern w:val="2"/>
                      <w:lang w:val="en-US" w:eastAsia="zh-CN"/>
                    </w:rPr>
                    <w:t>13</w:t>
                  </w:r>
                </w:p>
              </w:txbxContent>
            </v:textbox>
          </v:shape>
        </w:pict>
      </w:r>
      <w:r>
        <w:rPr>
          <w:rFonts w:cs="Times New Roman"/>
        </w:rPr>
        <w:br w:type="page"/>
      </w:r>
      <w:r>
        <w:rPr>
          <w:rFonts w:ascii="Times New Roman" w:eastAsia="黑体"/>
          <w:sz w:val="32"/>
          <w:szCs w:val="32"/>
        </w:rPr>
        <w:pict>
          <v:shape id="_x0000_s1030" o:spid="_x0000_s1030" o:spt="202" type="#_x0000_t202" style="position:absolute;left:0pt;margin-left:-0.9pt;margin-top:34.7pt;height:565.3pt;width:492pt;z-index:251658240;mso-width-relative:page;mso-height-relative:page;" filled="f" stroked="f" coordsize="21600,21600">
            <v:path/>
            <v:fill on="f" focussize="0,0"/>
            <v:stroke on="f" joinstyle="miter"/>
            <v:imagedata o:title=""/>
            <o:lock v:ext="edit"/>
            <v:textbox>
              <w:txbxContent>
                <w:p>
                  <w:pPr>
                    <w:pStyle w:val="23"/>
                    <w:spacing w:line="240" w:lineRule="auto"/>
                    <w:jc w:val="center"/>
                    <w:outlineLvl w:val="0"/>
                    <w:rPr>
                      <w:rFonts w:ascii="宋体" w:cs="Times New Roman"/>
                      <w:b/>
                      <w:bCs/>
                      <w:color w:val="000080"/>
                      <w:sz w:val="28"/>
                      <w:szCs w:val="28"/>
                      <w:lang w:eastAsia="zh-CN"/>
                    </w:rPr>
                  </w:pPr>
                  <w:bookmarkStart w:id="479" w:name="_Toc13217630"/>
                  <w:r>
                    <w:rPr>
                      <w:rFonts w:hint="eastAsia" w:ascii="宋体" w:hAnsi="宋体" w:cs="宋体"/>
                      <w:b/>
                      <w:bCs/>
                      <w:color w:val="000080"/>
                      <w:sz w:val="28"/>
                      <w:szCs w:val="28"/>
                      <w:lang w:eastAsia="zh-CN"/>
                    </w:rPr>
                    <w:t>氯碱市场周报目录</w:t>
                  </w:r>
                  <w:bookmarkEnd w:id="479"/>
                  <w:r>
                    <w:rPr>
                      <w:rFonts w:ascii="宋体" w:cs="Times New Roman"/>
                      <w:b/>
                      <w:bCs/>
                      <w:color w:val="000000"/>
                      <w:sz w:val="28"/>
                      <w:szCs w:val="28"/>
                      <w:lang w:eastAsia="zh-CN"/>
                    </w:rPr>
                    <w:tab/>
                  </w:r>
                  <w:r>
                    <w:rPr>
                      <w:rFonts w:ascii="宋体" w:cs="Times New Roman"/>
                      <w:b/>
                      <w:bCs/>
                      <w:color w:val="000000"/>
                      <w:sz w:val="28"/>
                      <w:szCs w:val="28"/>
                      <w:lang w:eastAsia="zh-CN"/>
                    </w:rPr>
                    <w:tab/>
                  </w:r>
                </w:p>
                <w:p>
                  <w:pPr>
                    <w:pStyle w:val="9"/>
                    <w:rPr>
                      <w:rFonts w:asciiTheme="minorHAnsi" w:hAnsiTheme="minorHAnsi" w:eastAsiaTheme="minorEastAsia" w:cstheme="minorBidi"/>
                      <w:b w:val="0"/>
                      <w:bCs w:val="0"/>
                      <w:caps w:val="0"/>
                      <w:color w:val="auto"/>
                      <w:sz w:val="21"/>
                      <w:szCs w:val="22"/>
                    </w:rPr>
                  </w:pPr>
                  <w:r>
                    <w:fldChar w:fldCharType="begin"/>
                  </w:r>
                  <w:r>
                    <w:instrText xml:space="preserve"> TOC \o "1-3" \h \z \u </w:instrText>
                  </w:r>
                  <w:r>
                    <w:fldChar w:fldCharType="separate"/>
                  </w:r>
                  <w:r>
                    <w:fldChar w:fldCharType="begin"/>
                  </w:r>
                  <w:r>
                    <w:instrText xml:space="preserve"> HYPERLINK "file:///C:\\Users\\Administrator.USER-20170424GR\\Desktop\\我之前\\周报\\周报\\氯碱.docx" \l "_Toc13217629" </w:instrText>
                  </w:r>
                  <w:r>
                    <w:fldChar w:fldCharType="separate"/>
                  </w:r>
                  <w:r>
                    <w:rPr>
                      <w:rStyle w:val="16"/>
                    </w:rPr>
                    <w:t>2019.</w:t>
                  </w:r>
                  <w:r>
                    <w:rPr>
                      <w:rStyle w:val="16"/>
                      <w:rFonts w:hint="eastAsia"/>
                      <w:lang w:val="en-US" w:eastAsia="zh-CN"/>
                    </w:rPr>
                    <w:t>12</w:t>
                  </w:r>
                  <w:r>
                    <w:rPr>
                      <w:rStyle w:val="16"/>
                    </w:rPr>
                    <w:t>.</w:t>
                  </w:r>
                  <w:r>
                    <w:rPr>
                      <w:rStyle w:val="16"/>
                      <w:rFonts w:hint="eastAsia"/>
                      <w:lang w:val="en-US" w:eastAsia="zh-CN"/>
                    </w:rPr>
                    <w:t>13</w:t>
                  </w:r>
                  <w:r>
                    <w:tab/>
                  </w:r>
                  <w:r>
                    <w:fldChar w:fldCharType="begin"/>
                  </w:r>
                  <w:r>
                    <w:instrText xml:space="preserve"> PAGEREF _Toc13217629 \h </w:instrText>
                  </w:r>
                  <w:r>
                    <w:fldChar w:fldCharType="separate"/>
                  </w:r>
                  <w:r>
                    <w:t>1</w:t>
                  </w:r>
                  <w:r>
                    <w:fldChar w:fldCharType="end"/>
                  </w:r>
                  <w:r>
                    <w:fldChar w:fldCharType="end"/>
                  </w:r>
                </w:p>
                <w:p>
                  <w:pPr>
                    <w:pStyle w:val="9"/>
                    <w:rPr>
                      <w:rFonts w:asciiTheme="minorHAnsi" w:hAnsiTheme="minorHAnsi" w:eastAsiaTheme="minorEastAsia" w:cstheme="minorBidi"/>
                      <w:b w:val="0"/>
                      <w:bCs w:val="0"/>
                      <w:caps w:val="0"/>
                      <w:color w:val="auto"/>
                      <w:sz w:val="21"/>
                      <w:szCs w:val="22"/>
                    </w:rPr>
                  </w:pPr>
                  <w:r>
                    <w:fldChar w:fldCharType="begin"/>
                  </w:r>
                  <w:r>
                    <w:instrText xml:space="preserve"> HYPERLINK "file:///C:\\Users\\Administrator.USER-20170424GR\\Desktop\\我之前\\周报\\周报\\氯碱.docx" \l "_Toc13217630" </w:instrText>
                  </w:r>
                  <w:r>
                    <w:fldChar w:fldCharType="separate"/>
                  </w:r>
                  <w:r>
                    <w:rPr>
                      <w:rStyle w:val="16"/>
                      <w:rFonts w:hint="eastAsia"/>
                    </w:rPr>
                    <w:t>氯碱市场周报目录</w:t>
                  </w:r>
                  <w:r>
                    <w:tab/>
                  </w:r>
                  <w:r>
                    <w:fldChar w:fldCharType="begin"/>
                  </w:r>
                  <w:r>
                    <w:instrText xml:space="preserve"> PAGEREF _Toc13217630 \h </w:instrText>
                  </w:r>
                  <w:r>
                    <w:fldChar w:fldCharType="separate"/>
                  </w:r>
                  <w:r>
                    <w:t>2</w:t>
                  </w:r>
                  <w:r>
                    <w:fldChar w:fldCharType="end"/>
                  </w:r>
                  <w:r>
                    <w:fldChar w:fldCharType="end"/>
                  </w:r>
                </w:p>
                <w:p>
                  <w:pPr>
                    <w:pStyle w:val="9"/>
                    <w:rPr>
                      <w:rFonts w:asciiTheme="minorHAnsi" w:hAnsiTheme="minorHAnsi" w:eastAsiaTheme="minorEastAsia" w:cstheme="minorBidi"/>
                      <w:b w:val="0"/>
                      <w:bCs w:val="0"/>
                      <w:caps w:val="0"/>
                      <w:color w:val="auto"/>
                      <w:sz w:val="21"/>
                      <w:szCs w:val="22"/>
                    </w:rPr>
                  </w:pPr>
                  <w:r>
                    <w:fldChar w:fldCharType="begin"/>
                  </w:r>
                  <w:r>
                    <w:instrText xml:space="preserve"> HYPERLINK \l "_Toc13217631" </w:instrText>
                  </w:r>
                  <w:r>
                    <w:fldChar w:fldCharType="separate"/>
                  </w:r>
                  <w:r>
                    <w:rPr>
                      <w:rStyle w:val="16"/>
                      <w:rFonts w:hint="eastAsia" w:cs="黑体"/>
                    </w:rPr>
                    <w:t>纯碱</w:t>
                  </w:r>
                  <w:r>
                    <w:tab/>
                  </w:r>
                  <w:r>
                    <w:fldChar w:fldCharType="begin"/>
                  </w:r>
                  <w:r>
                    <w:instrText xml:space="preserve"> PAGEREF _Toc13217631 \h </w:instrText>
                  </w:r>
                  <w:r>
                    <w:fldChar w:fldCharType="separate"/>
                  </w:r>
                  <w:r>
                    <w:t>3</w:t>
                  </w:r>
                  <w:r>
                    <w:fldChar w:fldCharType="end"/>
                  </w:r>
                  <w:r>
                    <w:fldChar w:fldCharType="end"/>
                  </w:r>
                </w:p>
                <w:p>
                  <w:pPr>
                    <w:pStyle w:val="11"/>
                    <w:rPr>
                      <w:rFonts w:asciiTheme="minorHAnsi" w:hAnsiTheme="minorHAnsi" w:eastAsiaTheme="minorEastAsia" w:cstheme="minorBidi"/>
                      <w:b w:val="0"/>
                      <w:bCs w:val="0"/>
                      <w:smallCaps w:val="0"/>
                      <w:color w:val="auto"/>
                      <w:sz w:val="21"/>
                      <w:szCs w:val="22"/>
                    </w:rPr>
                  </w:pPr>
                  <w:r>
                    <w:fldChar w:fldCharType="begin"/>
                  </w:r>
                  <w:r>
                    <w:instrText xml:space="preserve"> HYPERLINK \l "_Toc13217632" </w:instrText>
                  </w:r>
                  <w:r>
                    <w:fldChar w:fldCharType="separate"/>
                  </w:r>
                  <w:r>
                    <w:rPr>
                      <w:rStyle w:val="16"/>
                      <w:rFonts w:hint="eastAsia" w:ascii="黑体" w:hAnsi="黑体" w:eastAsia="黑体" w:cs="黑体"/>
                    </w:rPr>
                    <w:t>评述：本周纯碱市场评述及行情预测</w:t>
                  </w:r>
                  <w:r>
                    <w:tab/>
                  </w:r>
                  <w:r>
                    <w:fldChar w:fldCharType="begin"/>
                  </w:r>
                  <w:r>
                    <w:instrText xml:space="preserve"> PAGEREF _Toc13217632 \h </w:instrText>
                  </w:r>
                  <w:r>
                    <w:fldChar w:fldCharType="separate"/>
                  </w:r>
                  <w:r>
                    <w:t>3</w:t>
                  </w:r>
                  <w:r>
                    <w:fldChar w:fldCharType="end"/>
                  </w:r>
                  <w:r>
                    <w:fldChar w:fldCharType="end"/>
                  </w:r>
                </w:p>
                <w:p>
                  <w:pPr>
                    <w:pStyle w:val="11"/>
                    <w:rPr>
                      <w:rFonts w:asciiTheme="minorHAnsi" w:hAnsiTheme="minorHAnsi" w:eastAsiaTheme="minorEastAsia" w:cstheme="minorBidi"/>
                      <w:b w:val="0"/>
                      <w:bCs w:val="0"/>
                      <w:smallCaps w:val="0"/>
                      <w:color w:val="auto"/>
                      <w:sz w:val="21"/>
                      <w:szCs w:val="22"/>
                    </w:rPr>
                  </w:pPr>
                  <w:r>
                    <w:fldChar w:fldCharType="begin"/>
                  </w:r>
                  <w:r>
                    <w:instrText xml:space="preserve"> HYPERLINK \l "_Toc13217633" </w:instrText>
                  </w:r>
                  <w:r>
                    <w:fldChar w:fldCharType="separate"/>
                  </w:r>
                  <w:r>
                    <w:rPr>
                      <w:rStyle w:val="16"/>
                      <w:rFonts w:hint="eastAsia" w:ascii="黑体" w:hAnsi="黑体" w:eastAsia="黑体" w:cs="黑体"/>
                      <w:kern w:val="0"/>
                    </w:rPr>
                    <w:t>一、纯碱市场一周综述</w:t>
                  </w:r>
                  <w:r>
                    <w:tab/>
                  </w:r>
                  <w:r>
                    <w:fldChar w:fldCharType="begin"/>
                  </w:r>
                  <w:r>
                    <w:instrText xml:space="preserve"> PAGEREF _Toc13217633 \h </w:instrText>
                  </w:r>
                  <w:r>
                    <w:fldChar w:fldCharType="separate"/>
                  </w:r>
                  <w:r>
                    <w:t>3</w:t>
                  </w:r>
                  <w:r>
                    <w:fldChar w:fldCharType="end"/>
                  </w:r>
                  <w:r>
                    <w:fldChar w:fldCharType="end"/>
                  </w:r>
                </w:p>
                <w:p>
                  <w:pPr>
                    <w:pStyle w:val="11"/>
                    <w:rPr>
                      <w:rFonts w:asciiTheme="minorHAnsi" w:hAnsiTheme="minorHAnsi" w:eastAsiaTheme="minorEastAsia" w:cstheme="minorBidi"/>
                      <w:b w:val="0"/>
                      <w:bCs w:val="0"/>
                      <w:smallCaps w:val="0"/>
                      <w:color w:val="auto"/>
                      <w:sz w:val="21"/>
                      <w:szCs w:val="22"/>
                    </w:rPr>
                  </w:pPr>
                  <w:r>
                    <w:fldChar w:fldCharType="begin"/>
                  </w:r>
                  <w:r>
                    <w:instrText xml:space="preserve"> HYPERLINK \l "_Toc13217634" </w:instrText>
                  </w:r>
                  <w:r>
                    <w:fldChar w:fldCharType="separate"/>
                  </w:r>
                  <w:r>
                    <w:rPr>
                      <w:rStyle w:val="16"/>
                      <w:rFonts w:hint="eastAsia" w:ascii="黑体" w:hAnsi="黑体" w:eastAsia="黑体" w:cs="黑体"/>
                    </w:rPr>
                    <w:t>二、 影响市场因素及后市预测</w:t>
                  </w:r>
                  <w:r>
                    <w:tab/>
                  </w:r>
                  <w:r>
                    <w:fldChar w:fldCharType="begin"/>
                  </w:r>
                  <w:r>
                    <w:instrText xml:space="preserve"> PAGEREF _Toc13217634 \h </w:instrText>
                  </w:r>
                  <w:r>
                    <w:fldChar w:fldCharType="separate"/>
                  </w:r>
                  <w:r>
                    <w:t>4</w:t>
                  </w:r>
                  <w:r>
                    <w:fldChar w:fldCharType="end"/>
                  </w:r>
                  <w:r>
                    <w:fldChar w:fldCharType="end"/>
                  </w:r>
                </w:p>
                <w:p>
                  <w:pPr>
                    <w:pStyle w:val="5"/>
                    <w:tabs>
                      <w:tab w:val="right" w:leader="dot" w:pos="8494"/>
                    </w:tabs>
                    <w:rPr>
                      <w:rFonts w:asciiTheme="minorHAnsi" w:hAnsiTheme="minorHAnsi" w:eastAsiaTheme="minorEastAsia" w:cstheme="minorBidi"/>
                      <w:szCs w:val="22"/>
                    </w:rPr>
                  </w:pPr>
                  <w:r>
                    <w:fldChar w:fldCharType="begin"/>
                  </w:r>
                  <w:r>
                    <w:instrText xml:space="preserve"> HYPERLINK \l "_Toc13217635" </w:instrText>
                  </w:r>
                  <w:r>
                    <w:fldChar w:fldCharType="separate"/>
                  </w:r>
                  <w:r>
                    <w:rPr>
                      <w:rStyle w:val="16"/>
                      <w:rFonts w:hint="eastAsia"/>
                      <w:b/>
                      <w:bCs/>
                    </w:rPr>
                    <w:t>本周国内纯碱市场价格</w:t>
                  </w:r>
                  <w:r>
                    <w:tab/>
                  </w:r>
                  <w:r>
                    <w:fldChar w:fldCharType="begin"/>
                  </w:r>
                  <w:r>
                    <w:instrText xml:space="preserve"> PAGEREF _Toc13217635 \h </w:instrText>
                  </w:r>
                  <w:r>
                    <w:fldChar w:fldCharType="separate"/>
                  </w:r>
                  <w:r>
                    <w:t>5</w:t>
                  </w:r>
                  <w:r>
                    <w:fldChar w:fldCharType="end"/>
                  </w:r>
                  <w:r>
                    <w:fldChar w:fldCharType="end"/>
                  </w:r>
                </w:p>
                <w:p>
                  <w:pPr>
                    <w:pStyle w:val="9"/>
                    <w:rPr>
                      <w:rFonts w:asciiTheme="minorHAnsi" w:hAnsiTheme="minorHAnsi" w:eastAsiaTheme="minorEastAsia" w:cstheme="minorBidi"/>
                      <w:b w:val="0"/>
                      <w:bCs w:val="0"/>
                      <w:caps w:val="0"/>
                      <w:color w:val="auto"/>
                      <w:sz w:val="21"/>
                      <w:szCs w:val="22"/>
                    </w:rPr>
                  </w:pPr>
                  <w:r>
                    <w:fldChar w:fldCharType="begin"/>
                  </w:r>
                  <w:r>
                    <w:instrText xml:space="preserve"> HYPERLINK \l "_Toc13217636" </w:instrText>
                  </w:r>
                  <w:r>
                    <w:fldChar w:fldCharType="separate"/>
                  </w:r>
                  <w:r>
                    <w:rPr>
                      <w:rStyle w:val="16"/>
                      <w:rFonts w:hint="eastAsia" w:cs="黑体"/>
                    </w:rPr>
                    <w:t>烧碱</w:t>
                  </w:r>
                  <w:r>
                    <w:tab/>
                  </w:r>
                  <w:r>
                    <w:fldChar w:fldCharType="begin"/>
                  </w:r>
                  <w:r>
                    <w:instrText xml:space="preserve"> PAGEREF _Toc13217636 \h </w:instrText>
                  </w:r>
                  <w:r>
                    <w:fldChar w:fldCharType="separate"/>
                  </w:r>
                  <w:r>
                    <w:t>5</w:t>
                  </w:r>
                  <w:r>
                    <w:fldChar w:fldCharType="end"/>
                  </w:r>
                  <w:r>
                    <w:fldChar w:fldCharType="end"/>
                  </w:r>
                </w:p>
                <w:p>
                  <w:pPr>
                    <w:pStyle w:val="11"/>
                    <w:rPr>
                      <w:rFonts w:asciiTheme="minorHAnsi" w:hAnsiTheme="minorHAnsi" w:eastAsiaTheme="minorEastAsia" w:cstheme="minorBidi"/>
                      <w:b w:val="0"/>
                      <w:bCs w:val="0"/>
                      <w:smallCaps w:val="0"/>
                      <w:color w:val="auto"/>
                      <w:sz w:val="21"/>
                      <w:szCs w:val="22"/>
                    </w:rPr>
                  </w:pPr>
                  <w:r>
                    <w:fldChar w:fldCharType="begin"/>
                  </w:r>
                  <w:r>
                    <w:instrText xml:space="preserve"> HYPERLINK \l "_Toc13217637" </w:instrText>
                  </w:r>
                  <w:r>
                    <w:fldChar w:fldCharType="separate"/>
                  </w:r>
                  <w:r>
                    <w:rPr>
                      <w:rStyle w:val="16"/>
                      <w:rFonts w:hint="eastAsia" w:ascii="黑体" w:hAnsi="黑体" w:eastAsia="黑体" w:cs="黑体"/>
                    </w:rPr>
                    <w:t>中国烧碱市场行情综述</w:t>
                  </w:r>
                  <w:r>
                    <w:tab/>
                  </w:r>
                  <w:r>
                    <w:fldChar w:fldCharType="begin"/>
                  </w:r>
                  <w:r>
                    <w:instrText xml:space="preserve"> PAGEREF _Toc13217637 \h </w:instrText>
                  </w:r>
                  <w:r>
                    <w:fldChar w:fldCharType="separate"/>
                  </w:r>
                  <w:r>
                    <w:t>5</w:t>
                  </w:r>
                  <w:r>
                    <w:fldChar w:fldCharType="end"/>
                  </w:r>
                  <w:r>
                    <w:fldChar w:fldCharType="end"/>
                  </w:r>
                </w:p>
                <w:p>
                  <w:pPr>
                    <w:pStyle w:val="11"/>
                    <w:tabs>
                      <w:tab w:val="left" w:pos="1050"/>
                    </w:tabs>
                    <w:rPr>
                      <w:rFonts w:asciiTheme="minorHAnsi" w:hAnsiTheme="minorHAnsi" w:eastAsiaTheme="minorEastAsia" w:cstheme="minorBidi"/>
                      <w:b w:val="0"/>
                      <w:bCs w:val="0"/>
                      <w:smallCaps w:val="0"/>
                      <w:color w:val="auto"/>
                      <w:sz w:val="21"/>
                      <w:szCs w:val="22"/>
                    </w:rPr>
                  </w:pPr>
                  <w:r>
                    <w:fldChar w:fldCharType="begin"/>
                  </w:r>
                  <w:r>
                    <w:instrText xml:space="preserve"> HYPERLINK \l "_Toc13217638" </w:instrText>
                  </w:r>
                  <w:r>
                    <w:fldChar w:fldCharType="separate"/>
                  </w:r>
                  <w:r>
                    <w:rPr>
                      <w:rStyle w:val="16"/>
                      <w:rFonts w:hint="eastAsia" w:ascii="黑体" w:hAnsi="黑体" w:eastAsia="黑体" w:cs="黑体"/>
                    </w:rPr>
                    <w:t>一、</w:t>
                  </w:r>
                  <w:r>
                    <w:rPr>
                      <w:rFonts w:asciiTheme="minorHAnsi" w:hAnsiTheme="minorHAnsi" w:eastAsiaTheme="minorEastAsia" w:cstheme="minorBidi"/>
                      <w:b w:val="0"/>
                      <w:bCs w:val="0"/>
                      <w:smallCaps w:val="0"/>
                      <w:color w:val="auto"/>
                      <w:sz w:val="21"/>
                      <w:szCs w:val="22"/>
                    </w:rPr>
                    <w:tab/>
                  </w:r>
                  <w:r>
                    <w:rPr>
                      <w:rStyle w:val="16"/>
                      <w:rFonts w:hint="eastAsia" w:ascii="黑体" w:hAnsi="黑体" w:eastAsia="黑体" w:cs="黑体"/>
                    </w:rPr>
                    <w:t>市场综述</w:t>
                  </w:r>
                  <w:r>
                    <w:tab/>
                  </w:r>
                  <w:r>
                    <w:fldChar w:fldCharType="begin"/>
                  </w:r>
                  <w:r>
                    <w:instrText xml:space="preserve"> PAGEREF _Toc13217638 \h </w:instrText>
                  </w:r>
                  <w:r>
                    <w:fldChar w:fldCharType="separate"/>
                  </w:r>
                  <w:r>
                    <w:t>5</w:t>
                  </w:r>
                  <w:r>
                    <w:fldChar w:fldCharType="end"/>
                  </w:r>
                  <w:r>
                    <w:fldChar w:fldCharType="end"/>
                  </w:r>
                </w:p>
                <w:p>
                  <w:pPr>
                    <w:pStyle w:val="11"/>
                    <w:rPr>
                      <w:rFonts w:asciiTheme="minorHAnsi" w:hAnsiTheme="minorHAnsi" w:eastAsiaTheme="minorEastAsia" w:cstheme="minorBidi"/>
                      <w:b w:val="0"/>
                      <w:bCs w:val="0"/>
                      <w:smallCaps w:val="0"/>
                      <w:color w:val="auto"/>
                      <w:sz w:val="21"/>
                      <w:szCs w:val="22"/>
                    </w:rPr>
                  </w:pPr>
                  <w:r>
                    <w:fldChar w:fldCharType="begin"/>
                  </w:r>
                  <w:r>
                    <w:instrText xml:space="preserve"> HYPERLINK \l "_Toc13217639" </w:instrText>
                  </w:r>
                  <w:r>
                    <w:fldChar w:fldCharType="separate"/>
                  </w:r>
                  <w:r>
                    <w:rPr>
                      <w:rStyle w:val="16"/>
                      <w:rFonts w:hint="eastAsia"/>
                    </w:rPr>
                    <w:t>二、价格方面</w:t>
                  </w:r>
                  <w:r>
                    <w:tab/>
                  </w:r>
                  <w:r>
                    <w:fldChar w:fldCharType="begin"/>
                  </w:r>
                  <w:r>
                    <w:instrText xml:space="preserve"> PAGEREF _Toc13217639 \h </w:instrText>
                  </w:r>
                  <w:r>
                    <w:fldChar w:fldCharType="separate"/>
                  </w:r>
                  <w:r>
                    <w:t>6</w:t>
                  </w:r>
                  <w:r>
                    <w:fldChar w:fldCharType="end"/>
                  </w:r>
                  <w:r>
                    <w:fldChar w:fldCharType="end"/>
                  </w:r>
                </w:p>
                <w:p>
                  <w:pPr>
                    <w:pStyle w:val="5"/>
                    <w:tabs>
                      <w:tab w:val="right" w:leader="dot" w:pos="8494"/>
                    </w:tabs>
                    <w:rPr>
                      <w:rFonts w:asciiTheme="minorHAnsi" w:hAnsiTheme="minorHAnsi" w:eastAsiaTheme="minorEastAsia" w:cstheme="minorBidi"/>
                      <w:szCs w:val="22"/>
                    </w:rPr>
                  </w:pPr>
                  <w:r>
                    <w:fldChar w:fldCharType="begin"/>
                  </w:r>
                  <w:r>
                    <w:instrText xml:space="preserve"> HYPERLINK \l "_Toc13217640" </w:instrText>
                  </w:r>
                  <w:r>
                    <w:fldChar w:fldCharType="separate"/>
                  </w:r>
                  <w:r>
                    <w:rPr>
                      <w:rStyle w:val="16"/>
                      <w:rFonts w:hint="eastAsia"/>
                      <w:b/>
                      <w:bCs/>
                    </w:rPr>
                    <w:t>本周国内片碱实际成交周汇总</w:t>
                  </w:r>
                  <w:r>
                    <w:tab/>
                  </w:r>
                  <w:r>
                    <w:fldChar w:fldCharType="begin"/>
                  </w:r>
                  <w:r>
                    <w:instrText xml:space="preserve"> PAGEREF _Toc13217640 \h </w:instrText>
                  </w:r>
                  <w:r>
                    <w:fldChar w:fldCharType="separate"/>
                  </w:r>
                  <w:r>
                    <w:t>7</w:t>
                  </w:r>
                  <w:r>
                    <w:fldChar w:fldCharType="end"/>
                  </w:r>
                  <w:r>
                    <w:fldChar w:fldCharType="end"/>
                  </w:r>
                </w:p>
                <w:p>
                  <w:pPr>
                    <w:pStyle w:val="9"/>
                    <w:rPr>
                      <w:rFonts w:asciiTheme="minorHAnsi" w:hAnsiTheme="minorHAnsi" w:eastAsiaTheme="minorEastAsia" w:cstheme="minorBidi"/>
                      <w:b w:val="0"/>
                      <w:bCs w:val="0"/>
                      <w:caps w:val="0"/>
                      <w:color w:val="auto"/>
                      <w:sz w:val="21"/>
                      <w:szCs w:val="22"/>
                    </w:rPr>
                  </w:pPr>
                  <w:r>
                    <w:fldChar w:fldCharType="begin"/>
                  </w:r>
                  <w:r>
                    <w:instrText xml:space="preserve"> HYPERLINK \l "_Toc13217641" </w:instrText>
                  </w:r>
                  <w:r>
                    <w:fldChar w:fldCharType="separate"/>
                  </w:r>
                  <w:r>
                    <w:rPr>
                      <w:rStyle w:val="16"/>
                      <w:rFonts w:hint="eastAsia" w:cs="黑体"/>
                    </w:rPr>
                    <w:t>液氯</w:t>
                  </w:r>
                  <w:r>
                    <w:tab/>
                  </w:r>
                  <w:r>
                    <w:fldChar w:fldCharType="begin"/>
                  </w:r>
                  <w:r>
                    <w:instrText xml:space="preserve"> PAGEREF _Toc13217641 \h </w:instrText>
                  </w:r>
                  <w:r>
                    <w:fldChar w:fldCharType="separate"/>
                  </w:r>
                  <w:r>
                    <w:t>8</w:t>
                  </w:r>
                  <w:r>
                    <w:fldChar w:fldCharType="end"/>
                  </w:r>
                  <w:r>
                    <w:fldChar w:fldCharType="end"/>
                  </w:r>
                </w:p>
                <w:p>
                  <w:pPr>
                    <w:pStyle w:val="11"/>
                    <w:rPr>
                      <w:rFonts w:asciiTheme="minorHAnsi" w:hAnsiTheme="minorHAnsi" w:eastAsiaTheme="minorEastAsia" w:cstheme="minorBidi"/>
                      <w:b w:val="0"/>
                      <w:bCs w:val="0"/>
                      <w:smallCaps w:val="0"/>
                      <w:color w:val="auto"/>
                      <w:sz w:val="21"/>
                      <w:szCs w:val="22"/>
                    </w:rPr>
                  </w:pPr>
                  <w:r>
                    <w:fldChar w:fldCharType="begin"/>
                  </w:r>
                  <w:r>
                    <w:instrText xml:space="preserve"> HYPERLINK \l "_Toc13217642" </w:instrText>
                  </w:r>
                  <w:r>
                    <w:fldChar w:fldCharType="separate"/>
                  </w:r>
                  <w:r>
                    <w:rPr>
                      <w:rStyle w:val="16"/>
                      <w:rFonts w:hint="eastAsia" w:ascii="黑体" w:hAnsi="黑体" w:eastAsia="黑体" w:cs="黑体"/>
                    </w:rPr>
                    <w:t>评述：本周国内液氯市场评述及行情预测</w:t>
                  </w:r>
                  <w:r>
                    <w:tab/>
                  </w:r>
                  <w:r>
                    <w:fldChar w:fldCharType="begin"/>
                  </w:r>
                  <w:r>
                    <w:instrText xml:space="preserve"> PAGEREF _Toc13217642 \h </w:instrText>
                  </w:r>
                  <w:r>
                    <w:fldChar w:fldCharType="separate"/>
                  </w:r>
                  <w:r>
                    <w:t>8</w:t>
                  </w:r>
                  <w:r>
                    <w:fldChar w:fldCharType="end"/>
                  </w:r>
                  <w:r>
                    <w:fldChar w:fldCharType="end"/>
                  </w:r>
                </w:p>
                <w:p>
                  <w:pPr>
                    <w:pStyle w:val="11"/>
                    <w:rPr>
                      <w:rFonts w:asciiTheme="minorHAnsi" w:hAnsiTheme="minorHAnsi" w:eastAsiaTheme="minorEastAsia" w:cstheme="minorBidi"/>
                      <w:b w:val="0"/>
                      <w:bCs w:val="0"/>
                      <w:smallCaps w:val="0"/>
                      <w:color w:val="auto"/>
                      <w:sz w:val="21"/>
                      <w:szCs w:val="22"/>
                    </w:rPr>
                  </w:pPr>
                  <w:r>
                    <w:fldChar w:fldCharType="begin"/>
                  </w:r>
                  <w:r>
                    <w:instrText xml:space="preserve"> HYPERLINK \l "_Toc13217643" </w:instrText>
                  </w:r>
                  <w:r>
                    <w:fldChar w:fldCharType="separate"/>
                  </w:r>
                  <w:r>
                    <w:rPr>
                      <w:rStyle w:val="16"/>
                      <w:rFonts w:hint="eastAsia" w:ascii="黑体" w:hAnsi="黑体" w:eastAsia="黑体" w:cs="黑体"/>
                    </w:rPr>
                    <w:t>一、中国液氯市场行情综述</w:t>
                  </w:r>
                  <w:r>
                    <w:tab/>
                  </w:r>
                  <w:r>
                    <w:fldChar w:fldCharType="begin"/>
                  </w:r>
                  <w:r>
                    <w:instrText xml:space="preserve"> PAGEREF _Toc13217643 \h </w:instrText>
                  </w:r>
                  <w:r>
                    <w:fldChar w:fldCharType="separate"/>
                  </w:r>
                  <w:r>
                    <w:t>8</w:t>
                  </w:r>
                  <w:r>
                    <w:fldChar w:fldCharType="end"/>
                  </w:r>
                  <w:r>
                    <w:fldChar w:fldCharType="end"/>
                  </w:r>
                </w:p>
                <w:p>
                  <w:pPr>
                    <w:pStyle w:val="11"/>
                    <w:rPr>
                      <w:rFonts w:asciiTheme="minorHAnsi" w:hAnsiTheme="minorHAnsi" w:eastAsiaTheme="minorEastAsia" w:cstheme="minorBidi"/>
                      <w:b w:val="0"/>
                      <w:bCs w:val="0"/>
                      <w:smallCaps w:val="0"/>
                      <w:color w:val="auto"/>
                      <w:sz w:val="21"/>
                      <w:szCs w:val="22"/>
                    </w:rPr>
                  </w:pPr>
                  <w:r>
                    <w:fldChar w:fldCharType="begin"/>
                  </w:r>
                  <w:r>
                    <w:instrText xml:space="preserve"> HYPERLINK \l "_Toc13217644" </w:instrText>
                  </w:r>
                  <w:r>
                    <w:fldChar w:fldCharType="separate"/>
                  </w:r>
                  <w:r>
                    <w:rPr>
                      <w:rStyle w:val="16"/>
                      <w:rFonts w:hint="eastAsia" w:ascii="黑体" w:hAnsi="黑体" w:eastAsia="黑体" w:cs="黑体"/>
                    </w:rPr>
                    <w:t>二、市场价格</w:t>
                  </w:r>
                  <w:r>
                    <w:tab/>
                  </w:r>
                  <w:r>
                    <w:fldChar w:fldCharType="begin"/>
                  </w:r>
                  <w:r>
                    <w:instrText xml:space="preserve"> PAGEREF _Toc13217644 \h </w:instrText>
                  </w:r>
                  <w:r>
                    <w:fldChar w:fldCharType="separate"/>
                  </w:r>
                  <w:r>
                    <w:t>9</w:t>
                  </w:r>
                  <w:r>
                    <w:fldChar w:fldCharType="end"/>
                  </w:r>
                  <w:r>
                    <w:fldChar w:fldCharType="end"/>
                  </w:r>
                </w:p>
                <w:p>
                  <w:pPr>
                    <w:pStyle w:val="11"/>
                    <w:rPr>
                      <w:rFonts w:asciiTheme="minorHAnsi" w:hAnsiTheme="minorHAnsi" w:eastAsiaTheme="minorEastAsia" w:cstheme="minorBidi"/>
                      <w:b w:val="0"/>
                      <w:bCs w:val="0"/>
                      <w:smallCaps w:val="0"/>
                      <w:color w:val="auto"/>
                      <w:sz w:val="21"/>
                      <w:szCs w:val="22"/>
                    </w:rPr>
                  </w:pPr>
                  <w:r>
                    <w:fldChar w:fldCharType="begin"/>
                  </w:r>
                  <w:r>
                    <w:instrText xml:space="preserve"> HYPERLINK \l "_Toc13217645" </w:instrText>
                  </w:r>
                  <w:r>
                    <w:fldChar w:fldCharType="separate"/>
                  </w:r>
                  <w:r>
                    <w:rPr>
                      <w:rStyle w:val="16"/>
                      <w:rFonts w:hint="eastAsia" w:ascii="黑体" w:hAnsi="黑体" w:eastAsia="黑体" w:cs="黑体"/>
                    </w:rPr>
                    <w:t>三、山东市场分析</w:t>
                  </w:r>
                  <w:r>
                    <w:tab/>
                  </w:r>
                  <w:r>
                    <w:fldChar w:fldCharType="begin"/>
                  </w:r>
                  <w:r>
                    <w:instrText xml:space="preserve"> PAGEREF _Toc13217645 \h </w:instrText>
                  </w:r>
                  <w:r>
                    <w:fldChar w:fldCharType="separate"/>
                  </w:r>
                  <w:r>
                    <w:t>9</w:t>
                  </w:r>
                  <w:r>
                    <w:fldChar w:fldCharType="end"/>
                  </w:r>
                  <w:r>
                    <w:fldChar w:fldCharType="end"/>
                  </w:r>
                </w:p>
                <w:p>
                  <w:pPr>
                    <w:pStyle w:val="11"/>
                    <w:rPr>
                      <w:rFonts w:asciiTheme="minorHAnsi" w:hAnsiTheme="minorHAnsi" w:eastAsiaTheme="minorEastAsia" w:cstheme="minorBidi"/>
                      <w:b w:val="0"/>
                      <w:bCs w:val="0"/>
                      <w:smallCaps w:val="0"/>
                      <w:color w:val="auto"/>
                      <w:sz w:val="21"/>
                      <w:szCs w:val="22"/>
                    </w:rPr>
                  </w:pPr>
                  <w:r>
                    <w:fldChar w:fldCharType="begin"/>
                  </w:r>
                  <w:r>
                    <w:instrText xml:space="preserve"> HYPERLINK \l "_Toc13217646" </w:instrText>
                  </w:r>
                  <w:r>
                    <w:fldChar w:fldCharType="separate"/>
                  </w:r>
                  <w:r>
                    <w:rPr>
                      <w:rStyle w:val="16"/>
                      <w:rFonts w:hint="eastAsia" w:ascii="黑体" w:hAnsi="黑体" w:eastAsia="黑体" w:cs="黑体"/>
                    </w:rPr>
                    <w:t>四、后市分析</w:t>
                  </w:r>
                  <w:r>
                    <w:tab/>
                  </w:r>
                  <w:r>
                    <w:fldChar w:fldCharType="begin"/>
                  </w:r>
                  <w:r>
                    <w:instrText xml:space="preserve"> PAGEREF _Toc13217646 \h </w:instrText>
                  </w:r>
                  <w:r>
                    <w:fldChar w:fldCharType="separate"/>
                  </w:r>
                  <w:r>
                    <w:t>10</w:t>
                  </w:r>
                  <w:r>
                    <w:fldChar w:fldCharType="end"/>
                  </w:r>
                  <w:r>
                    <w:fldChar w:fldCharType="end"/>
                  </w:r>
                </w:p>
                <w:p>
                  <w:pPr>
                    <w:pStyle w:val="5"/>
                    <w:tabs>
                      <w:tab w:val="right" w:leader="dot" w:pos="8494"/>
                    </w:tabs>
                    <w:rPr>
                      <w:rFonts w:asciiTheme="minorHAnsi" w:hAnsiTheme="minorHAnsi" w:eastAsiaTheme="minorEastAsia" w:cstheme="minorBidi"/>
                      <w:szCs w:val="22"/>
                    </w:rPr>
                  </w:pPr>
                  <w:r>
                    <w:fldChar w:fldCharType="begin"/>
                  </w:r>
                  <w:r>
                    <w:instrText xml:space="preserve"> HYPERLINK \l "_Toc13217647" </w:instrText>
                  </w:r>
                  <w:r>
                    <w:fldChar w:fldCharType="separate"/>
                  </w:r>
                  <w:r>
                    <w:rPr>
                      <w:rStyle w:val="16"/>
                      <w:rFonts w:hint="eastAsia"/>
                      <w:b/>
                      <w:bCs/>
                    </w:rPr>
                    <w:t>国内地区市场价格</w:t>
                  </w:r>
                  <w:r>
                    <w:tab/>
                  </w:r>
                  <w:r>
                    <w:fldChar w:fldCharType="begin"/>
                  </w:r>
                  <w:r>
                    <w:instrText xml:space="preserve"> PAGEREF _Toc13217647 \h </w:instrText>
                  </w:r>
                  <w:r>
                    <w:fldChar w:fldCharType="separate"/>
                  </w:r>
                  <w:r>
                    <w:t>10</w:t>
                  </w:r>
                  <w:r>
                    <w:fldChar w:fldCharType="end"/>
                  </w:r>
                  <w:r>
                    <w:fldChar w:fldCharType="end"/>
                  </w:r>
                </w:p>
                <w:p>
                  <w:pPr>
                    <w:rPr>
                      <w:rFonts w:cs="Times New Roman"/>
                    </w:rPr>
                  </w:pPr>
                  <w:r>
                    <w:fldChar w:fldCharType="end"/>
                  </w:r>
                </w:p>
              </w:txbxContent>
            </v:textbox>
          </v:shape>
        </w:pict>
      </w:r>
      <w:r>
        <w:br w:type="page"/>
      </w:r>
      <w:bookmarkEnd w:id="0"/>
    </w:p>
    <w:p>
      <w:pPr>
        <w:pStyle w:val="2"/>
        <w:spacing w:line="400" w:lineRule="exact"/>
        <w:jc w:val="center"/>
        <w:rPr>
          <w:rStyle w:val="24"/>
          <w:color w:val="auto"/>
          <w:highlight w:val="none"/>
        </w:rPr>
      </w:pPr>
      <w:bookmarkStart w:id="1" w:name="_Toc536789785"/>
      <w:bookmarkStart w:id="2" w:name="_Toc1394100"/>
      <w:bookmarkStart w:id="3" w:name="_Toc511390005"/>
      <w:bookmarkStart w:id="4" w:name="_Toc522280054"/>
      <w:bookmarkStart w:id="5" w:name="_Toc518031999"/>
      <w:bookmarkStart w:id="6" w:name="_Toc519848557"/>
      <w:bookmarkStart w:id="7" w:name="_Toc527101790"/>
      <w:bookmarkStart w:id="8" w:name="_Toc516234891"/>
      <w:bookmarkStart w:id="9" w:name="_Toc13217631"/>
      <w:bookmarkStart w:id="10" w:name="_Toc9583952"/>
      <w:bookmarkStart w:id="11" w:name="_Toc12609903"/>
      <w:bookmarkStart w:id="12" w:name="_Toc522870760"/>
      <w:bookmarkStart w:id="13" w:name="_Toc532564260"/>
      <w:bookmarkStart w:id="14" w:name="_Toc533149330"/>
      <w:bookmarkStart w:id="15" w:name="_Toc534915165"/>
      <w:bookmarkStart w:id="16" w:name="_Toc518638259"/>
      <w:bookmarkStart w:id="17" w:name="_Toc4767063"/>
      <w:bookmarkStart w:id="18" w:name="_Toc516234897"/>
      <w:bookmarkStart w:id="19" w:name="_Toc527705000"/>
      <w:bookmarkStart w:id="20" w:name="_Toc531954272"/>
      <w:bookmarkStart w:id="21" w:name="_Toc522870769"/>
      <w:bookmarkStart w:id="22" w:name="_Toc525289546"/>
      <w:bookmarkStart w:id="23" w:name="_Toc516839084"/>
      <w:bookmarkStart w:id="24" w:name="_Toc520465076"/>
      <w:bookmarkStart w:id="25" w:name="_Toc8378815"/>
      <w:bookmarkStart w:id="26" w:name="_Toc528930993"/>
      <w:bookmarkStart w:id="27" w:name="_Toc1035930"/>
      <w:bookmarkStart w:id="28" w:name="_Toc522259764"/>
      <w:bookmarkStart w:id="29" w:name="_Toc522870745"/>
      <w:bookmarkStart w:id="30" w:name="_Toc515610373"/>
      <w:bookmarkStart w:id="31" w:name="_Toc532564063"/>
      <w:bookmarkStart w:id="32" w:name="_Toc513127190"/>
      <w:bookmarkStart w:id="33" w:name="_Toc536541137"/>
      <w:bookmarkStart w:id="34" w:name="_Toc530128349"/>
      <w:bookmarkStart w:id="35" w:name="_Toc525912526"/>
      <w:bookmarkStart w:id="36" w:name="_Toc528329956"/>
      <w:bookmarkStart w:id="37" w:name="_Toc535588708"/>
      <w:bookmarkStart w:id="38" w:name="_Toc8313133"/>
      <w:bookmarkStart w:id="39" w:name="_Toc8991653"/>
      <w:bookmarkStart w:id="40" w:name="_Toc4596891"/>
      <w:bookmarkStart w:id="41" w:name="_Toc1139285"/>
      <w:bookmarkStart w:id="42" w:name="_Toc536198167"/>
      <w:bookmarkStart w:id="43" w:name="_Toc528919986"/>
      <w:bookmarkStart w:id="44" w:name="_Toc1739294"/>
      <w:bookmarkStart w:id="45" w:name="_Toc522870751"/>
      <w:bookmarkStart w:id="46" w:name="_Toc525306474"/>
      <w:bookmarkStart w:id="47" w:name="_Toc517425038"/>
      <w:bookmarkStart w:id="48" w:name="_Toc534378400"/>
      <w:bookmarkStart w:id="49" w:name="_Toc532564037"/>
      <w:bookmarkStart w:id="50" w:name="_Toc524091681"/>
      <w:bookmarkStart w:id="51" w:name="_Toc529526325"/>
      <w:bookmarkStart w:id="52" w:name="_Toc9597659"/>
      <w:bookmarkStart w:id="53" w:name="_Toc10202308"/>
      <w:bookmarkStart w:id="54" w:name="_Toc4139106"/>
      <w:bookmarkStart w:id="55" w:name="_Toc536540307"/>
      <w:bookmarkStart w:id="56" w:name="_Toc392240276"/>
      <w:bookmarkStart w:id="57" w:name="_Toc521660547"/>
      <w:bookmarkStart w:id="58" w:name="_Toc485981321"/>
      <w:bookmarkStart w:id="59" w:name="_Toc524701464"/>
      <w:bookmarkStart w:id="60" w:name="_Toc525306463"/>
      <w:bookmarkStart w:id="61" w:name="_Toc521057601"/>
      <w:bookmarkStart w:id="62" w:name="_Toc4654028"/>
      <w:bookmarkStart w:id="63" w:name="_Toc530750139"/>
      <w:bookmarkStart w:id="64" w:name="_Toc300238840"/>
      <w:r>
        <w:rPr>
          <w:rFonts w:hint="eastAsia" w:cs="黑体"/>
          <w:color w:val="auto"/>
          <w:highlight w:val="none"/>
        </w:rPr>
        <w:t>纯碱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Start w:id="65" w:name="_Toc392240277"/>
      <w:bookmarkStart w:id="66" w:name="_Toc485981322"/>
    </w:p>
    <w:p>
      <w:pPr>
        <w:pStyle w:val="3"/>
        <w:snapToGrid w:val="0"/>
        <w:spacing w:before="0" w:after="0" w:line="400" w:lineRule="exact"/>
        <w:ind w:right="-145" w:rightChars="-69" w:firstLine="602" w:firstLineChars="200"/>
        <w:rPr>
          <w:rStyle w:val="24"/>
          <w:rFonts w:ascii="黑体" w:hAnsi="黑体" w:eastAsia="黑体" w:cs="黑体"/>
          <w:sz w:val="30"/>
          <w:szCs w:val="30"/>
          <w:highlight w:val="none"/>
        </w:rPr>
      </w:pPr>
      <w:bookmarkStart w:id="67" w:name="_Toc532564038"/>
      <w:bookmarkStart w:id="68" w:name="_Toc525912527"/>
      <w:bookmarkStart w:id="69" w:name="_Toc4654029"/>
      <w:bookmarkStart w:id="70" w:name="_Toc527101791"/>
      <w:bookmarkStart w:id="71" w:name="_Toc530128350"/>
      <w:bookmarkStart w:id="72" w:name="_Toc531954273"/>
      <w:bookmarkStart w:id="73" w:name="_Toc534915166"/>
      <w:bookmarkStart w:id="74" w:name="_Toc528329957"/>
      <w:bookmarkStart w:id="75" w:name="_Toc534378401"/>
      <w:bookmarkStart w:id="76" w:name="_Toc516234898"/>
      <w:bookmarkStart w:id="77" w:name="_Toc532564261"/>
      <w:bookmarkStart w:id="78" w:name="_Toc521660548"/>
      <w:bookmarkStart w:id="79" w:name="_Toc522259765"/>
      <w:bookmarkStart w:id="80" w:name="_Toc524701465"/>
      <w:bookmarkStart w:id="81" w:name="_Toc536789786"/>
      <w:bookmarkStart w:id="82" w:name="_Toc511390006"/>
      <w:bookmarkStart w:id="83" w:name="_Toc525306475"/>
      <w:bookmarkStart w:id="84" w:name="_Toc1739295"/>
      <w:bookmarkStart w:id="85" w:name="_Toc528919987"/>
      <w:bookmarkStart w:id="86" w:name="_Toc520465077"/>
      <w:bookmarkStart w:id="87" w:name="_Toc522870752"/>
      <w:bookmarkStart w:id="88" w:name="_Toc516234892"/>
      <w:bookmarkStart w:id="89" w:name="_Toc1139286"/>
      <w:bookmarkStart w:id="90" w:name="_Toc1035931"/>
      <w:bookmarkStart w:id="91" w:name="_Toc518032000"/>
      <w:bookmarkStart w:id="92" w:name="_Toc536198168"/>
      <w:bookmarkStart w:id="93" w:name="_Toc524091682"/>
      <w:bookmarkStart w:id="94" w:name="_Toc533149331"/>
      <w:bookmarkStart w:id="95" w:name="_Toc529526326"/>
      <w:bookmarkStart w:id="96" w:name="_Toc522870746"/>
      <w:bookmarkStart w:id="97" w:name="_Toc530750140"/>
      <w:bookmarkStart w:id="98" w:name="_Toc528930994"/>
      <w:bookmarkStart w:id="99" w:name="_Toc532564064"/>
      <w:bookmarkStart w:id="100" w:name="_Toc536540308"/>
      <w:bookmarkStart w:id="101" w:name="_Toc525289547"/>
      <w:bookmarkStart w:id="102" w:name="_Toc1394101"/>
      <w:bookmarkStart w:id="103" w:name="_Toc518638260"/>
      <w:bookmarkStart w:id="104" w:name="_Toc516839085"/>
      <w:bookmarkStart w:id="105" w:name="_Toc521057602"/>
      <w:bookmarkStart w:id="106" w:name="_Toc536541138"/>
      <w:bookmarkStart w:id="107" w:name="_Toc522280055"/>
      <w:bookmarkStart w:id="108" w:name="_Toc522870761"/>
      <w:bookmarkStart w:id="109" w:name="_Toc522870770"/>
      <w:bookmarkStart w:id="110" w:name="_Toc4596892"/>
      <w:bookmarkStart w:id="111" w:name="_Toc517425039"/>
      <w:bookmarkStart w:id="112" w:name="_Toc535588709"/>
      <w:bookmarkStart w:id="113" w:name="_Toc527705001"/>
      <w:bookmarkStart w:id="114" w:name="_Toc525306464"/>
      <w:bookmarkStart w:id="115" w:name="_Toc513127191"/>
      <w:bookmarkStart w:id="116" w:name="_Toc515610374"/>
      <w:bookmarkStart w:id="117" w:name="_Toc4139107"/>
      <w:bookmarkStart w:id="118" w:name="_Toc519848558"/>
    </w:p>
    <w:p>
      <w:pPr>
        <w:pStyle w:val="3"/>
        <w:snapToGrid w:val="0"/>
        <w:spacing w:before="0" w:after="0" w:line="400" w:lineRule="exact"/>
        <w:ind w:right="-145" w:rightChars="-69" w:firstLine="602" w:firstLineChars="200"/>
        <w:rPr>
          <w:rStyle w:val="24"/>
          <w:rFonts w:ascii="黑体" w:hAnsi="黑体" w:eastAsia="黑体" w:cs="黑体"/>
          <w:sz w:val="30"/>
          <w:szCs w:val="30"/>
          <w:highlight w:val="none"/>
        </w:rPr>
      </w:pPr>
      <w:bookmarkStart w:id="119" w:name="_Toc8313134"/>
      <w:bookmarkStart w:id="120" w:name="_Toc9583953"/>
      <w:bookmarkStart w:id="121" w:name="_Toc8991654"/>
      <w:bookmarkStart w:id="122" w:name="_Toc9597660"/>
      <w:bookmarkStart w:id="123" w:name="_Toc12609904"/>
      <w:bookmarkStart w:id="124" w:name="_Toc13217632"/>
      <w:bookmarkStart w:id="125" w:name="_Toc8378816"/>
      <w:bookmarkStart w:id="126" w:name="_Toc4767064"/>
      <w:bookmarkStart w:id="127" w:name="_Toc10202309"/>
      <w:r>
        <w:rPr>
          <w:rStyle w:val="24"/>
          <w:rFonts w:hint="eastAsia" w:ascii="黑体" w:hAnsi="黑体" w:eastAsia="黑体" w:cs="黑体"/>
          <w:sz w:val="30"/>
          <w:szCs w:val="30"/>
          <w:highlight w:val="none"/>
        </w:rPr>
        <w:t>评述：本周纯碱市场评述及行情预测</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pPr>
        <w:rPr>
          <w:highlight w:val="none"/>
        </w:rPr>
      </w:pPr>
    </w:p>
    <w:p>
      <w:pPr>
        <w:pStyle w:val="26"/>
        <w:widowControl/>
        <w:spacing w:line="400" w:lineRule="exact"/>
        <w:ind w:firstLine="600"/>
        <w:jc w:val="left"/>
        <w:outlineLvl w:val="1"/>
        <w:rPr>
          <w:rFonts w:hint="eastAsia" w:ascii="黑体" w:hAnsi="黑体" w:eastAsia="黑体" w:cs="黑体"/>
          <w:kern w:val="0"/>
          <w:sz w:val="30"/>
          <w:szCs w:val="30"/>
          <w:highlight w:val="none"/>
        </w:rPr>
      </w:pPr>
      <w:bookmarkStart w:id="128" w:name="_Toc12609905"/>
      <w:bookmarkStart w:id="129" w:name="_Toc9583954"/>
      <w:bookmarkStart w:id="130" w:name="_Toc8313135"/>
      <w:bookmarkStart w:id="131" w:name="_Toc9597661"/>
      <w:bookmarkStart w:id="132" w:name="_Toc4654030"/>
      <w:bookmarkStart w:id="133" w:name="_Toc10202310"/>
      <w:bookmarkStart w:id="134" w:name="_Toc4596893"/>
      <w:bookmarkStart w:id="135" w:name="_Toc8991655"/>
      <w:bookmarkStart w:id="136" w:name="_Toc4767065"/>
      <w:bookmarkStart w:id="137" w:name="_Toc13217633"/>
      <w:bookmarkStart w:id="138" w:name="_Toc8378817"/>
    </w:p>
    <w:p>
      <w:pPr>
        <w:pStyle w:val="26"/>
        <w:widowControl/>
        <w:spacing w:line="400" w:lineRule="exact"/>
        <w:ind w:firstLine="600"/>
        <w:jc w:val="left"/>
        <w:outlineLvl w:val="1"/>
        <w:rPr>
          <w:rFonts w:ascii="黑体" w:hAnsi="黑体" w:eastAsia="黑体" w:cs="Times New Roman"/>
          <w:sz w:val="30"/>
          <w:szCs w:val="30"/>
          <w:highlight w:val="none"/>
        </w:rPr>
      </w:pPr>
      <w:r>
        <w:rPr>
          <w:rFonts w:hint="eastAsia" w:ascii="黑体" w:hAnsi="黑体" w:eastAsia="黑体" w:cs="黑体"/>
          <w:kern w:val="0"/>
          <w:sz w:val="30"/>
          <w:szCs w:val="30"/>
          <w:highlight w:val="none"/>
        </w:rPr>
        <w:t>一、纯碱市场一周</w:t>
      </w:r>
      <w:bookmarkStart w:id="139" w:name="_Toc392240278"/>
      <w:r>
        <w:rPr>
          <w:rFonts w:hint="eastAsia" w:ascii="黑体" w:hAnsi="黑体" w:eastAsia="黑体" w:cs="黑体"/>
          <w:kern w:val="0"/>
          <w:sz w:val="30"/>
          <w:szCs w:val="30"/>
          <w:highlight w:val="none"/>
        </w:rPr>
        <w:t>综述</w:t>
      </w:r>
      <w:bookmarkEnd w:id="128"/>
      <w:bookmarkEnd w:id="129"/>
      <w:bookmarkEnd w:id="130"/>
      <w:bookmarkEnd w:id="131"/>
      <w:bookmarkEnd w:id="132"/>
      <w:bookmarkEnd w:id="133"/>
      <w:bookmarkEnd w:id="134"/>
      <w:bookmarkEnd w:id="135"/>
      <w:bookmarkEnd w:id="136"/>
      <w:bookmarkEnd w:id="137"/>
      <w:bookmarkEnd w:id="138"/>
    </w:p>
    <w:p>
      <w:pPr>
        <w:pStyle w:val="12"/>
        <w:ind w:firstLine="560" w:firstLineChars="200"/>
        <w:rPr>
          <w:rFonts w:hint="default" w:ascii="仿宋" w:hAnsi="仿宋" w:eastAsia="仿宋" w:cs="仿宋"/>
          <w:kern w:val="2"/>
          <w:sz w:val="28"/>
          <w:szCs w:val="28"/>
          <w:lang w:val="en-US" w:eastAsia="zh-CN"/>
        </w:rPr>
      </w:pPr>
      <w:r>
        <w:rPr>
          <w:rFonts w:hint="default" w:ascii="仿宋" w:hAnsi="仿宋" w:eastAsia="仿宋" w:cs="仿宋"/>
          <w:kern w:val="2"/>
          <w:sz w:val="28"/>
          <w:szCs w:val="28"/>
          <w:lang w:val="en-US" w:eastAsia="zh-CN"/>
        </w:rPr>
        <w:t>本周纯碱市场延续灵活跌价表现，轻质纯碱跌幅逐步收缩企稳，重质纯碱跌价凸显，跌幅在30-50元/吨不等。本周虽有480万吨装置涉及休整，开工负荷由9成高位降至8.5成，但国内纯碱企业库存高企，供应过剩矛盾仍显突出;下游需求方面表现平平，虽有少量用户考虑年末储量及运输影响有积极释放需求表现，但由于需求提振有限，导致市场持续疲软运行，交投价格仍不乏有灵活下行震荡表现。</w:t>
      </w:r>
    </w:p>
    <w:p>
      <w:pPr>
        <w:pStyle w:val="12"/>
        <w:ind w:firstLine="560" w:firstLineChars="200"/>
        <w:rPr>
          <w:rFonts w:hint="default" w:ascii="仿宋" w:hAnsi="仿宋" w:eastAsia="仿宋" w:cs="仿宋"/>
          <w:kern w:val="2"/>
          <w:sz w:val="28"/>
          <w:szCs w:val="28"/>
          <w:lang w:val="en-US" w:eastAsia="zh-CN"/>
        </w:rPr>
      </w:pPr>
      <w:r>
        <w:rPr>
          <w:rFonts w:hint="default" w:ascii="仿宋" w:hAnsi="仿宋" w:eastAsia="仿宋" w:cs="仿宋"/>
          <w:kern w:val="2"/>
          <w:sz w:val="28"/>
          <w:szCs w:val="28"/>
          <w:lang w:val="en-US" w:eastAsia="zh-CN"/>
        </w:rPr>
        <w:t>目前国内纯碱市场价格均已趋低，中东部区域轻质纯碱降无可降，重质纯碱也因月订单需求跟进而进一步走跌;西南区域大型厂家检修也未能止住该区域跌势，且西北外发来货源价格低廉，进一步刺激下游用户拿货僵持，出货率偏弱;东北、华南等地在华东及华中等多地发来货源的低价刺激下多随行就市运行。目前全国超半数纯碱企业产品售价越过成本警戒线，对于持续降价竞争市场意愿薄弱，且有不少厂家有调整生产想法，进一步防止亏损面的扩大，业者多谨慎观望为主。</w:t>
      </w:r>
    </w:p>
    <w:p>
      <w:pPr>
        <w:pStyle w:val="12"/>
        <w:ind w:firstLine="560" w:firstLineChars="200"/>
        <w:rPr>
          <w:rFonts w:hint="default" w:ascii="仿宋" w:hAnsi="仿宋" w:eastAsia="仿宋" w:cs="仿宋"/>
          <w:kern w:val="2"/>
          <w:sz w:val="28"/>
          <w:szCs w:val="28"/>
          <w:lang w:val="en-US" w:eastAsia="zh-CN"/>
        </w:rPr>
      </w:pPr>
      <w:r>
        <w:rPr>
          <w:rFonts w:hint="default" w:ascii="仿宋" w:hAnsi="仿宋" w:eastAsia="仿宋" w:cs="仿宋"/>
          <w:kern w:val="2"/>
          <w:sz w:val="28"/>
          <w:szCs w:val="28"/>
          <w:lang w:val="en-US" w:eastAsia="zh-CN"/>
        </w:rPr>
        <w:t>期货方面：截止2019年12月12日：主力合约SA2005收盘价1630元/吨，较昨日结算价下跌26元/吨，涨幅-1.57%，持仓70048手，增加4028手，成交245622手。</w:t>
      </w:r>
    </w:p>
    <w:p>
      <w:pPr>
        <w:pStyle w:val="12"/>
        <w:ind w:firstLine="560" w:firstLineChars="200"/>
        <w:rPr>
          <w:rFonts w:hint="default" w:ascii="仿宋" w:hAnsi="仿宋" w:eastAsia="仿宋" w:cs="仿宋"/>
          <w:kern w:val="2"/>
          <w:sz w:val="28"/>
          <w:szCs w:val="28"/>
          <w:lang w:val="en-US" w:eastAsia="zh-CN"/>
        </w:rPr>
      </w:pPr>
      <w:r>
        <w:rPr>
          <w:rFonts w:hint="default" w:ascii="仿宋" w:hAnsi="仿宋" w:eastAsia="仿宋" w:cs="仿宋"/>
          <w:kern w:val="2"/>
          <w:sz w:val="28"/>
          <w:szCs w:val="28"/>
          <w:lang w:val="en-US" w:eastAsia="zh-CN"/>
        </w:rPr>
        <w:t>本期12月12日轻碱指数1461，较上期12月6日指数变化幅度↓1.39%; 本期12月12日重碱指数1667，较上期12月6日指数变化幅度为↓2.36%。</w:t>
      </w:r>
    </w:p>
    <w:p>
      <w:pPr>
        <w:pStyle w:val="26"/>
        <w:widowControl/>
        <w:spacing w:line="400" w:lineRule="exact"/>
        <w:ind w:left="0" w:leftChars="0" w:firstLine="0" w:firstLineChars="0"/>
        <w:jc w:val="left"/>
        <w:outlineLvl w:val="1"/>
        <w:rPr>
          <w:rFonts w:hint="eastAsia" w:ascii="黑体" w:hAnsi="黑体" w:eastAsia="黑体" w:cs="黑体"/>
          <w:kern w:val="0"/>
          <w:sz w:val="30"/>
          <w:szCs w:val="30"/>
          <w:highlight w:val="none"/>
        </w:rPr>
      </w:pPr>
    </w:p>
    <w:p>
      <w:pPr>
        <w:pStyle w:val="26"/>
        <w:widowControl/>
        <w:spacing w:line="400" w:lineRule="exact"/>
        <w:ind w:firstLine="600"/>
        <w:jc w:val="left"/>
        <w:outlineLvl w:val="1"/>
        <w:rPr>
          <w:rFonts w:hint="eastAsia" w:ascii="黑体" w:hAnsi="黑体" w:eastAsia="黑体" w:cs="黑体"/>
          <w:kern w:val="0"/>
          <w:sz w:val="30"/>
          <w:szCs w:val="30"/>
          <w:highlight w:val="none"/>
        </w:rPr>
      </w:pPr>
    </w:p>
    <w:p>
      <w:pPr>
        <w:pStyle w:val="26"/>
        <w:widowControl/>
        <w:spacing w:line="400" w:lineRule="exact"/>
        <w:ind w:firstLine="600"/>
        <w:jc w:val="left"/>
        <w:outlineLvl w:val="1"/>
        <w:rPr>
          <w:rFonts w:hint="eastAsia" w:ascii="黑体" w:hAnsi="黑体" w:eastAsia="黑体" w:cs="黑体"/>
          <w:kern w:val="0"/>
          <w:sz w:val="30"/>
          <w:szCs w:val="30"/>
          <w:highlight w:val="none"/>
        </w:rPr>
      </w:pPr>
    </w:p>
    <w:p>
      <w:pPr>
        <w:pStyle w:val="26"/>
        <w:widowControl/>
        <w:spacing w:line="400" w:lineRule="exact"/>
        <w:ind w:firstLine="600"/>
        <w:jc w:val="left"/>
        <w:outlineLvl w:val="1"/>
        <w:rPr>
          <w:rFonts w:hint="eastAsia" w:ascii="黑体" w:hAnsi="黑体" w:eastAsia="黑体" w:cs="黑体"/>
          <w:kern w:val="0"/>
          <w:sz w:val="30"/>
          <w:szCs w:val="30"/>
          <w:highlight w:val="none"/>
        </w:rPr>
      </w:pPr>
      <w:r>
        <w:rPr>
          <w:rFonts w:hint="eastAsia" w:ascii="黑体" w:hAnsi="黑体" w:eastAsia="黑体" w:cs="黑体"/>
          <w:kern w:val="0"/>
          <w:sz w:val="30"/>
          <w:szCs w:val="30"/>
          <w:highlight w:val="none"/>
        </w:rPr>
        <w:t>供应端：</w:t>
      </w:r>
    </w:p>
    <w:p>
      <w:pPr>
        <w:pStyle w:val="26"/>
        <w:widowControl/>
        <w:spacing w:line="400" w:lineRule="exact"/>
        <w:ind w:firstLine="600"/>
        <w:jc w:val="left"/>
        <w:outlineLvl w:val="1"/>
        <w:rPr>
          <w:rFonts w:hint="eastAsia" w:ascii="黑体" w:hAnsi="黑体" w:eastAsia="黑体" w:cs="黑体"/>
          <w:kern w:val="0"/>
          <w:sz w:val="30"/>
          <w:szCs w:val="30"/>
          <w:highlight w:val="none"/>
        </w:rPr>
      </w:pPr>
    </w:p>
    <w:p>
      <w:pPr>
        <w:pStyle w:val="12"/>
        <w:ind w:firstLine="560" w:firstLineChars="200"/>
        <w:rPr>
          <w:rFonts w:hint="default" w:ascii="仿宋" w:hAnsi="仿宋" w:eastAsia="仿宋" w:cs="仿宋"/>
          <w:kern w:val="2"/>
          <w:sz w:val="28"/>
          <w:szCs w:val="28"/>
          <w:lang w:val="en-US" w:eastAsia="zh-CN"/>
        </w:rPr>
      </w:pPr>
      <w:bookmarkStart w:id="140" w:name="_Toc4767066"/>
      <w:bookmarkStart w:id="141" w:name="_Toc8991656"/>
      <w:bookmarkStart w:id="142" w:name="_Toc9597662"/>
      <w:bookmarkStart w:id="143" w:name="_Toc10202311"/>
      <w:bookmarkStart w:id="144" w:name="_Toc4654031"/>
      <w:bookmarkStart w:id="145" w:name="_Toc8378818"/>
      <w:bookmarkStart w:id="146" w:name="_Toc13217634"/>
      <w:bookmarkStart w:id="147" w:name="_Toc8313136"/>
      <w:bookmarkStart w:id="148" w:name="_Toc4596894"/>
      <w:bookmarkStart w:id="149" w:name="_Toc12609906"/>
      <w:bookmarkStart w:id="150" w:name="_Toc9583955"/>
      <w:r>
        <w:rPr>
          <w:rFonts w:hint="default" w:ascii="仿宋" w:hAnsi="仿宋" w:eastAsia="仿宋" w:cs="仿宋"/>
          <w:kern w:val="2"/>
          <w:sz w:val="28"/>
          <w:szCs w:val="28"/>
          <w:lang w:val="en-US" w:eastAsia="zh-CN"/>
        </w:rPr>
        <w:t>轻碱主流含税出厂价格：辽宁地区现阶段本地贸易出货含税出价在1550-1600元/吨，终端到货1650元/吨左右;河北地区含税出价1550-1600元/吨;山东地区含税出价1500-1600元/吨;江苏地区主流含税出价1400-1500元/吨，部分高价以1500-1600元/吨;杭州地区含税出价1500-1600元/吨左右;福建地区含税出价1450-1550元/吨;广东地区含税出价1600-1700元/吨;华中地区主流含税出价1300-1450元/吨;青海地区含税出价1200-1300元/吨;川渝区域含税出价1500-1600元/吨;云贵地区含税出价1550-1600元/吨;江西区域含税出价1550-1600元/吨左右。</w:t>
      </w:r>
    </w:p>
    <w:p>
      <w:pPr>
        <w:pStyle w:val="12"/>
        <w:ind w:firstLine="560" w:firstLineChars="200"/>
        <w:rPr>
          <w:rFonts w:hint="default" w:ascii="仿宋" w:hAnsi="仿宋" w:eastAsia="仿宋" w:cs="仿宋"/>
          <w:kern w:val="2"/>
          <w:sz w:val="28"/>
          <w:szCs w:val="28"/>
          <w:lang w:val="en-US" w:eastAsia="zh-CN"/>
        </w:rPr>
      </w:pPr>
      <w:r>
        <w:rPr>
          <w:rFonts w:hint="default" w:ascii="仿宋" w:hAnsi="仿宋" w:eastAsia="仿宋" w:cs="仿宋"/>
          <w:kern w:val="2"/>
          <w:sz w:val="28"/>
          <w:szCs w:val="28"/>
          <w:lang w:val="en-US" w:eastAsia="zh-CN"/>
        </w:rPr>
        <w:t>重碱主流含税送到价格：目前华北地区重碱含税送到1600-1700元/吨左右，沙河区域含税送达1600-1650元/吨;华中区域含税送到价格在1650-1700元/吨;青海区域含税出厂价1200-1350元/吨;西南区域含税送到1700-1750元/吨左右;东北区域重碱主流含税送到1750-1800元/吨;广东重碱含税送到价格1750-1850元/吨;华东片区主流含税送到1650-1750元/吨。</w:t>
      </w:r>
    </w:p>
    <w:p>
      <w:pPr>
        <w:widowControl/>
        <w:numPr>
          <w:ilvl w:val="0"/>
          <w:numId w:val="1"/>
        </w:numPr>
        <w:ind w:firstLine="600" w:firstLineChars="200"/>
        <w:jc w:val="left"/>
        <w:outlineLvl w:val="1"/>
        <w:rPr>
          <w:rFonts w:ascii="黑体" w:hAnsi="黑体" w:eastAsia="黑体" w:cs="黑体"/>
          <w:sz w:val="30"/>
          <w:szCs w:val="30"/>
          <w:highlight w:val="none"/>
        </w:rPr>
      </w:pPr>
      <w:r>
        <w:rPr>
          <w:rFonts w:hint="eastAsia" w:ascii="黑体" w:hAnsi="黑体" w:eastAsia="黑体" w:cs="黑体"/>
          <w:sz w:val="30"/>
          <w:szCs w:val="30"/>
          <w:highlight w:val="none"/>
        </w:rPr>
        <w:t>影响市场因素及后市预测</w:t>
      </w:r>
      <w:bookmarkEnd w:id="140"/>
      <w:bookmarkEnd w:id="141"/>
      <w:bookmarkEnd w:id="142"/>
      <w:bookmarkEnd w:id="143"/>
      <w:bookmarkEnd w:id="144"/>
      <w:bookmarkEnd w:id="145"/>
      <w:bookmarkEnd w:id="146"/>
      <w:bookmarkEnd w:id="147"/>
      <w:bookmarkEnd w:id="148"/>
      <w:bookmarkEnd w:id="149"/>
      <w:bookmarkEnd w:id="150"/>
    </w:p>
    <w:p>
      <w:pPr>
        <w:pStyle w:val="12"/>
        <w:ind w:firstLine="560" w:firstLineChars="200"/>
        <w:rPr>
          <w:rFonts w:hint="default" w:ascii="仿宋" w:hAnsi="仿宋" w:eastAsia="仿宋" w:cs="仿宋"/>
          <w:kern w:val="2"/>
          <w:sz w:val="28"/>
          <w:szCs w:val="28"/>
          <w:lang w:val="en-US" w:eastAsia="zh-CN"/>
        </w:rPr>
      </w:pPr>
      <w:bookmarkStart w:id="151" w:name="_Toc9583956"/>
      <w:bookmarkStart w:id="152" w:name="_Toc13217635"/>
      <w:bookmarkStart w:id="153" w:name="_Toc8378819"/>
      <w:bookmarkStart w:id="154" w:name="_Toc9597663"/>
      <w:bookmarkStart w:id="155" w:name="_Toc8313137"/>
      <w:bookmarkStart w:id="156" w:name="_Toc10202312"/>
      <w:bookmarkStart w:id="157" w:name="_Toc12609907"/>
      <w:bookmarkStart w:id="158" w:name="_Toc4767067"/>
      <w:bookmarkStart w:id="159" w:name="_Toc8991657"/>
      <w:bookmarkStart w:id="160" w:name="_Toc4654032"/>
      <w:bookmarkStart w:id="161" w:name="_Toc4596895"/>
      <w:r>
        <w:rPr>
          <w:rFonts w:hint="default" w:ascii="仿宋" w:hAnsi="仿宋" w:eastAsia="仿宋" w:cs="仿宋"/>
          <w:kern w:val="2"/>
          <w:sz w:val="28"/>
          <w:szCs w:val="28"/>
          <w:lang w:val="en-US" w:eastAsia="zh-CN"/>
        </w:rPr>
        <w:t>供应方面：纯碱企业减产厂家增多，开工负荷降低易于缓解过剩供应;库存方面，虽然年末出货表现欠佳，由于各企业反馈近期签单有转好表现，库存增量放缓，供应过剩问题小幅缓解中。</w:t>
      </w:r>
    </w:p>
    <w:p>
      <w:pPr>
        <w:pStyle w:val="12"/>
        <w:ind w:firstLine="560" w:firstLineChars="200"/>
        <w:rPr>
          <w:rFonts w:hint="default" w:ascii="仿宋" w:hAnsi="仿宋" w:eastAsia="仿宋" w:cs="仿宋"/>
          <w:kern w:val="2"/>
          <w:sz w:val="28"/>
          <w:szCs w:val="28"/>
          <w:lang w:val="en-US" w:eastAsia="zh-CN"/>
        </w:rPr>
      </w:pPr>
      <w:r>
        <w:rPr>
          <w:rFonts w:hint="default" w:ascii="仿宋" w:hAnsi="仿宋" w:eastAsia="仿宋" w:cs="仿宋"/>
          <w:kern w:val="2"/>
          <w:sz w:val="28"/>
          <w:szCs w:val="28"/>
          <w:lang w:val="en-US" w:eastAsia="zh-CN"/>
        </w:rPr>
        <w:t>需求方面：下游刚需用户持续有订单释放;另外远距离运输年前发运周期减少、汽运费用因回程问题而有所增加，这些影响或刺激下游需求尽快释放。轻质纯碱的下游行业在环保影响下难有明显需求增加表现;重质纯碱方面刚需以稳定运行。</w:t>
      </w:r>
    </w:p>
    <w:p>
      <w:pPr>
        <w:pStyle w:val="12"/>
        <w:ind w:firstLine="560" w:firstLineChars="200"/>
        <w:rPr>
          <w:rFonts w:hint="default" w:ascii="仿宋" w:hAnsi="仿宋" w:eastAsia="仿宋" w:cs="仿宋"/>
          <w:kern w:val="2"/>
          <w:sz w:val="28"/>
          <w:szCs w:val="28"/>
          <w:lang w:val="en-US" w:eastAsia="zh-CN"/>
        </w:rPr>
      </w:pPr>
      <w:r>
        <w:rPr>
          <w:rFonts w:hint="default" w:ascii="仿宋" w:hAnsi="仿宋" w:eastAsia="仿宋" w:cs="仿宋"/>
          <w:kern w:val="2"/>
          <w:sz w:val="28"/>
          <w:szCs w:val="28"/>
          <w:lang w:val="en-US" w:eastAsia="zh-CN"/>
        </w:rPr>
        <w:t>综上，预计下周纯碱市场价格弱势震荡，订单量有望增加，加上企业生产调整影响，过剩矛盾缓解后对其市场形成乐观影响，行情企稳可能性进一步增大。</w:t>
      </w:r>
    </w:p>
    <w:p>
      <w:pPr>
        <w:pStyle w:val="12"/>
        <w:ind w:firstLine="560" w:firstLineChars="200"/>
        <w:rPr>
          <w:rFonts w:hint="default" w:ascii="仿宋" w:hAnsi="仿宋" w:eastAsia="仿宋" w:cs="仿宋"/>
          <w:kern w:val="2"/>
          <w:sz w:val="28"/>
          <w:szCs w:val="28"/>
          <w:lang w:val="en-US" w:eastAsia="zh-CN"/>
        </w:rPr>
      </w:pPr>
    </w:p>
    <w:p>
      <w:pPr>
        <w:widowControl/>
        <w:ind w:firstLine="602" w:firstLineChars="200"/>
        <w:jc w:val="left"/>
        <w:outlineLvl w:val="2"/>
        <w:rPr>
          <w:rStyle w:val="24"/>
          <w:rFonts w:hint="eastAsia"/>
          <w:b/>
          <w:bCs/>
          <w:sz w:val="30"/>
          <w:szCs w:val="30"/>
        </w:rPr>
      </w:pPr>
      <w:r>
        <w:rPr>
          <w:rStyle w:val="24"/>
          <w:rFonts w:hint="eastAsia"/>
          <w:b/>
          <w:bCs/>
          <w:sz w:val="30"/>
          <w:szCs w:val="30"/>
        </w:rPr>
        <w:t>本周国内纯碱市场价格</w:t>
      </w:r>
      <w:bookmarkEnd w:id="139"/>
      <w:bookmarkEnd w:id="151"/>
      <w:bookmarkEnd w:id="152"/>
      <w:bookmarkEnd w:id="153"/>
      <w:bookmarkEnd w:id="154"/>
      <w:bookmarkEnd w:id="155"/>
      <w:bookmarkEnd w:id="156"/>
      <w:bookmarkEnd w:id="157"/>
      <w:bookmarkEnd w:id="158"/>
      <w:bookmarkEnd w:id="159"/>
      <w:bookmarkEnd w:id="160"/>
      <w:bookmarkEnd w:id="161"/>
    </w:p>
    <w:p>
      <w:pPr>
        <w:widowControl/>
        <w:jc w:val="left"/>
        <w:outlineLvl w:val="2"/>
        <w:rPr>
          <w:rStyle w:val="24"/>
          <w:rFonts w:hint="eastAsia"/>
          <w:b/>
          <w:bCs/>
          <w:sz w:val="30"/>
          <w:szCs w:val="30"/>
        </w:rPr>
      </w:pPr>
    </w:p>
    <w:tbl>
      <w:tblPr>
        <w:tblStyle w:val="13"/>
        <w:tblW w:w="8720" w:type="dxa"/>
        <w:tblInd w:w="0" w:type="dxa"/>
        <w:tblLayout w:type="fixed"/>
        <w:tblCellMar>
          <w:top w:w="0" w:type="dxa"/>
          <w:left w:w="108" w:type="dxa"/>
          <w:bottom w:w="0" w:type="dxa"/>
          <w:right w:w="108" w:type="dxa"/>
        </w:tblCellMar>
      </w:tblPr>
      <w:tblGrid>
        <w:gridCol w:w="1503"/>
        <w:gridCol w:w="1441"/>
        <w:gridCol w:w="1444"/>
        <w:gridCol w:w="1444"/>
        <w:gridCol w:w="1444"/>
        <w:gridCol w:w="1444"/>
      </w:tblGrid>
      <w:tr>
        <w:tblPrEx>
          <w:tblCellMar>
            <w:top w:w="0" w:type="dxa"/>
            <w:left w:w="108" w:type="dxa"/>
            <w:bottom w:w="0" w:type="dxa"/>
            <w:right w:w="108" w:type="dxa"/>
          </w:tblCellMar>
        </w:tblPrEx>
        <w:trPr>
          <w:trHeight w:val="285" w:hRule="atLeast"/>
        </w:trPr>
        <w:tc>
          <w:tcPr>
            <w:tcW w:w="1503" w:type="dxa"/>
            <w:vMerge w:val="restart"/>
            <w:tcBorders>
              <w:top w:val="single" w:color="000000" w:sz="8" w:space="0"/>
              <w:left w:val="single" w:color="000000" w:sz="8" w:space="0"/>
              <w:bottom w:val="single" w:color="000000" w:sz="8" w:space="0"/>
              <w:right w:val="single" w:color="000000" w:sz="8" w:space="0"/>
            </w:tcBorders>
            <w:shd w:val="clear" w:color="000000" w:fill="99CC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日期</w:t>
            </w:r>
          </w:p>
        </w:tc>
        <w:tc>
          <w:tcPr>
            <w:tcW w:w="1441" w:type="dxa"/>
            <w:vMerge w:val="restart"/>
            <w:tcBorders>
              <w:top w:val="single" w:color="000000" w:sz="8" w:space="0"/>
              <w:left w:val="single" w:color="000000" w:sz="8" w:space="0"/>
              <w:bottom w:val="single" w:color="000000" w:sz="8" w:space="0"/>
              <w:right w:val="single" w:color="000000" w:sz="8" w:space="0"/>
            </w:tcBorders>
            <w:shd w:val="clear" w:color="000000" w:fill="99CC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地区</w:t>
            </w:r>
          </w:p>
        </w:tc>
        <w:tc>
          <w:tcPr>
            <w:tcW w:w="2888" w:type="dxa"/>
            <w:gridSpan w:val="2"/>
            <w:tcBorders>
              <w:top w:val="single" w:color="000000" w:sz="8" w:space="0"/>
              <w:left w:val="nil"/>
              <w:bottom w:val="single" w:color="000000" w:sz="8" w:space="0"/>
              <w:right w:val="single" w:color="000000" w:sz="8" w:space="0"/>
            </w:tcBorders>
            <w:shd w:val="clear" w:color="000000" w:fill="99CC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轻质碱</w:t>
            </w:r>
          </w:p>
        </w:tc>
        <w:tc>
          <w:tcPr>
            <w:tcW w:w="2888" w:type="dxa"/>
            <w:gridSpan w:val="2"/>
            <w:tcBorders>
              <w:top w:val="single" w:color="000000" w:sz="8" w:space="0"/>
              <w:left w:val="nil"/>
              <w:bottom w:val="single" w:color="000000" w:sz="8" w:space="0"/>
              <w:right w:val="single" w:color="000000" w:sz="8" w:space="0"/>
            </w:tcBorders>
            <w:shd w:val="clear" w:color="000000" w:fill="99CC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重质碱</w:t>
            </w:r>
          </w:p>
        </w:tc>
      </w:tr>
      <w:tr>
        <w:tblPrEx>
          <w:tblCellMar>
            <w:top w:w="0" w:type="dxa"/>
            <w:left w:w="108" w:type="dxa"/>
            <w:bottom w:w="0" w:type="dxa"/>
            <w:right w:w="108" w:type="dxa"/>
          </w:tblCellMar>
        </w:tblPrEx>
        <w:trPr>
          <w:trHeight w:val="285" w:hRule="atLeast"/>
        </w:trPr>
        <w:tc>
          <w:tcPr>
            <w:tcW w:w="1503"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b/>
                <w:bCs/>
                <w:color w:val="000000"/>
                <w:kern w:val="0"/>
                <w:sz w:val="20"/>
                <w:szCs w:val="20"/>
              </w:rPr>
            </w:pPr>
          </w:p>
        </w:tc>
        <w:tc>
          <w:tcPr>
            <w:tcW w:w="1441"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b/>
                <w:bCs/>
                <w:color w:val="000000"/>
                <w:kern w:val="0"/>
                <w:sz w:val="20"/>
                <w:szCs w:val="20"/>
              </w:rPr>
            </w:pPr>
          </w:p>
        </w:tc>
        <w:tc>
          <w:tcPr>
            <w:tcW w:w="1444" w:type="dxa"/>
            <w:tcBorders>
              <w:top w:val="nil"/>
              <w:left w:val="nil"/>
              <w:bottom w:val="nil"/>
              <w:right w:val="single" w:color="000000" w:sz="8" w:space="0"/>
            </w:tcBorders>
            <w:shd w:val="clear" w:color="000000" w:fill="99CC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低端价</w:t>
            </w:r>
          </w:p>
        </w:tc>
        <w:tc>
          <w:tcPr>
            <w:tcW w:w="1444" w:type="dxa"/>
            <w:tcBorders>
              <w:top w:val="nil"/>
              <w:left w:val="nil"/>
              <w:bottom w:val="nil"/>
              <w:right w:val="single" w:color="000000" w:sz="8" w:space="0"/>
            </w:tcBorders>
            <w:shd w:val="clear" w:color="000000" w:fill="99CC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高端价</w:t>
            </w:r>
          </w:p>
        </w:tc>
        <w:tc>
          <w:tcPr>
            <w:tcW w:w="1444" w:type="dxa"/>
            <w:tcBorders>
              <w:top w:val="nil"/>
              <w:left w:val="nil"/>
              <w:bottom w:val="nil"/>
              <w:right w:val="single" w:color="000000" w:sz="8" w:space="0"/>
            </w:tcBorders>
            <w:shd w:val="clear" w:color="000000" w:fill="99CC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低端价</w:t>
            </w:r>
          </w:p>
        </w:tc>
        <w:tc>
          <w:tcPr>
            <w:tcW w:w="1444" w:type="dxa"/>
            <w:tcBorders>
              <w:top w:val="nil"/>
              <w:left w:val="nil"/>
              <w:bottom w:val="nil"/>
              <w:right w:val="single" w:color="000000" w:sz="8" w:space="0"/>
            </w:tcBorders>
            <w:shd w:val="clear" w:color="000000" w:fill="99CC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高端价</w:t>
            </w:r>
          </w:p>
        </w:tc>
      </w:tr>
      <w:tr>
        <w:tblPrEx>
          <w:tblCellMar>
            <w:top w:w="0" w:type="dxa"/>
            <w:left w:w="108" w:type="dxa"/>
            <w:bottom w:w="0" w:type="dxa"/>
            <w:right w:w="108" w:type="dxa"/>
          </w:tblCellMar>
        </w:tblPrEx>
        <w:trPr>
          <w:trHeight w:val="285" w:hRule="atLeast"/>
        </w:trPr>
        <w:tc>
          <w:tcPr>
            <w:tcW w:w="1503" w:type="dxa"/>
            <w:tcBorders>
              <w:top w:val="nil"/>
              <w:left w:val="single" w:color="000000" w:sz="8" w:space="0"/>
              <w:bottom w:val="single" w:color="000000" w:sz="8" w:space="0"/>
              <w:right w:val="single" w:color="000000" w:sz="8" w:space="0"/>
            </w:tcBorders>
            <w:shd w:val="clear" w:color="000000" w:fill="FFFFFF"/>
          </w:tcPr>
          <w:p>
            <w:pPr>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2019/</w:t>
            </w:r>
            <w:r>
              <w:rPr>
                <w:rFonts w:hint="eastAsia" w:ascii="宋体" w:hAnsi="宋体" w:cs="宋体"/>
                <w:color w:val="000000"/>
                <w:kern w:val="0"/>
                <w:sz w:val="20"/>
                <w:szCs w:val="20"/>
                <w:lang w:val="en-US" w:eastAsia="zh-CN"/>
              </w:rPr>
              <w:t>12</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13</w:t>
            </w:r>
          </w:p>
        </w:tc>
        <w:tc>
          <w:tcPr>
            <w:tcW w:w="1441"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华东</w:t>
            </w:r>
          </w:p>
        </w:tc>
        <w:tc>
          <w:tcPr>
            <w:tcW w:w="1444" w:type="dxa"/>
            <w:tcBorders>
              <w:top w:val="single" w:color="000000" w:sz="8" w:space="0"/>
              <w:left w:val="nil"/>
              <w:bottom w:val="single" w:color="000000" w:sz="8" w:space="0"/>
              <w:right w:val="single" w:color="000000" w:sz="8" w:space="0"/>
            </w:tcBorders>
            <w:shd w:val="clear" w:color="000000" w:fill="FFFFFF"/>
            <w:vAlign w:val="bottom"/>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500</w:t>
            </w:r>
          </w:p>
        </w:tc>
        <w:tc>
          <w:tcPr>
            <w:tcW w:w="1444" w:type="dxa"/>
            <w:tcBorders>
              <w:top w:val="single" w:color="000000" w:sz="8" w:space="0"/>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0</w:t>
            </w:r>
          </w:p>
        </w:tc>
        <w:tc>
          <w:tcPr>
            <w:tcW w:w="1444" w:type="dxa"/>
            <w:tcBorders>
              <w:top w:val="single" w:color="000000" w:sz="8" w:space="0"/>
              <w:left w:val="nil"/>
              <w:bottom w:val="single" w:color="000000" w:sz="8" w:space="0"/>
              <w:right w:val="single" w:color="000000" w:sz="8" w:space="0"/>
            </w:tcBorders>
            <w:shd w:val="clear" w:color="000000" w:fill="FFFFFF"/>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63</w:t>
            </w:r>
            <w:r>
              <w:rPr>
                <w:rFonts w:hint="eastAsia" w:ascii="宋体" w:hAnsi="宋体" w:cs="宋体"/>
                <w:color w:val="000000"/>
                <w:kern w:val="0"/>
                <w:sz w:val="20"/>
                <w:szCs w:val="20"/>
              </w:rPr>
              <w:t>0</w:t>
            </w:r>
          </w:p>
        </w:tc>
        <w:tc>
          <w:tcPr>
            <w:tcW w:w="1444" w:type="dxa"/>
            <w:tcBorders>
              <w:top w:val="single" w:color="000000" w:sz="8" w:space="0"/>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70</w:t>
            </w:r>
            <w:r>
              <w:rPr>
                <w:rFonts w:hint="eastAsia" w:ascii="宋体" w:hAnsi="宋体" w:cs="宋体"/>
                <w:color w:val="000000"/>
                <w:kern w:val="0"/>
                <w:sz w:val="20"/>
                <w:szCs w:val="20"/>
              </w:rPr>
              <w:t>0</w:t>
            </w:r>
          </w:p>
        </w:tc>
      </w:tr>
      <w:tr>
        <w:tblPrEx>
          <w:tblCellMar>
            <w:top w:w="0" w:type="dxa"/>
            <w:left w:w="108" w:type="dxa"/>
            <w:bottom w:w="0" w:type="dxa"/>
            <w:right w:w="108" w:type="dxa"/>
          </w:tblCellMar>
        </w:tblPrEx>
        <w:trPr>
          <w:trHeight w:val="90" w:hRule="atLeast"/>
        </w:trPr>
        <w:tc>
          <w:tcPr>
            <w:tcW w:w="1503" w:type="dxa"/>
            <w:tcBorders>
              <w:top w:val="nil"/>
              <w:left w:val="single" w:color="000000" w:sz="8" w:space="0"/>
              <w:bottom w:val="single" w:color="000000" w:sz="8" w:space="0"/>
              <w:right w:val="single" w:color="000000" w:sz="8" w:space="0"/>
            </w:tcBorders>
            <w:shd w:val="clear" w:color="000000" w:fill="FFFFFF"/>
          </w:tcPr>
          <w:p>
            <w:pPr>
              <w:jc w:val="center"/>
              <w:rPr>
                <w:rFonts w:hint="default" w:eastAsia="宋体"/>
                <w:lang w:val="en-US" w:eastAsia="zh-CN"/>
              </w:rPr>
            </w:pPr>
            <w:r>
              <w:rPr>
                <w:rFonts w:hint="eastAsia" w:ascii="宋体" w:hAnsi="宋体" w:cs="宋体"/>
                <w:color w:val="000000"/>
                <w:kern w:val="0"/>
                <w:sz w:val="20"/>
                <w:szCs w:val="20"/>
              </w:rPr>
              <w:t>2019/</w:t>
            </w:r>
            <w:r>
              <w:rPr>
                <w:rFonts w:hint="eastAsia" w:ascii="宋体" w:hAnsi="宋体" w:cs="宋体"/>
                <w:color w:val="000000"/>
                <w:kern w:val="0"/>
                <w:sz w:val="20"/>
                <w:szCs w:val="20"/>
                <w:lang w:val="en-US" w:eastAsia="zh-CN"/>
              </w:rPr>
              <w:t>12</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13</w:t>
            </w:r>
          </w:p>
        </w:tc>
        <w:tc>
          <w:tcPr>
            <w:tcW w:w="1441"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华南</w:t>
            </w:r>
          </w:p>
        </w:tc>
        <w:tc>
          <w:tcPr>
            <w:tcW w:w="1444" w:type="dxa"/>
            <w:tcBorders>
              <w:top w:val="nil"/>
              <w:left w:val="nil"/>
              <w:bottom w:val="single" w:color="000000" w:sz="8" w:space="0"/>
              <w:right w:val="single" w:color="000000" w:sz="8" w:space="0"/>
            </w:tcBorders>
            <w:shd w:val="clear" w:color="000000" w:fill="FFFFFF"/>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65</w:t>
            </w:r>
            <w:r>
              <w:rPr>
                <w:rFonts w:hint="eastAsia" w:ascii="宋体" w:hAnsi="宋体" w:cs="宋体"/>
                <w:color w:val="000000"/>
                <w:kern w:val="0"/>
                <w:sz w:val="20"/>
                <w:szCs w:val="20"/>
              </w:rPr>
              <w:t>0</w:t>
            </w:r>
          </w:p>
        </w:tc>
        <w:tc>
          <w:tcPr>
            <w:tcW w:w="1444" w:type="dxa"/>
            <w:tcBorders>
              <w:top w:val="nil"/>
              <w:left w:val="nil"/>
              <w:bottom w:val="single" w:color="000000" w:sz="8" w:space="0"/>
              <w:right w:val="single" w:color="000000" w:sz="8" w:space="0"/>
            </w:tcBorders>
            <w:shd w:val="clear" w:color="000000" w:fill="FFFFFF"/>
          </w:tcPr>
          <w:p>
            <w:pPr>
              <w:jc w:val="center"/>
            </w:pP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65</w:t>
            </w:r>
            <w:r>
              <w:rPr>
                <w:rFonts w:hint="eastAsia" w:ascii="宋体" w:hAnsi="宋体" w:cs="宋体"/>
                <w:color w:val="000000"/>
                <w:kern w:val="0"/>
                <w:sz w:val="20"/>
                <w:szCs w:val="20"/>
              </w:rPr>
              <w:t>0</w:t>
            </w:r>
          </w:p>
        </w:tc>
        <w:tc>
          <w:tcPr>
            <w:tcW w:w="1444" w:type="dxa"/>
            <w:tcBorders>
              <w:top w:val="nil"/>
              <w:left w:val="nil"/>
              <w:bottom w:val="single" w:color="000000" w:sz="8" w:space="0"/>
              <w:right w:val="single" w:color="000000" w:sz="8" w:space="0"/>
            </w:tcBorders>
            <w:shd w:val="clear" w:color="000000" w:fill="FFFFFF"/>
          </w:tcPr>
          <w:p>
            <w:pPr>
              <w:jc w:val="center"/>
            </w:pPr>
            <w:r>
              <w:rPr>
                <w:rFonts w:hint="eastAsia" w:ascii="宋体" w:hAnsi="宋体" w:cs="宋体"/>
                <w:color w:val="000000"/>
                <w:kern w:val="0"/>
                <w:sz w:val="20"/>
                <w:szCs w:val="20"/>
                <w:lang w:val="en-US" w:eastAsia="zh-CN"/>
              </w:rPr>
              <w:t>175</w:t>
            </w:r>
            <w:r>
              <w:rPr>
                <w:rFonts w:hint="eastAsia" w:ascii="宋体" w:hAnsi="宋体" w:cs="宋体"/>
                <w:color w:val="000000"/>
                <w:kern w:val="0"/>
                <w:sz w:val="20"/>
                <w:szCs w:val="20"/>
              </w:rPr>
              <w:t>0</w:t>
            </w:r>
          </w:p>
        </w:tc>
        <w:tc>
          <w:tcPr>
            <w:tcW w:w="1444" w:type="dxa"/>
            <w:tcBorders>
              <w:top w:val="nil"/>
              <w:left w:val="nil"/>
              <w:bottom w:val="single" w:color="000000" w:sz="8" w:space="0"/>
              <w:right w:val="single" w:color="000000" w:sz="8" w:space="0"/>
            </w:tcBorders>
            <w:shd w:val="clear" w:color="000000" w:fill="FFFFFF"/>
          </w:tcPr>
          <w:p>
            <w:pPr>
              <w:jc w:val="center"/>
            </w:pPr>
            <w:r>
              <w:rPr>
                <w:rFonts w:hint="eastAsia" w:ascii="宋体" w:hAnsi="宋体" w:cs="宋体"/>
                <w:color w:val="000000"/>
                <w:kern w:val="0"/>
                <w:sz w:val="20"/>
                <w:szCs w:val="20"/>
                <w:lang w:val="en-US" w:eastAsia="zh-CN"/>
              </w:rPr>
              <w:t>175</w:t>
            </w:r>
            <w:r>
              <w:rPr>
                <w:rFonts w:hint="eastAsia" w:ascii="宋体" w:hAnsi="宋体" w:cs="宋体"/>
                <w:color w:val="000000"/>
                <w:kern w:val="0"/>
                <w:sz w:val="20"/>
                <w:szCs w:val="20"/>
              </w:rPr>
              <w:t>0</w:t>
            </w:r>
          </w:p>
        </w:tc>
      </w:tr>
      <w:tr>
        <w:tblPrEx>
          <w:tblCellMar>
            <w:top w:w="0" w:type="dxa"/>
            <w:left w:w="108" w:type="dxa"/>
            <w:bottom w:w="0" w:type="dxa"/>
            <w:right w:w="108" w:type="dxa"/>
          </w:tblCellMar>
        </w:tblPrEx>
        <w:trPr>
          <w:trHeight w:val="285" w:hRule="atLeast"/>
        </w:trPr>
        <w:tc>
          <w:tcPr>
            <w:tcW w:w="1503" w:type="dxa"/>
            <w:tcBorders>
              <w:top w:val="nil"/>
              <w:left w:val="single" w:color="000000" w:sz="8" w:space="0"/>
              <w:bottom w:val="single" w:color="000000" w:sz="8" w:space="0"/>
              <w:right w:val="single" w:color="000000" w:sz="8" w:space="0"/>
            </w:tcBorders>
            <w:shd w:val="clear" w:color="000000" w:fill="FFFFFF"/>
          </w:tcPr>
          <w:p>
            <w:pPr>
              <w:jc w:val="center"/>
              <w:rPr>
                <w:rFonts w:hint="default" w:eastAsia="宋体"/>
                <w:lang w:val="en-US" w:eastAsia="zh-CN"/>
              </w:rPr>
            </w:pPr>
            <w:r>
              <w:rPr>
                <w:rFonts w:hint="eastAsia" w:ascii="宋体" w:hAnsi="宋体" w:cs="宋体"/>
                <w:color w:val="000000"/>
                <w:kern w:val="0"/>
                <w:sz w:val="20"/>
                <w:szCs w:val="20"/>
              </w:rPr>
              <w:t>2019/</w:t>
            </w:r>
            <w:r>
              <w:rPr>
                <w:rFonts w:hint="eastAsia" w:ascii="宋体" w:hAnsi="宋体" w:cs="宋体"/>
                <w:color w:val="000000"/>
                <w:kern w:val="0"/>
                <w:sz w:val="20"/>
                <w:szCs w:val="20"/>
                <w:lang w:val="en-US" w:eastAsia="zh-CN"/>
              </w:rPr>
              <w:t>12</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13</w:t>
            </w:r>
          </w:p>
        </w:tc>
        <w:tc>
          <w:tcPr>
            <w:tcW w:w="1441"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华北</w:t>
            </w:r>
          </w:p>
        </w:tc>
        <w:tc>
          <w:tcPr>
            <w:tcW w:w="1444" w:type="dxa"/>
            <w:tcBorders>
              <w:top w:val="nil"/>
              <w:left w:val="nil"/>
              <w:bottom w:val="single" w:color="000000" w:sz="8" w:space="0"/>
              <w:right w:val="single" w:color="000000" w:sz="8" w:space="0"/>
            </w:tcBorders>
            <w:shd w:val="clear" w:color="000000" w:fill="FFFFFF"/>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60</w:t>
            </w:r>
            <w:r>
              <w:rPr>
                <w:rFonts w:hint="eastAsia" w:ascii="宋体" w:hAnsi="宋体" w:cs="宋体"/>
                <w:color w:val="000000"/>
                <w:kern w:val="0"/>
                <w:sz w:val="20"/>
                <w:szCs w:val="20"/>
              </w:rPr>
              <w:t>0</w:t>
            </w:r>
          </w:p>
        </w:tc>
        <w:tc>
          <w:tcPr>
            <w:tcW w:w="1444"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60</w:t>
            </w:r>
            <w:r>
              <w:rPr>
                <w:rFonts w:hint="eastAsia" w:ascii="宋体" w:hAnsi="宋体" w:cs="宋体"/>
                <w:color w:val="000000"/>
                <w:kern w:val="0"/>
                <w:sz w:val="20"/>
                <w:szCs w:val="20"/>
              </w:rPr>
              <w:t>0</w:t>
            </w:r>
          </w:p>
        </w:tc>
        <w:tc>
          <w:tcPr>
            <w:tcW w:w="1444" w:type="dxa"/>
            <w:tcBorders>
              <w:top w:val="nil"/>
              <w:left w:val="nil"/>
              <w:bottom w:val="single" w:color="000000" w:sz="8" w:space="0"/>
              <w:right w:val="single" w:color="000000" w:sz="8" w:space="0"/>
            </w:tcBorders>
            <w:shd w:val="clear" w:color="000000" w:fill="FFFFFF"/>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70</w:t>
            </w:r>
            <w:r>
              <w:rPr>
                <w:rFonts w:hint="eastAsia" w:ascii="宋体" w:hAnsi="宋体" w:cs="宋体"/>
                <w:color w:val="000000"/>
                <w:kern w:val="0"/>
                <w:sz w:val="20"/>
                <w:szCs w:val="20"/>
              </w:rPr>
              <w:t>0</w:t>
            </w:r>
          </w:p>
        </w:tc>
        <w:tc>
          <w:tcPr>
            <w:tcW w:w="1444"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70</w:t>
            </w:r>
            <w:r>
              <w:rPr>
                <w:rFonts w:hint="eastAsia" w:ascii="宋体" w:hAnsi="宋体" w:cs="宋体"/>
                <w:color w:val="000000"/>
                <w:kern w:val="0"/>
                <w:sz w:val="20"/>
                <w:szCs w:val="20"/>
              </w:rPr>
              <w:t>0</w:t>
            </w:r>
          </w:p>
        </w:tc>
      </w:tr>
      <w:tr>
        <w:tblPrEx>
          <w:tblCellMar>
            <w:top w:w="0" w:type="dxa"/>
            <w:left w:w="108" w:type="dxa"/>
            <w:bottom w:w="0" w:type="dxa"/>
            <w:right w:w="108" w:type="dxa"/>
          </w:tblCellMar>
        </w:tblPrEx>
        <w:trPr>
          <w:trHeight w:val="285" w:hRule="atLeast"/>
        </w:trPr>
        <w:tc>
          <w:tcPr>
            <w:tcW w:w="1503" w:type="dxa"/>
            <w:tcBorders>
              <w:top w:val="nil"/>
              <w:left w:val="single" w:color="000000" w:sz="8" w:space="0"/>
              <w:bottom w:val="single" w:color="000000" w:sz="8" w:space="0"/>
              <w:right w:val="single" w:color="000000" w:sz="8" w:space="0"/>
            </w:tcBorders>
            <w:shd w:val="clear" w:color="000000" w:fill="FFFFFF"/>
          </w:tcPr>
          <w:p>
            <w:pPr>
              <w:jc w:val="center"/>
              <w:rPr>
                <w:rFonts w:hint="default" w:eastAsia="宋体"/>
                <w:lang w:val="en-US" w:eastAsia="zh-CN"/>
              </w:rPr>
            </w:pPr>
            <w:r>
              <w:rPr>
                <w:rFonts w:hint="eastAsia" w:ascii="宋体" w:hAnsi="宋体" w:cs="宋体"/>
                <w:color w:val="000000"/>
                <w:kern w:val="0"/>
                <w:sz w:val="20"/>
                <w:szCs w:val="20"/>
              </w:rPr>
              <w:t>2019/</w:t>
            </w:r>
            <w:r>
              <w:rPr>
                <w:rFonts w:hint="eastAsia" w:ascii="宋体" w:hAnsi="宋体" w:cs="宋体"/>
                <w:color w:val="000000"/>
                <w:kern w:val="0"/>
                <w:sz w:val="20"/>
                <w:szCs w:val="20"/>
                <w:lang w:val="en-US" w:eastAsia="zh-CN"/>
              </w:rPr>
              <w:t>12</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13</w:t>
            </w:r>
          </w:p>
        </w:tc>
        <w:tc>
          <w:tcPr>
            <w:tcW w:w="1441"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东北</w:t>
            </w:r>
          </w:p>
        </w:tc>
        <w:tc>
          <w:tcPr>
            <w:tcW w:w="1444" w:type="dxa"/>
            <w:tcBorders>
              <w:top w:val="nil"/>
              <w:left w:val="nil"/>
              <w:bottom w:val="single" w:color="000000" w:sz="8" w:space="0"/>
              <w:right w:val="single" w:color="000000" w:sz="8" w:space="0"/>
            </w:tcBorders>
            <w:shd w:val="clear" w:color="000000" w:fill="FFFFFF"/>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1900</w:t>
            </w:r>
          </w:p>
        </w:tc>
        <w:tc>
          <w:tcPr>
            <w:tcW w:w="1444"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1950</w:t>
            </w:r>
          </w:p>
        </w:tc>
        <w:tc>
          <w:tcPr>
            <w:tcW w:w="1444" w:type="dxa"/>
            <w:tcBorders>
              <w:top w:val="nil"/>
              <w:left w:val="nil"/>
              <w:bottom w:val="single" w:color="000000" w:sz="8" w:space="0"/>
              <w:right w:val="single" w:color="000000" w:sz="8" w:space="0"/>
            </w:tcBorders>
            <w:shd w:val="clear" w:color="000000" w:fill="FFFFFF"/>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1900</w:t>
            </w:r>
          </w:p>
        </w:tc>
        <w:tc>
          <w:tcPr>
            <w:tcW w:w="1444"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2000</w:t>
            </w:r>
          </w:p>
        </w:tc>
      </w:tr>
      <w:tr>
        <w:tblPrEx>
          <w:tblCellMar>
            <w:top w:w="0" w:type="dxa"/>
            <w:left w:w="108" w:type="dxa"/>
            <w:bottom w:w="0" w:type="dxa"/>
            <w:right w:w="108" w:type="dxa"/>
          </w:tblCellMar>
        </w:tblPrEx>
        <w:trPr>
          <w:trHeight w:val="330" w:hRule="atLeast"/>
        </w:trPr>
        <w:tc>
          <w:tcPr>
            <w:tcW w:w="1503" w:type="dxa"/>
            <w:tcBorders>
              <w:top w:val="nil"/>
              <w:left w:val="single" w:color="000000" w:sz="8" w:space="0"/>
              <w:bottom w:val="single" w:color="000000" w:sz="8" w:space="0"/>
              <w:right w:val="single" w:color="000000" w:sz="8" w:space="0"/>
            </w:tcBorders>
            <w:shd w:val="clear" w:color="000000" w:fill="FFFFFF"/>
          </w:tcPr>
          <w:p>
            <w:pPr>
              <w:jc w:val="center"/>
              <w:rPr>
                <w:rFonts w:hint="default" w:eastAsia="宋体"/>
                <w:lang w:val="en-US" w:eastAsia="zh-CN"/>
              </w:rPr>
            </w:pPr>
            <w:r>
              <w:rPr>
                <w:rFonts w:hint="eastAsia" w:ascii="宋体" w:hAnsi="宋体" w:cs="宋体"/>
                <w:color w:val="000000"/>
                <w:kern w:val="0"/>
                <w:sz w:val="20"/>
                <w:szCs w:val="20"/>
              </w:rPr>
              <w:t>2019/</w:t>
            </w:r>
            <w:r>
              <w:rPr>
                <w:rFonts w:hint="eastAsia" w:ascii="宋体" w:hAnsi="宋体" w:cs="宋体"/>
                <w:color w:val="000000"/>
                <w:kern w:val="0"/>
                <w:sz w:val="20"/>
                <w:szCs w:val="20"/>
                <w:lang w:val="en-US" w:eastAsia="zh-CN"/>
              </w:rPr>
              <w:t>12</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13</w:t>
            </w:r>
          </w:p>
        </w:tc>
        <w:tc>
          <w:tcPr>
            <w:tcW w:w="1441"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西南</w:t>
            </w:r>
          </w:p>
        </w:tc>
        <w:tc>
          <w:tcPr>
            <w:tcW w:w="1444" w:type="dxa"/>
            <w:tcBorders>
              <w:top w:val="nil"/>
              <w:left w:val="nil"/>
              <w:bottom w:val="single" w:color="000000" w:sz="8" w:space="0"/>
              <w:right w:val="single" w:color="000000" w:sz="8" w:space="0"/>
            </w:tcBorders>
            <w:shd w:val="clear" w:color="000000" w:fill="FFFFFF"/>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62</w:t>
            </w:r>
            <w:r>
              <w:rPr>
                <w:rFonts w:hint="eastAsia" w:ascii="宋体" w:hAnsi="宋体" w:cs="宋体"/>
                <w:color w:val="000000"/>
                <w:kern w:val="0"/>
                <w:sz w:val="20"/>
                <w:szCs w:val="20"/>
              </w:rPr>
              <w:t>0</w:t>
            </w:r>
          </w:p>
        </w:tc>
        <w:tc>
          <w:tcPr>
            <w:tcW w:w="1444"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62</w:t>
            </w:r>
            <w:r>
              <w:rPr>
                <w:rFonts w:hint="eastAsia" w:ascii="宋体" w:hAnsi="宋体" w:cs="宋体"/>
                <w:color w:val="000000"/>
                <w:kern w:val="0"/>
                <w:sz w:val="20"/>
                <w:szCs w:val="20"/>
              </w:rPr>
              <w:t>0</w:t>
            </w:r>
          </w:p>
        </w:tc>
        <w:tc>
          <w:tcPr>
            <w:tcW w:w="1444" w:type="dxa"/>
            <w:tcBorders>
              <w:top w:val="nil"/>
              <w:left w:val="nil"/>
              <w:bottom w:val="single" w:color="000000" w:sz="8" w:space="0"/>
              <w:right w:val="single" w:color="000000" w:sz="8" w:space="0"/>
            </w:tcBorders>
            <w:shd w:val="clear" w:color="000000" w:fill="FFFFFF"/>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70</w:t>
            </w:r>
            <w:r>
              <w:rPr>
                <w:rFonts w:hint="eastAsia" w:ascii="宋体" w:hAnsi="宋体" w:cs="宋体"/>
                <w:color w:val="000000"/>
                <w:kern w:val="0"/>
                <w:sz w:val="20"/>
                <w:szCs w:val="20"/>
              </w:rPr>
              <w:t>0</w:t>
            </w:r>
          </w:p>
        </w:tc>
        <w:tc>
          <w:tcPr>
            <w:tcW w:w="1444"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70</w:t>
            </w:r>
            <w:r>
              <w:rPr>
                <w:rFonts w:hint="eastAsia" w:ascii="宋体" w:hAnsi="宋体" w:cs="宋体"/>
                <w:color w:val="000000"/>
                <w:kern w:val="0"/>
                <w:sz w:val="20"/>
                <w:szCs w:val="20"/>
              </w:rPr>
              <w:t>0</w:t>
            </w:r>
          </w:p>
        </w:tc>
      </w:tr>
      <w:tr>
        <w:tblPrEx>
          <w:tblCellMar>
            <w:top w:w="0" w:type="dxa"/>
            <w:left w:w="108" w:type="dxa"/>
            <w:bottom w:w="0" w:type="dxa"/>
            <w:right w:w="108" w:type="dxa"/>
          </w:tblCellMar>
        </w:tblPrEx>
        <w:trPr>
          <w:trHeight w:val="285" w:hRule="atLeast"/>
        </w:trPr>
        <w:tc>
          <w:tcPr>
            <w:tcW w:w="1503" w:type="dxa"/>
            <w:tcBorders>
              <w:top w:val="nil"/>
              <w:left w:val="single" w:color="000000" w:sz="8" w:space="0"/>
              <w:bottom w:val="single" w:color="000000" w:sz="8" w:space="0"/>
              <w:right w:val="single" w:color="000000" w:sz="8" w:space="0"/>
            </w:tcBorders>
            <w:shd w:val="clear" w:color="000000" w:fill="FFFFFF"/>
          </w:tcPr>
          <w:p>
            <w:pPr>
              <w:jc w:val="center"/>
              <w:rPr>
                <w:rFonts w:hint="default" w:eastAsia="宋体"/>
                <w:lang w:val="en-US" w:eastAsia="zh-CN"/>
              </w:rPr>
            </w:pPr>
            <w:r>
              <w:rPr>
                <w:rFonts w:hint="eastAsia" w:ascii="宋体" w:hAnsi="宋体" w:cs="宋体"/>
                <w:color w:val="000000"/>
                <w:kern w:val="0"/>
                <w:sz w:val="20"/>
                <w:szCs w:val="20"/>
              </w:rPr>
              <w:t>2019/</w:t>
            </w:r>
            <w:r>
              <w:rPr>
                <w:rFonts w:hint="eastAsia" w:ascii="宋体" w:hAnsi="宋体" w:cs="宋体"/>
                <w:color w:val="000000"/>
                <w:kern w:val="0"/>
                <w:sz w:val="20"/>
                <w:szCs w:val="20"/>
                <w:lang w:val="en-US" w:eastAsia="zh-CN"/>
              </w:rPr>
              <w:t>12</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13</w:t>
            </w:r>
          </w:p>
        </w:tc>
        <w:tc>
          <w:tcPr>
            <w:tcW w:w="1441"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华中</w:t>
            </w:r>
          </w:p>
        </w:tc>
        <w:tc>
          <w:tcPr>
            <w:tcW w:w="1444" w:type="dxa"/>
            <w:tcBorders>
              <w:top w:val="nil"/>
              <w:left w:val="nil"/>
              <w:bottom w:val="single" w:color="000000" w:sz="8" w:space="0"/>
              <w:right w:val="single" w:color="000000" w:sz="8" w:space="0"/>
            </w:tcBorders>
            <w:shd w:val="clear" w:color="000000" w:fill="FFFFFF"/>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32</w:t>
            </w:r>
            <w:r>
              <w:rPr>
                <w:rFonts w:hint="eastAsia" w:ascii="宋体" w:hAnsi="宋体" w:cs="宋体"/>
                <w:color w:val="000000"/>
                <w:kern w:val="0"/>
                <w:sz w:val="20"/>
                <w:szCs w:val="20"/>
              </w:rPr>
              <w:t>0</w:t>
            </w:r>
          </w:p>
        </w:tc>
        <w:tc>
          <w:tcPr>
            <w:tcW w:w="1444" w:type="dxa"/>
            <w:tcBorders>
              <w:top w:val="nil"/>
              <w:left w:val="nil"/>
              <w:bottom w:val="single" w:color="000000" w:sz="8" w:space="0"/>
              <w:right w:val="single" w:color="000000" w:sz="8" w:space="0"/>
            </w:tcBorders>
            <w:shd w:val="clear" w:color="000000" w:fill="FFFFFF"/>
            <w:vAlign w:val="center"/>
          </w:tcPr>
          <w:p>
            <w:pPr>
              <w:widowControl/>
              <w:jc w:val="center"/>
              <w:rPr>
                <w:rFonts w:hint="default" w:ascii="宋体" w:hAnsi="宋体" w:cs="宋体"/>
                <w:color w:val="000000"/>
                <w:kern w:val="0"/>
                <w:sz w:val="20"/>
                <w:szCs w:val="20"/>
                <w:lang w:val="en-US"/>
              </w:rPr>
            </w:pP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450</w:t>
            </w:r>
          </w:p>
        </w:tc>
        <w:tc>
          <w:tcPr>
            <w:tcW w:w="1444" w:type="dxa"/>
            <w:tcBorders>
              <w:top w:val="nil"/>
              <w:left w:val="nil"/>
              <w:bottom w:val="single" w:color="000000" w:sz="8" w:space="0"/>
              <w:right w:val="single" w:color="000000" w:sz="8" w:space="0"/>
            </w:tcBorders>
            <w:shd w:val="clear" w:color="000000" w:fill="FFFFFF"/>
            <w:vAlign w:val="bottom"/>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1650</w:t>
            </w:r>
          </w:p>
        </w:tc>
        <w:tc>
          <w:tcPr>
            <w:tcW w:w="1444"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0</w:t>
            </w:r>
          </w:p>
        </w:tc>
      </w:tr>
      <w:tr>
        <w:tblPrEx>
          <w:tblCellMar>
            <w:top w:w="0" w:type="dxa"/>
            <w:left w:w="108" w:type="dxa"/>
            <w:bottom w:w="0" w:type="dxa"/>
            <w:right w:w="108" w:type="dxa"/>
          </w:tblCellMar>
        </w:tblPrEx>
        <w:trPr>
          <w:trHeight w:val="285" w:hRule="atLeast"/>
        </w:trPr>
        <w:tc>
          <w:tcPr>
            <w:tcW w:w="1503" w:type="dxa"/>
            <w:tcBorders>
              <w:top w:val="nil"/>
              <w:left w:val="single" w:color="000000" w:sz="8" w:space="0"/>
              <w:bottom w:val="single" w:color="000000" w:sz="8" w:space="0"/>
              <w:right w:val="single" w:color="000000" w:sz="8" w:space="0"/>
            </w:tcBorders>
            <w:shd w:val="clear" w:color="000000" w:fill="FFFFFF"/>
          </w:tcPr>
          <w:p>
            <w:pPr>
              <w:jc w:val="center"/>
              <w:rPr>
                <w:rFonts w:hint="default" w:eastAsia="宋体"/>
                <w:lang w:val="en-US" w:eastAsia="zh-CN"/>
              </w:rPr>
            </w:pPr>
            <w:r>
              <w:rPr>
                <w:rFonts w:hint="eastAsia" w:ascii="宋体" w:hAnsi="宋体" w:cs="宋体"/>
                <w:color w:val="000000"/>
                <w:kern w:val="0"/>
                <w:sz w:val="20"/>
                <w:szCs w:val="20"/>
              </w:rPr>
              <w:t>2019/</w:t>
            </w:r>
            <w:r>
              <w:rPr>
                <w:rFonts w:hint="eastAsia" w:ascii="宋体" w:hAnsi="宋体" w:cs="宋体"/>
                <w:color w:val="000000"/>
                <w:kern w:val="0"/>
                <w:sz w:val="20"/>
                <w:szCs w:val="20"/>
                <w:lang w:val="en-US" w:eastAsia="zh-CN"/>
              </w:rPr>
              <w:t>12</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13</w:t>
            </w:r>
          </w:p>
        </w:tc>
        <w:tc>
          <w:tcPr>
            <w:tcW w:w="1441"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西北</w:t>
            </w:r>
          </w:p>
        </w:tc>
        <w:tc>
          <w:tcPr>
            <w:tcW w:w="1444" w:type="dxa"/>
            <w:tcBorders>
              <w:top w:val="nil"/>
              <w:left w:val="nil"/>
              <w:bottom w:val="single" w:color="000000" w:sz="8" w:space="0"/>
              <w:right w:val="single" w:color="000000" w:sz="8" w:space="0"/>
            </w:tcBorders>
            <w:shd w:val="clear" w:color="000000" w:fill="FFFFFF"/>
            <w:vAlign w:val="bottom"/>
          </w:tcPr>
          <w:p>
            <w:pPr>
              <w:widowControl/>
              <w:jc w:val="center"/>
              <w:rPr>
                <w:rFonts w:hint="default" w:ascii="宋体" w:hAnsi="宋体" w:cs="宋体"/>
                <w:color w:val="000000"/>
                <w:kern w:val="0"/>
                <w:sz w:val="20"/>
                <w:szCs w:val="20"/>
                <w:lang w:val="en-US"/>
              </w:rPr>
            </w:pP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250</w:t>
            </w:r>
          </w:p>
        </w:tc>
        <w:tc>
          <w:tcPr>
            <w:tcW w:w="1444"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78</w:t>
            </w:r>
            <w:r>
              <w:rPr>
                <w:rFonts w:hint="eastAsia" w:ascii="宋体" w:hAnsi="宋体" w:cs="宋体"/>
                <w:color w:val="000000"/>
                <w:kern w:val="0"/>
                <w:sz w:val="20"/>
                <w:szCs w:val="20"/>
              </w:rPr>
              <w:t>0</w:t>
            </w:r>
          </w:p>
        </w:tc>
        <w:tc>
          <w:tcPr>
            <w:tcW w:w="1444" w:type="dxa"/>
            <w:tcBorders>
              <w:top w:val="nil"/>
              <w:left w:val="nil"/>
              <w:bottom w:val="single" w:color="000000" w:sz="8" w:space="0"/>
              <w:right w:val="single" w:color="000000" w:sz="8" w:space="0"/>
            </w:tcBorders>
            <w:shd w:val="clear" w:color="000000" w:fill="FFFFFF"/>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25</w:t>
            </w:r>
            <w:r>
              <w:rPr>
                <w:rFonts w:hint="eastAsia" w:ascii="宋体" w:hAnsi="宋体" w:cs="宋体"/>
                <w:color w:val="000000"/>
                <w:kern w:val="0"/>
                <w:sz w:val="20"/>
                <w:szCs w:val="20"/>
              </w:rPr>
              <w:t>0</w:t>
            </w:r>
          </w:p>
        </w:tc>
        <w:tc>
          <w:tcPr>
            <w:tcW w:w="1444"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83</w:t>
            </w:r>
            <w:r>
              <w:rPr>
                <w:rFonts w:hint="eastAsia" w:ascii="宋体" w:hAnsi="宋体" w:cs="宋体"/>
                <w:color w:val="000000"/>
                <w:kern w:val="0"/>
                <w:sz w:val="20"/>
                <w:szCs w:val="20"/>
              </w:rPr>
              <w:t>0</w:t>
            </w:r>
          </w:p>
        </w:tc>
      </w:tr>
    </w:tbl>
    <w:p>
      <w:pPr>
        <w:rPr>
          <w:rFonts w:hint="eastAsia" w:cs="黑体"/>
        </w:rPr>
      </w:pPr>
      <w:bookmarkStart w:id="162" w:name="_Toc10202313"/>
      <w:bookmarkStart w:id="163" w:name="_Toc536540309"/>
      <w:bookmarkStart w:id="164" w:name="_Toc536789787"/>
      <w:bookmarkStart w:id="165" w:name="_Toc1139287"/>
      <w:bookmarkStart w:id="166" w:name="_Toc4139108"/>
      <w:bookmarkStart w:id="167" w:name="_Toc9583957"/>
      <w:bookmarkStart w:id="168" w:name="_Toc9597664"/>
      <w:bookmarkStart w:id="169" w:name="_Toc8378820"/>
      <w:bookmarkStart w:id="170" w:name="_Toc4767068"/>
      <w:bookmarkStart w:id="171" w:name="_Toc12609908"/>
      <w:bookmarkStart w:id="172" w:name="_Toc8313138"/>
      <w:bookmarkStart w:id="173" w:name="_Toc8991658"/>
      <w:bookmarkStart w:id="174" w:name="_Toc4596896"/>
      <w:bookmarkStart w:id="175" w:name="_Toc13217636"/>
      <w:bookmarkStart w:id="176" w:name="_Toc516839086"/>
      <w:bookmarkStart w:id="177" w:name="_Toc525289548"/>
      <w:bookmarkStart w:id="178" w:name="_Toc528919988"/>
      <w:bookmarkStart w:id="179" w:name="_Toc522870762"/>
      <w:bookmarkStart w:id="180" w:name="_Toc519848559"/>
      <w:bookmarkStart w:id="181" w:name="_Toc525306476"/>
      <w:bookmarkStart w:id="182" w:name="_Toc518032001"/>
      <w:bookmarkStart w:id="183" w:name="_Toc522870771"/>
      <w:bookmarkStart w:id="184" w:name="_Toc528329958"/>
      <w:bookmarkStart w:id="185" w:name="_Toc521660549"/>
      <w:bookmarkStart w:id="186" w:name="_Toc522259766"/>
      <w:bookmarkStart w:id="187" w:name="_Toc520465078"/>
      <w:bookmarkStart w:id="188" w:name="_Toc522870753"/>
      <w:bookmarkStart w:id="189" w:name="_Toc522280056"/>
      <w:bookmarkStart w:id="190" w:name="_Toc518638261"/>
      <w:bookmarkStart w:id="191" w:name="_Toc516234899"/>
      <w:bookmarkStart w:id="192" w:name="_Toc522870747"/>
      <w:bookmarkStart w:id="193" w:name="_Toc513127192"/>
      <w:bookmarkStart w:id="194" w:name="_Toc392240279"/>
      <w:bookmarkStart w:id="195" w:name="_Toc515610375"/>
      <w:bookmarkStart w:id="196" w:name="_Toc511390007"/>
      <w:bookmarkStart w:id="197" w:name="_Toc524091683"/>
      <w:bookmarkStart w:id="198" w:name="_Toc532564065"/>
      <w:bookmarkStart w:id="199" w:name="_Toc521057603"/>
      <w:bookmarkStart w:id="200" w:name="_Toc517425040"/>
      <w:bookmarkStart w:id="201" w:name="_Toc524701466"/>
      <w:bookmarkStart w:id="202" w:name="_Toc525306465"/>
      <w:bookmarkStart w:id="203" w:name="_Toc527101792"/>
      <w:bookmarkStart w:id="204" w:name="_Toc525912528"/>
      <w:bookmarkStart w:id="205" w:name="_Toc527705002"/>
      <w:bookmarkStart w:id="206" w:name="_Toc530128351"/>
      <w:bookmarkStart w:id="207" w:name="_Toc528930995"/>
      <w:bookmarkStart w:id="208" w:name="_Toc529526327"/>
      <w:bookmarkStart w:id="209" w:name="_Toc531954274"/>
      <w:bookmarkStart w:id="210" w:name="_Toc530750141"/>
      <w:bookmarkStart w:id="211" w:name="_Toc532564039"/>
      <w:bookmarkStart w:id="212" w:name="_Toc4654033"/>
      <w:bookmarkStart w:id="213" w:name="_Toc536541139"/>
      <w:bookmarkStart w:id="214" w:name="_Toc534915167"/>
      <w:bookmarkStart w:id="215" w:name="_Toc533149332"/>
      <w:bookmarkStart w:id="216" w:name="_Toc532564262"/>
      <w:bookmarkStart w:id="217" w:name="_Toc534378402"/>
      <w:bookmarkStart w:id="218" w:name="_Toc536198169"/>
      <w:bookmarkStart w:id="219" w:name="_Toc535588710"/>
      <w:bookmarkStart w:id="220" w:name="_Toc1394102"/>
      <w:bookmarkStart w:id="221" w:name="_Toc1739296"/>
      <w:bookmarkStart w:id="222" w:name="_Toc516234893"/>
      <w:bookmarkStart w:id="223" w:name="_Toc485981323"/>
      <w:bookmarkStart w:id="224" w:name="_Toc1035932"/>
    </w:p>
    <w:p>
      <w:pPr>
        <w:pStyle w:val="2"/>
        <w:spacing w:line="400" w:lineRule="exact"/>
        <w:ind w:firstLine="3855" w:firstLineChars="1200"/>
        <w:jc w:val="both"/>
      </w:pPr>
      <w:r>
        <w:rPr>
          <w:rFonts w:hint="eastAsia" w:cs="黑体"/>
        </w:rPr>
        <w:t>烧碱</w:t>
      </w:r>
      <w:bookmarkEnd w:id="64"/>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Start w:id="225" w:name="_Toc295403449"/>
      <w:bookmarkStart w:id="226" w:name="_Toc250731925"/>
      <w:bookmarkStart w:id="227" w:name="_Toc252539754"/>
      <w:bookmarkStart w:id="228" w:name="_Toc300238848"/>
      <w:bookmarkStart w:id="229" w:name="_Toc4596897"/>
      <w:bookmarkStart w:id="230" w:name="_Toc4654034"/>
    </w:p>
    <w:p>
      <w:pPr>
        <w:spacing w:line="400" w:lineRule="exact"/>
        <w:ind w:firstLine="602" w:firstLineChars="200"/>
        <w:outlineLvl w:val="1"/>
        <w:rPr>
          <w:rFonts w:hint="eastAsia" w:ascii="黑体" w:hAnsi="黑体" w:eastAsia="黑体" w:cs="黑体"/>
          <w:b/>
          <w:bCs/>
          <w:sz w:val="30"/>
          <w:szCs w:val="30"/>
        </w:rPr>
      </w:pPr>
      <w:bookmarkStart w:id="231" w:name="_Toc10202314"/>
      <w:bookmarkStart w:id="232" w:name="_Toc8313139"/>
      <w:bookmarkStart w:id="233" w:name="_Toc8378821"/>
      <w:bookmarkStart w:id="234" w:name="_Toc4767069"/>
      <w:bookmarkStart w:id="235" w:name="_Toc12609909"/>
      <w:bookmarkStart w:id="236" w:name="_Toc13217637"/>
      <w:bookmarkStart w:id="237" w:name="_Toc9597665"/>
      <w:bookmarkStart w:id="238" w:name="_Toc9583958"/>
      <w:bookmarkStart w:id="239" w:name="_Toc8991659"/>
      <w:r>
        <w:rPr>
          <w:rFonts w:hint="eastAsia" w:ascii="黑体" w:hAnsi="黑体" w:eastAsia="黑体" w:cs="黑体"/>
          <w:b/>
          <w:bCs/>
          <w:sz w:val="30"/>
          <w:szCs w:val="30"/>
        </w:rPr>
        <w:t>中国烧碱市场行情综述</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Start w:id="240" w:name="_Toc300238850"/>
      <w:bookmarkStart w:id="241" w:name="_Toc392240280"/>
      <w:bookmarkStart w:id="242" w:name="_Toc295403451"/>
      <w:bookmarkStart w:id="243" w:name="_Toc264643747"/>
    </w:p>
    <w:p>
      <w:pPr>
        <w:spacing w:line="400" w:lineRule="exact"/>
        <w:outlineLvl w:val="1"/>
        <w:rPr>
          <w:rFonts w:hint="eastAsia" w:ascii="黑体" w:hAnsi="黑体" w:eastAsia="黑体" w:cs="黑体"/>
          <w:b/>
          <w:bCs/>
          <w:sz w:val="30"/>
          <w:szCs w:val="30"/>
        </w:rPr>
      </w:pPr>
    </w:p>
    <w:p>
      <w:pPr>
        <w:pStyle w:val="12"/>
        <w:numPr>
          <w:ilvl w:val="0"/>
          <w:numId w:val="2"/>
        </w:numPr>
        <w:spacing w:before="0" w:beforeAutospacing="0" w:after="0" w:afterAutospacing="0" w:line="400" w:lineRule="exact"/>
        <w:ind w:left="1321"/>
        <w:outlineLvl w:val="1"/>
        <w:rPr>
          <w:rFonts w:ascii="黑体" w:hAnsi="黑体" w:eastAsia="黑体" w:cs="Times New Roman"/>
          <w:sz w:val="30"/>
          <w:szCs w:val="30"/>
        </w:rPr>
      </w:pPr>
      <w:bookmarkStart w:id="244" w:name="_Toc10202315"/>
      <w:bookmarkStart w:id="245" w:name="_Toc13217638"/>
      <w:bookmarkStart w:id="246" w:name="_Toc8991660"/>
      <w:bookmarkStart w:id="247" w:name="_Toc9583959"/>
      <w:bookmarkStart w:id="248" w:name="_Toc4654035"/>
      <w:bookmarkStart w:id="249" w:name="_Toc4596898"/>
      <w:bookmarkStart w:id="250" w:name="_Toc8313140"/>
      <w:bookmarkStart w:id="251" w:name="_Toc4767070"/>
      <w:bookmarkStart w:id="252" w:name="_Toc9597666"/>
      <w:bookmarkStart w:id="253" w:name="_Toc8378822"/>
      <w:bookmarkStart w:id="254" w:name="_Toc12609910"/>
      <w:r>
        <w:rPr>
          <w:rFonts w:hint="eastAsia" w:ascii="黑体" w:hAnsi="黑体" w:eastAsia="黑体" w:cs="黑体"/>
          <w:sz w:val="30"/>
          <w:szCs w:val="30"/>
        </w:rPr>
        <w:t>市场综述</w:t>
      </w:r>
      <w:bookmarkEnd w:id="244"/>
      <w:bookmarkEnd w:id="245"/>
      <w:bookmarkEnd w:id="246"/>
      <w:bookmarkEnd w:id="247"/>
      <w:bookmarkEnd w:id="248"/>
      <w:bookmarkEnd w:id="249"/>
      <w:bookmarkEnd w:id="250"/>
      <w:bookmarkEnd w:id="251"/>
      <w:bookmarkEnd w:id="252"/>
      <w:bookmarkEnd w:id="253"/>
      <w:bookmarkEnd w:id="254"/>
    </w:p>
    <w:p>
      <w:pPr>
        <w:widowControl/>
        <w:ind w:firstLine="560" w:firstLineChars="200"/>
        <w:jc w:val="left"/>
        <w:outlineLvl w:val="2"/>
        <w:rPr>
          <w:rFonts w:hint="default" w:ascii="仿宋" w:hAnsi="仿宋" w:eastAsia="仿宋" w:cs="仿宋"/>
          <w:kern w:val="2"/>
          <w:sz w:val="28"/>
          <w:szCs w:val="28"/>
          <w:lang w:val="en-US" w:eastAsia="zh-CN" w:bidi="ar-SA"/>
        </w:rPr>
      </w:pPr>
      <w:bookmarkStart w:id="255" w:name="_Toc9583960"/>
      <w:bookmarkStart w:id="256" w:name="_Toc8991661"/>
      <w:bookmarkStart w:id="257" w:name="_Toc10202316"/>
      <w:bookmarkStart w:id="258" w:name="_Toc9597667"/>
      <w:bookmarkStart w:id="259" w:name="_Toc4767071"/>
      <w:bookmarkStart w:id="260" w:name="_Toc8378823"/>
      <w:bookmarkStart w:id="261" w:name="_Toc8313141"/>
      <w:bookmarkStart w:id="262" w:name="_Toc13217639"/>
      <w:bookmarkStart w:id="263" w:name="_Toc12609911"/>
      <w:bookmarkStart w:id="264" w:name="_Toc4654036"/>
      <w:bookmarkStart w:id="265" w:name="_Toc4596899"/>
      <w:r>
        <w:rPr>
          <w:rFonts w:hint="default" w:ascii="仿宋" w:hAnsi="仿宋" w:eastAsia="仿宋" w:cs="仿宋"/>
          <w:kern w:val="2"/>
          <w:sz w:val="28"/>
          <w:szCs w:val="28"/>
          <w:lang w:val="en-US" w:eastAsia="zh-CN" w:bidi="ar-SA"/>
        </w:rPr>
        <w:t>本周中国液体烧碱市场仍呈现下行走势，本周北京、天津、河北、江苏、山东、河南、湖北及四川地区部分高速局部路段封路，影响运输，出货受阻，周边区域氯碱企业出货困难，库存水平稍有升温。山东地区主流氯碱企业现金收货价格下调20元/吨，氯碱企业出货价格随之下调，本周省内氯碱装置整体开工较高，下游需求仍弱势难改，场内供应量过剩，成交心态不足。河北地区受受外围山东烧碱价格下跌影响，液碱出货价格亦有下调，累计下调60元/吨，河北省内需求情况稳定，下游接货情绪一般，场内成交氛围清淡。西北地区液碱市场成交重心暂稳，区域内氯碱企业出货情况尚可，库存水平适中，下游按需采购为主。近期片碱市场触底观望，成交重心波动不大，片碱加工企业生产积极性尚可，按需采购为主。东北地区受外围山东地区烧碱价格持续下滑影响，烧碱价格适度下调，上游氯碱企业供应量稍有过剩，下游用碱企业提货情绪一般。</w:t>
      </w:r>
    </w:p>
    <w:p>
      <w:pPr>
        <w:widowControl/>
        <w:ind w:firstLine="560" w:firstLineChars="200"/>
        <w:jc w:val="left"/>
        <w:outlineLvl w:val="2"/>
        <w:rPr>
          <w:rFonts w:hint="default" w:ascii="仿宋" w:hAnsi="仿宋" w:eastAsia="仿宋" w:cs="仿宋"/>
          <w:kern w:val="2"/>
          <w:sz w:val="28"/>
          <w:szCs w:val="28"/>
          <w:lang w:val="en-US" w:eastAsia="zh-CN" w:bidi="ar-SA"/>
        </w:rPr>
      </w:pPr>
      <w:r>
        <w:rPr>
          <w:rFonts w:hint="default" w:ascii="仿宋" w:hAnsi="仿宋" w:eastAsia="仿宋" w:cs="仿宋"/>
          <w:kern w:val="2"/>
          <w:sz w:val="28"/>
          <w:szCs w:val="28"/>
          <w:lang w:val="en-US" w:eastAsia="zh-CN" w:bidi="ar-SA"/>
        </w:rPr>
        <w:t>南方地区来看，本周浙江及福建地区液碱市场价格稍有回落，下调幅度在30元/吨左右。下调原因主要是外围液碱市场价格滑落，对区域内液碱成交心态有一定影响，下游接货积极性一般，上游氯碱企业为促进出货小幅下调出货价格。江苏地区本周液碱市场持稳观望，因前期省内有碱厂短暂停车，且外围安徽地区液碱因运河闸口维修，运输不畅流入减少，江苏省内出货基本平稳。安徽及江西地区液碱市场弱势整理运行，场内液碱供应充足，需求面依旧无起色，液碱出货竞争较大，出货情况不佳。华南地区液碱市场依旧弱势，外围烧碱市场延续跌势，广东省内下游需求端未有起色，贸易商看空态度居多，拿货谨慎，价格弱势整理。西南地区近期外围烧碱市场接连走跌，外围低价片碱流入冲击，区域内液碱出货略显受阻，碱厂出货压力不减。</w:t>
      </w:r>
    </w:p>
    <w:p>
      <w:pPr>
        <w:widowControl/>
        <w:ind w:firstLine="560" w:firstLineChars="200"/>
        <w:jc w:val="left"/>
        <w:outlineLvl w:val="2"/>
        <w:rPr>
          <w:rFonts w:hint="default" w:ascii="仿宋" w:hAnsi="仿宋" w:eastAsia="仿宋" w:cs="仿宋"/>
          <w:kern w:val="2"/>
          <w:sz w:val="28"/>
          <w:szCs w:val="28"/>
          <w:lang w:val="en-US" w:eastAsia="zh-CN" w:bidi="ar-SA"/>
        </w:rPr>
      </w:pPr>
      <w:r>
        <w:rPr>
          <w:rFonts w:hint="default" w:ascii="仿宋" w:hAnsi="仿宋" w:eastAsia="仿宋" w:cs="仿宋"/>
          <w:kern w:val="2"/>
          <w:sz w:val="28"/>
          <w:szCs w:val="28"/>
          <w:lang w:val="en-US" w:eastAsia="zh-CN" w:bidi="ar-SA"/>
        </w:rPr>
        <w:t>跟踪数据，12月12日中国32%离子膜液碱市场价格指数725，较12月5日数据相比↓2.44%;12月12日中国50%离子膜液碱市场平均出厂价格在1273元/吨，较12月5日数据相比↓2.14%。</w:t>
      </w:r>
    </w:p>
    <w:p>
      <w:pPr>
        <w:widowControl/>
        <w:ind w:firstLine="560" w:firstLineChars="200"/>
        <w:jc w:val="left"/>
        <w:outlineLvl w:val="2"/>
        <w:rPr>
          <w:rFonts w:hint="default" w:ascii="仿宋" w:hAnsi="仿宋" w:eastAsia="仿宋" w:cs="仿宋"/>
          <w:kern w:val="2"/>
          <w:sz w:val="28"/>
          <w:szCs w:val="28"/>
          <w:lang w:val="en-US" w:eastAsia="zh-CN" w:bidi="ar-SA"/>
        </w:rPr>
      </w:pPr>
    </w:p>
    <w:p>
      <w:pPr>
        <w:pStyle w:val="12"/>
        <w:numPr>
          <w:ilvl w:val="0"/>
          <w:numId w:val="2"/>
        </w:numPr>
        <w:spacing w:before="0" w:beforeAutospacing="0" w:after="0" w:afterAutospacing="0" w:line="400" w:lineRule="exact"/>
        <w:ind w:left="1321" w:leftChars="0" w:hanging="720" w:firstLineChars="0"/>
        <w:outlineLvl w:val="1"/>
        <w:rPr>
          <w:rFonts w:hint="default"/>
          <w:b/>
          <w:bCs/>
          <w:sz w:val="30"/>
          <w:szCs w:val="30"/>
          <w:lang w:val="en-US" w:eastAsia="zh-CN"/>
        </w:rPr>
      </w:pPr>
      <w:r>
        <w:rPr>
          <w:rFonts w:hint="eastAsia"/>
          <w:b/>
          <w:bCs/>
          <w:sz w:val="30"/>
          <w:szCs w:val="30"/>
        </w:rPr>
        <w:t>价格方面</w:t>
      </w:r>
      <w:bookmarkEnd w:id="255"/>
      <w:bookmarkEnd w:id="256"/>
      <w:bookmarkEnd w:id="257"/>
      <w:bookmarkEnd w:id="258"/>
      <w:bookmarkEnd w:id="259"/>
      <w:bookmarkEnd w:id="260"/>
      <w:bookmarkEnd w:id="261"/>
      <w:bookmarkEnd w:id="262"/>
      <w:bookmarkEnd w:id="263"/>
      <w:bookmarkEnd w:id="264"/>
      <w:bookmarkEnd w:id="265"/>
      <w:bookmarkStart w:id="266" w:name="_Toc4767072"/>
      <w:bookmarkStart w:id="267" w:name="_Toc4596900"/>
      <w:bookmarkStart w:id="268" w:name="_Toc4654037"/>
    </w:p>
    <w:p>
      <w:pPr>
        <w:widowControl/>
        <w:ind w:firstLine="560" w:firstLineChars="200"/>
        <w:jc w:val="left"/>
        <w:outlineLvl w:val="2"/>
        <w:rPr>
          <w:rFonts w:hint="default" w:ascii="仿宋" w:hAnsi="仿宋" w:eastAsia="仿宋" w:cs="仿宋"/>
          <w:kern w:val="2"/>
          <w:sz w:val="28"/>
          <w:szCs w:val="28"/>
          <w:lang w:val="en-US" w:eastAsia="zh-CN" w:bidi="ar-SA"/>
        </w:rPr>
      </w:pPr>
      <w:r>
        <w:rPr>
          <w:rFonts w:hint="default" w:ascii="仿宋" w:hAnsi="仿宋" w:eastAsia="仿宋" w:cs="仿宋"/>
          <w:kern w:val="2"/>
          <w:sz w:val="28"/>
          <w:szCs w:val="28"/>
          <w:lang w:val="en-US" w:eastAsia="zh-CN" w:bidi="ar-SA"/>
        </w:rPr>
        <w:t>截止12月12日各地区液碱价格(文中价格为现汇，承兑低浓度水碱加15元/吨，高浓度碱加30元/吨)</w:t>
      </w:r>
    </w:p>
    <w:p>
      <w:pPr>
        <w:widowControl/>
        <w:ind w:firstLine="560" w:firstLineChars="200"/>
        <w:jc w:val="left"/>
        <w:outlineLvl w:val="2"/>
        <w:rPr>
          <w:rFonts w:hint="default" w:ascii="仿宋" w:hAnsi="仿宋" w:eastAsia="仿宋" w:cs="仿宋"/>
          <w:kern w:val="2"/>
          <w:sz w:val="28"/>
          <w:szCs w:val="28"/>
          <w:lang w:val="en-US" w:eastAsia="zh-CN" w:bidi="ar-SA"/>
        </w:rPr>
      </w:pPr>
      <w:r>
        <w:rPr>
          <w:rFonts w:hint="default" w:ascii="仿宋" w:hAnsi="仿宋" w:eastAsia="仿宋" w:cs="仿宋"/>
          <w:kern w:val="2"/>
          <w:sz w:val="28"/>
          <w:szCs w:val="28"/>
          <w:lang w:val="en-US" w:eastAsia="zh-CN" w:bidi="ar-SA"/>
        </w:rPr>
        <w:t>32%离子膜液碱主流出厂价格：自12月10日起山东供给氧化铝行业现汇出厂价格执行600元/吨，供其他客户主流现汇出厂价格550-610元/吨;河北630-735元/吨;天津2150-2200元/吨(折百);浙江送到萧绍经销商800-820元/吨;江苏680-730元/吨;安徽620-660元/吨;江西地区720-780元/吨;福建省内送到920-1000元/吨;广西800-880元/吨;湖北780-850元/吨;河南2100-2200元/吨(折百);内蒙古1900-1950元/吨(折百);辽宁840-860元/吨，个别企业价格略高;四川2700-2900元/吨(折百)。</w:t>
      </w:r>
    </w:p>
    <w:p>
      <w:pPr>
        <w:widowControl/>
        <w:ind w:firstLine="560" w:firstLineChars="200"/>
        <w:jc w:val="left"/>
        <w:outlineLvl w:val="2"/>
        <w:rPr>
          <w:rFonts w:hint="default" w:ascii="仿宋" w:hAnsi="仿宋" w:eastAsia="仿宋" w:cs="仿宋"/>
          <w:kern w:val="2"/>
          <w:sz w:val="28"/>
          <w:szCs w:val="28"/>
          <w:lang w:val="en-US" w:eastAsia="zh-CN" w:bidi="ar-SA"/>
        </w:rPr>
      </w:pPr>
      <w:r>
        <w:rPr>
          <w:rFonts w:hint="default" w:ascii="仿宋" w:hAnsi="仿宋" w:eastAsia="仿宋" w:cs="仿宋"/>
          <w:kern w:val="2"/>
          <w:sz w:val="28"/>
          <w:szCs w:val="28"/>
          <w:lang w:val="en-US" w:eastAsia="zh-CN" w:bidi="ar-SA"/>
        </w:rPr>
        <w:t>高浓碱主流出厂价格：山东48%离子膜液碱出厂970-980元/吨，50%离子膜液碱出厂980-1020元/吨。天津49%离子膜碱出厂价格2200-2250元/吨(折百)，福建50%离子膜液碱省内送到1350-1450元/吨左右;广西50%离子膜液碱出厂价格1280-1350元/吨;内蒙古48-50%离子膜液碱出厂价格2000-2050元/吨(折百)左右;江苏地区48%离子膜液碱出厂价格1150-1180元/吨;辽宁地区45-50%离子膜液碱出厂报价在1210-1330元/吨;四川地区50%离子膜液碱主流出厂价格2800-3000元/吨(折百)。</w:t>
      </w:r>
    </w:p>
    <w:p>
      <w:pPr>
        <w:widowControl/>
        <w:ind w:firstLine="602" w:firstLineChars="200"/>
        <w:jc w:val="left"/>
        <w:outlineLvl w:val="2"/>
        <w:rPr>
          <w:rFonts w:ascii="仿宋" w:hAnsi="仿宋" w:eastAsia="仿宋" w:cs="仿宋"/>
          <w:sz w:val="28"/>
          <w:szCs w:val="28"/>
        </w:rPr>
      </w:pPr>
      <w:r>
        <w:rPr>
          <w:rFonts w:hint="eastAsia" w:ascii="宋体" w:hAnsi="宋体" w:cs="宋体"/>
          <w:b/>
          <w:bCs/>
          <w:kern w:val="0"/>
          <w:sz w:val="30"/>
          <w:szCs w:val="30"/>
        </w:rPr>
        <w:t>三、后市预测</w:t>
      </w:r>
      <w:bookmarkEnd w:id="266"/>
      <w:bookmarkEnd w:id="267"/>
      <w:bookmarkEnd w:id="268"/>
      <w:bookmarkStart w:id="269" w:name="_Toc4596901"/>
      <w:bookmarkStart w:id="270" w:name="_Toc4654038"/>
    </w:p>
    <w:p>
      <w:pPr>
        <w:widowControl/>
        <w:ind w:firstLine="560" w:firstLineChars="200"/>
        <w:jc w:val="left"/>
        <w:outlineLvl w:val="2"/>
        <w:rPr>
          <w:rFonts w:hint="default" w:ascii="仿宋" w:hAnsi="仿宋" w:eastAsia="仿宋" w:cs="仿宋"/>
          <w:kern w:val="2"/>
          <w:sz w:val="28"/>
          <w:szCs w:val="28"/>
          <w:lang w:val="en-US" w:eastAsia="zh-CN" w:bidi="ar-SA"/>
        </w:rPr>
      </w:pPr>
      <w:bookmarkStart w:id="271" w:name="_Toc13217640"/>
      <w:bookmarkStart w:id="272" w:name="_Toc9583961"/>
      <w:bookmarkStart w:id="273" w:name="_Toc10202317"/>
      <w:bookmarkStart w:id="274" w:name="_Toc8313142"/>
      <w:bookmarkStart w:id="275" w:name="_Toc4767073"/>
      <w:bookmarkStart w:id="276" w:name="_Toc12609912"/>
      <w:bookmarkStart w:id="277" w:name="_Toc9597668"/>
      <w:bookmarkStart w:id="278" w:name="_Toc8378824"/>
      <w:bookmarkStart w:id="279" w:name="_Toc8991662"/>
      <w:r>
        <w:rPr>
          <w:rFonts w:hint="default" w:ascii="仿宋" w:hAnsi="仿宋" w:eastAsia="仿宋" w:cs="仿宋"/>
          <w:kern w:val="2"/>
          <w:sz w:val="28"/>
          <w:szCs w:val="28"/>
          <w:lang w:val="en-US" w:eastAsia="zh-CN" w:bidi="ar-SA"/>
        </w:rPr>
        <w:t>中国液体烧碱市场整体呈现疲软态势，目前下游需求情况一般，按需采购为主;虽目前上游企业液碱出货价格维持低位水平，但液氯出货价格较高，氯碱装置维持稳定运行。预计下周上游氯碱企业仍积极出货为主。</w:t>
      </w:r>
    </w:p>
    <w:p>
      <w:pPr>
        <w:widowControl/>
        <w:ind w:firstLine="560" w:firstLineChars="200"/>
        <w:jc w:val="left"/>
        <w:outlineLvl w:val="2"/>
        <w:rPr>
          <w:rFonts w:hint="default" w:ascii="仿宋" w:hAnsi="仿宋" w:eastAsia="仿宋" w:cs="仿宋"/>
          <w:kern w:val="2"/>
          <w:sz w:val="28"/>
          <w:szCs w:val="28"/>
          <w:lang w:val="en-US" w:eastAsia="zh-CN" w:bidi="ar-SA"/>
        </w:rPr>
      </w:pPr>
    </w:p>
    <w:p>
      <w:pPr>
        <w:widowControl/>
        <w:ind w:firstLine="602" w:firstLineChars="200"/>
        <w:jc w:val="left"/>
        <w:outlineLvl w:val="2"/>
        <w:rPr>
          <w:rStyle w:val="24"/>
          <w:rFonts w:hint="eastAsia"/>
          <w:b/>
          <w:bCs/>
          <w:sz w:val="30"/>
          <w:szCs w:val="30"/>
        </w:rPr>
      </w:pPr>
      <w:r>
        <w:rPr>
          <w:rStyle w:val="24"/>
          <w:rFonts w:hint="eastAsia"/>
          <w:b/>
          <w:bCs/>
          <w:sz w:val="30"/>
          <w:szCs w:val="30"/>
        </w:rPr>
        <w:t>本周国内片碱实际成交周汇总</w:t>
      </w:r>
      <w:bookmarkEnd w:id="240"/>
      <w:bookmarkEnd w:id="241"/>
      <w:bookmarkEnd w:id="242"/>
      <w:bookmarkEnd w:id="243"/>
      <w:bookmarkEnd w:id="269"/>
      <w:bookmarkEnd w:id="270"/>
      <w:bookmarkEnd w:id="271"/>
      <w:bookmarkEnd w:id="272"/>
      <w:bookmarkEnd w:id="273"/>
      <w:bookmarkEnd w:id="274"/>
      <w:bookmarkEnd w:id="275"/>
      <w:bookmarkEnd w:id="276"/>
      <w:bookmarkEnd w:id="277"/>
      <w:bookmarkEnd w:id="278"/>
      <w:bookmarkEnd w:id="279"/>
    </w:p>
    <w:p>
      <w:pPr>
        <w:snapToGrid w:val="0"/>
        <w:spacing w:line="400" w:lineRule="exact"/>
        <w:ind w:right="-149" w:rightChars="-71"/>
        <w:rPr>
          <w:rFonts w:hint="eastAsia" w:ascii="仿宋" w:hAnsi="仿宋" w:eastAsia="仿宋" w:cs="仿宋"/>
          <w:sz w:val="28"/>
          <w:szCs w:val="28"/>
        </w:rPr>
      </w:pPr>
      <w:r>
        <w:rPr>
          <w:rFonts w:hint="eastAsia" w:ascii="仿宋" w:hAnsi="仿宋" w:eastAsia="仿宋" w:cs="仿宋"/>
          <w:sz w:val="28"/>
          <w:szCs w:val="28"/>
        </w:rPr>
        <w:t>单位：元</w:t>
      </w:r>
      <w:r>
        <w:rPr>
          <w:rFonts w:ascii="仿宋" w:hAnsi="仿宋" w:eastAsia="仿宋" w:cs="仿宋"/>
          <w:sz w:val="28"/>
          <w:szCs w:val="28"/>
        </w:rPr>
        <w:t>/</w:t>
      </w:r>
      <w:r>
        <w:rPr>
          <w:rFonts w:hint="eastAsia" w:ascii="仿宋" w:hAnsi="仿宋" w:eastAsia="仿宋" w:cs="仿宋"/>
          <w:sz w:val="28"/>
          <w:szCs w:val="28"/>
        </w:rPr>
        <w:t>吨</w:t>
      </w:r>
    </w:p>
    <w:tbl>
      <w:tblPr>
        <w:tblStyle w:val="13"/>
        <w:tblpPr w:leftFromText="180" w:rightFromText="180" w:vertAnchor="text" w:horzAnchor="page" w:tblpX="2166" w:tblpY="434"/>
        <w:tblOverlap w:val="never"/>
        <w:tblW w:w="7881" w:type="dxa"/>
        <w:tblInd w:w="0" w:type="dxa"/>
        <w:tblLayout w:type="fixed"/>
        <w:tblCellMar>
          <w:top w:w="0" w:type="dxa"/>
          <w:left w:w="108" w:type="dxa"/>
          <w:bottom w:w="0" w:type="dxa"/>
          <w:right w:w="108" w:type="dxa"/>
        </w:tblCellMar>
      </w:tblPr>
      <w:tblGrid>
        <w:gridCol w:w="1440"/>
        <w:gridCol w:w="2180"/>
        <w:gridCol w:w="1003"/>
        <w:gridCol w:w="1629"/>
        <w:gridCol w:w="1629"/>
      </w:tblGrid>
      <w:tr>
        <w:tblPrEx>
          <w:tblCellMar>
            <w:top w:w="0" w:type="dxa"/>
            <w:left w:w="108" w:type="dxa"/>
            <w:bottom w:w="0" w:type="dxa"/>
            <w:right w:w="108" w:type="dxa"/>
          </w:tblCellMar>
        </w:tblPrEx>
        <w:trPr>
          <w:trHeight w:val="420" w:hRule="atLeast"/>
        </w:trPr>
        <w:tc>
          <w:tcPr>
            <w:tcW w:w="1440" w:type="dxa"/>
            <w:vMerge w:val="restart"/>
            <w:tcBorders>
              <w:top w:val="single" w:color="auto" w:sz="8" w:space="0"/>
              <w:left w:val="single" w:color="auto" w:sz="8" w:space="0"/>
              <w:bottom w:val="single" w:color="000000" w:sz="8" w:space="0"/>
              <w:right w:val="single" w:color="auto" w:sz="8" w:space="0"/>
            </w:tcBorders>
            <w:shd w:val="clear" w:color="000000" w:fill="8DB4E3"/>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日期</w:t>
            </w:r>
          </w:p>
        </w:tc>
        <w:tc>
          <w:tcPr>
            <w:tcW w:w="2180" w:type="dxa"/>
            <w:vMerge w:val="restart"/>
            <w:tcBorders>
              <w:top w:val="single" w:color="auto" w:sz="8" w:space="0"/>
              <w:left w:val="single" w:color="auto" w:sz="8" w:space="0"/>
              <w:bottom w:val="single" w:color="000000" w:sz="8" w:space="0"/>
              <w:right w:val="single" w:color="auto" w:sz="8" w:space="0"/>
            </w:tcBorders>
            <w:shd w:val="clear" w:color="000000" w:fill="8DB4E3"/>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地区</w:t>
            </w:r>
          </w:p>
        </w:tc>
        <w:tc>
          <w:tcPr>
            <w:tcW w:w="4261" w:type="dxa"/>
            <w:gridSpan w:val="3"/>
            <w:tcBorders>
              <w:top w:val="single" w:color="auto" w:sz="8" w:space="0"/>
              <w:left w:val="nil"/>
              <w:bottom w:val="single" w:color="auto" w:sz="8" w:space="0"/>
              <w:right w:val="single" w:color="000000" w:sz="8" w:space="0"/>
            </w:tcBorders>
            <w:shd w:val="clear" w:color="000000" w:fill="8DB4E3"/>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96%片碱</w:t>
            </w:r>
          </w:p>
        </w:tc>
      </w:tr>
      <w:tr>
        <w:tblPrEx>
          <w:tblCellMar>
            <w:top w:w="0" w:type="dxa"/>
            <w:left w:w="108" w:type="dxa"/>
            <w:bottom w:w="0" w:type="dxa"/>
            <w:right w:w="108" w:type="dxa"/>
          </w:tblCellMar>
        </w:tblPrEx>
        <w:trPr>
          <w:trHeight w:val="450" w:hRule="atLeast"/>
        </w:trPr>
        <w:tc>
          <w:tcPr>
            <w:tcW w:w="144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0"/>
                <w:szCs w:val="20"/>
              </w:rPr>
            </w:pPr>
          </w:p>
        </w:tc>
        <w:tc>
          <w:tcPr>
            <w:tcW w:w="21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0"/>
                <w:szCs w:val="20"/>
              </w:rPr>
            </w:pPr>
          </w:p>
        </w:tc>
        <w:tc>
          <w:tcPr>
            <w:tcW w:w="1003" w:type="dxa"/>
            <w:tcBorders>
              <w:top w:val="nil"/>
              <w:left w:val="nil"/>
              <w:bottom w:val="single" w:color="auto" w:sz="8" w:space="0"/>
              <w:right w:val="single" w:color="auto" w:sz="8" w:space="0"/>
            </w:tcBorders>
            <w:shd w:val="clear" w:color="000000" w:fill="8DB4E3"/>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属性</w:t>
            </w:r>
          </w:p>
        </w:tc>
        <w:tc>
          <w:tcPr>
            <w:tcW w:w="1629" w:type="dxa"/>
            <w:tcBorders>
              <w:top w:val="nil"/>
              <w:left w:val="nil"/>
              <w:bottom w:val="single" w:color="auto" w:sz="8" w:space="0"/>
              <w:right w:val="single" w:color="auto" w:sz="8" w:space="0"/>
            </w:tcBorders>
            <w:shd w:val="clear" w:color="000000" w:fill="8DB4E3"/>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低价</w:t>
            </w:r>
          </w:p>
        </w:tc>
        <w:tc>
          <w:tcPr>
            <w:tcW w:w="1629" w:type="dxa"/>
            <w:tcBorders>
              <w:top w:val="nil"/>
              <w:left w:val="nil"/>
              <w:bottom w:val="single" w:color="auto" w:sz="8" w:space="0"/>
              <w:right w:val="single" w:color="auto" w:sz="8" w:space="0"/>
            </w:tcBorders>
            <w:shd w:val="clear" w:color="000000" w:fill="8DB4E3"/>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高价</w:t>
            </w:r>
          </w:p>
        </w:tc>
      </w:tr>
      <w:tr>
        <w:tblPrEx>
          <w:tblCellMar>
            <w:top w:w="0" w:type="dxa"/>
            <w:left w:w="108" w:type="dxa"/>
            <w:bottom w:w="0" w:type="dxa"/>
            <w:right w:w="108" w:type="dxa"/>
          </w:tblCellMar>
        </w:tblPrEx>
        <w:trPr>
          <w:trHeight w:val="375" w:hRule="atLeast"/>
        </w:trPr>
        <w:tc>
          <w:tcPr>
            <w:tcW w:w="1440" w:type="dxa"/>
            <w:tcBorders>
              <w:top w:val="single" w:color="auto" w:sz="4" w:space="0"/>
              <w:left w:val="single" w:color="auto" w:sz="4" w:space="0"/>
              <w:bottom w:val="single" w:color="auto" w:sz="4" w:space="0"/>
              <w:right w:val="single" w:color="auto" w:sz="4" w:space="0"/>
            </w:tcBorders>
            <w:shd w:val="clear" w:color="000000" w:fill="FFFFFF"/>
            <w:noWrap/>
            <w:vAlign w:val="top"/>
          </w:tcPr>
          <w:p>
            <w:pPr>
              <w:jc w:val="center"/>
              <w:rPr>
                <w:rFonts w:hint="default" w:ascii="宋体" w:hAnsi="宋体" w:eastAsia="宋体" w:cs="宋体"/>
                <w:kern w:val="0"/>
                <w:sz w:val="20"/>
                <w:szCs w:val="20"/>
                <w:lang w:val="en-US" w:eastAsia="zh-CN"/>
              </w:rPr>
            </w:pPr>
            <w:r>
              <w:rPr>
                <w:rFonts w:hint="eastAsia" w:ascii="宋体" w:hAnsi="宋体" w:cs="宋体"/>
                <w:color w:val="000000"/>
                <w:kern w:val="0"/>
                <w:sz w:val="20"/>
                <w:szCs w:val="20"/>
              </w:rPr>
              <w:t>2019/</w:t>
            </w:r>
            <w:r>
              <w:rPr>
                <w:rFonts w:hint="eastAsia" w:ascii="宋体" w:hAnsi="宋体" w:cs="宋体"/>
                <w:color w:val="000000"/>
                <w:kern w:val="0"/>
                <w:sz w:val="20"/>
                <w:szCs w:val="20"/>
                <w:lang w:val="en-US" w:eastAsia="zh-CN"/>
              </w:rPr>
              <w:t>12</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13</w:t>
            </w:r>
          </w:p>
        </w:tc>
        <w:tc>
          <w:tcPr>
            <w:tcW w:w="218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rPr>
            </w:pPr>
            <w:r>
              <w:rPr>
                <w:rFonts w:hint="eastAsia" w:ascii="宋体" w:hAnsi="宋体" w:cs="宋体"/>
                <w:kern w:val="0"/>
              </w:rPr>
              <w:t>主流</w:t>
            </w:r>
          </w:p>
        </w:tc>
        <w:tc>
          <w:tcPr>
            <w:tcW w:w="1003"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出厂价</w:t>
            </w:r>
          </w:p>
        </w:tc>
        <w:tc>
          <w:tcPr>
            <w:tcW w:w="1629"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2500</w:t>
            </w:r>
          </w:p>
        </w:tc>
        <w:tc>
          <w:tcPr>
            <w:tcW w:w="1629"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31</w:t>
            </w:r>
            <w:r>
              <w:rPr>
                <w:rFonts w:hint="eastAsia" w:ascii="宋体" w:hAnsi="宋体" w:cs="宋体"/>
                <w:kern w:val="0"/>
                <w:sz w:val="18"/>
                <w:szCs w:val="18"/>
                <w:lang w:val="en-US" w:eastAsia="zh-CN"/>
              </w:rPr>
              <w:t>0</w:t>
            </w:r>
            <w:r>
              <w:rPr>
                <w:rFonts w:hint="eastAsia" w:ascii="宋体" w:hAnsi="宋体" w:cs="宋体"/>
                <w:kern w:val="0"/>
                <w:sz w:val="18"/>
                <w:szCs w:val="18"/>
              </w:rPr>
              <w:t>0</w:t>
            </w:r>
          </w:p>
        </w:tc>
      </w:tr>
      <w:tr>
        <w:tblPrEx>
          <w:tblCellMar>
            <w:top w:w="0" w:type="dxa"/>
            <w:left w:w="108" w:type="dxa"/>
            <w:bottom w:w="0" w:type="dxa"/>
            <w:right w:w="108" w:type="dxa"/>
          </w:tblCellMar>
        </w:tblPrEx>
        <w:trPr>
          <w:trHeight w:val="375" w:hRule="atLeast"/>
        </w:trPr>
        <w:tc>
          <w:tcPr>
            <w:tcW w:w="1440" w:type="dxa"/>
            <w:tcBorders>
              <w:top w:val="nil"/>
              <w:left w:val="single" w:color="auto" w:sz="4" w:space="0"/>
              <w:bottom w:val="single" w:color="auto" w:sz="4" w:space="0"/>
              <w:right w:val="single" w:color="auto" w:sz="4" w:space="0"/>
            </w:tcBorders>
            <w:shd w:val="clear" w:color="000000" w:fill="FFFFFF"/>
            <w:noWrap/>
            <w:vAlign w:val="top"/>
          </w:tcPr>
          <w:p>
            <w:pPr>
              <w:jc w:val="center"/>
              <w:rPr>
                <w:rFonts w:hint="default" w:ascii="宋体" w:hAnsi="宋体" w:eastAsia="宋体" w:cs="宋体"/>
                <w:kern w:val="0"/>
                <w:sz w:val="20"/>
                <w:szCs w:val="20"/>
                <w:lang w:val="en-US" w:eastAsia="zh-CN"/>
              </w:rPr>
            </w:pPr>
            <w:r>
              <w:rPr>
                <w:rFonts w:hint="eastAsia" w:ascii="宋体" w:hAnsi="宋体" w:cs="宋体"/>
                <w:color w:val="000000"/>
                <w:kern w:val="0"/>
                <w:sz w:val="20"/>
                <w:szCs w:val="20"/>
              </w:rPr>
              <w:t>2019/</w:t>
            </w:r>
            <w:r>
              <w:rPr>
                <w:rFonts w:hint="eastAsia" w:ascii="宋体" w:hAnsi="宋体" w:cs="宋体"/>
                <w:color w:val="000000"/>
                <w:kern w:val="0"/>
                <w:sz w:val="20"/>
                <w:szCs w:val="20"/>
                <w:lang w:val="en-US" w:eastAsia="zh-CN"/>
              </w:rPr>
              <w:t>12</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13</w:t>
            </w:r>
          </w:p>
        </w:tc>
        <w:tc>
          <w:tcPr>
            <w:tcW w:w="2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rPr>
            </w:pPr>
            <w:r>
              <w:rPr>
                <w:rFonts w:hint="eastAsia" w:ascii="宋体" w:hAnsi="宋体" w:cs="宋体"/>
                <w:kern w:val="0"/>
              </w:rPr>
              <w:t>主流</w:t>
            </w:r>
          </w:p>
        </w:tc>
        <w:tc>
          <w:tcPr>
            <w:tcW w:w="100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出厂价</w:t>
            </w:r>
          </w:p>
        </w:tc>
        <w:tc>
          <w:tcPr>
            <w:tcW w:w="1629" w:type="dxa"/>
            <w:tcBorders>
              <w:top w:val="nil"/>
              <w:left w:val="nil"/>
              <w:bottom w:val="single" w:color="auto" w:sz="4" w:space="0"/>
              <w:right w:val="single" w:color="auto" w:sz="4" w:space="0"/>
            </w:tcBorders>
            <w:shd w:val="clear" w:color="000000" w:fill="FFFFFF"/>
            <w:noWrap/>
            <w:vAlign w:val="center"/>
          </w:tcPr>
          <w:p>
            <w:pPr>
              <w:widowControl/>
              <w:tabs>
                <w:tab w:val="center" w:pos="766"/>
                <w:tab w:val="right" w:pos="1413"/>
              </w:tabs>
              <w:ind w:firstLine="540" w:firstLineChars="300"/>
              <w:jc w:val="left"/>
              <w:rPr>
                <w:rFonts w:hint="default" w:ascii="宋体" w:hAnsi="宋体" w:eastAsia="宋体" w:cs="宋体"/>
                <w:kern w:val="0"/>
                <w:sz w:val="18"/>
                <w:szCs w:val="18"/>
                <w:lang w:val="en-US" w:eastAsia="zh-CN"/>
              </w:rPr>
            </w:pPr>
            <w:r>
              <w:rPr>
                <w:rFonts w:hint="eastAsia" w:ascii="宋体" w:hAnsi="宋体" w:cs="宋体"/>
                <w:kern w:val="0"/>
                <w:sz w:val="18"/>
                <w:szCs w:val="18"/>
              </w:rPr>
              <w:t>2</w:t>
            </w:r>
            <w:r>
              <w:rPr>
                <w:rFonts w:hint="eastAsia" w:ascii="宋体" w:hAnsi="宋体" w:cs="宋体"/>
                <w:kern w:val="0"/>
                <w:sz w:val="18"/>
                <w:szCs w:val="18"/>
                <w:lang w:val="en-US" w:eastAsia="zh-CN"/>
              </w:rPr>
              <w:t>650</w:t>
            </w:r>
          </w:p>
        </w:tc>
        <w:tc>
          <w:tcPr>
            <w:tcW w:w="162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rPr>
              <w:t>3</w:t>
            </w:r>
            <w:r>
              <w:rPr>
                <w:rFonts w:hint="eastAsia" w:ascii="宋体" w:hAnsi="宋体" w:cs="宋体"/>
                <w:kern w:val="0"/>
                <w:sz w:val="18"/>
                <w:szCs w:val="18"/>
                <w:lang w:val="en-US" w:eastAsia="zh-CN"/>
              </w:rPr>
              <w:t>500</w:t>
            </w:r>
          </w:p>
        </w:tc>
      </w:tr>
      <w:tr>
        <w:tblPrEx>
          <w:tblCellMar>
            <w:top w:w="0" w:type="dxa"/>
            <w:left w:w="108" w:type="dxa"/>
            <w:bottom w:w="0" w:type="dxa"/>
            <w:right w:w="108" w:type="dxa"/>
          </w:tblCellMar>
        </w:tblPrEx>
        <w:trPr>
          <w:trHeight w:val="375" w:hRule="atLeast"/>
        </w:trPr>
        <w:tc>
          <w:tcPr>
            <w:tcW w:w="1440" w:type="dxa"/>
            <w:tcBorders>
              <w:top w:val="nil"/>
              <w:left w:val="single" w:color="auto" w:sz="4" w:space="0"/>
              <w:bottom w:val="single" w:color="auto" w:sz="4" w:space="0"/>
              <w:right w:val="single" w:color="auto" w:sz="4" w:space="0"/>
            </w:tcBorders>
            <w:shd w:val="clear" w:color="000000" w:fill="FFFFFF"/>
            <w:noWrap/>
            <w:vAlign w:val="top"/>
          </w:tcPr>
          <w:p>
            <w:pPr>
              <w:jc w:val="center"/>
              <w:rPr>
                <w:rFonts w:hint="default" w:ascii="宋体" w:hAnsi="宋体" w:eastAsia="宋体" w:cs="宋体"/>
                <w:kern w:val="0"/>
                <w:sz w:val="20"/>
                <w:szCs w:val="20"/>
                <w:lang w:val="en-US" w:eastAsia="zh-CN"/>
              </w:rPr>
            </w:pPr>
            <w:r>
              <w:rPr>
                <w:rFonts w:hint="eastAsia" w:ascii="宋体" w:hAnsi="宋体" w:cs="宋体"/>
                <w:color w:val="000000"/>
                <w:kern w:val="0"/>
                <w:sz w:val="20"/>
                <w:szCs w:val="20"/>
              </w:rPr>
              <w:t>2019/</w:t>
            </w:r>
            <w:r>
              <w:rPr>
                <w:rFonts w:hint="eastAsia" w:ascii="宋体" w:hAnsi="宋体" w:cs="宋体"/>
                <w:color w:val="000000"/>
                <w:kern w:val="0"/>
                <w:sz w:val="20"/>
                <w:szCs w:val="20"/>
                <w:lang w:val="en-US" w:eastAsia="zh-CN"/>
              </w:rPr>
              <w:t>12</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13</w:t>
            </w:r>
          </w:p>
        </w:tc>
        <w:tc>
          <w:tcPr>
            <w:tcW w:w="2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淄博环拓</w:t>
            </w:r>
          </w:p>
        </w:tc>
        <w:tc>
          <w:tcPr>
            <w:tcW w:w="100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出厂价</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rPr>
              <w:t>3</w:t>
            </w:r>
            <w:r>
              <w:rPr>
                <w:rFonts w:hint="eastAsia" w:ascii="宋体" w:hAnsi="宋体" w:cs="宋体"/>
                <w:kern w:val="0"/>
                <w:sz w:val="18"/>
                <w:szCs w:val="18"/>
                <w:lang w:val="en-US" w:eastAsia="zh-CN"/>
              </w:rPr>
              <w:t>000</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rPr>
              <w:t>3</w:t>
            </w:r>
            <w:r>
              <w:rPr>
                <w:rFonts w:hint="eastAsia" w:ascii="宋体" w:hAnsi="宋体" w:cs="宋体"/>
                <w:kern w:val="0"/>
                <w:sz w:val="18"/>
                <w:szCs w:val="18"/>
                <w:lang w:val="en-US" w:eastAsia="zh-CN"/>
              </w:rPr>
              <w:t>000</w:t>
            </w:r>
          </w:p>
        </w:tc>
      </w:tr>
      <w:tr>
        <w:tblPrEx>
          <w:tblCellMar>
            <w:top w:w="0" w:type="dxa"/>
            <w:left w:w="108" w:type="dxa"/>
            <w:bottom w:w="0" w:type="dxa"/>
            <w:right w:w="108" w:type="dxa"/>
          </w:tblCellMar>
        </w:tblPrEx>
        <w:trPr>
          <w:trHeight w:val="375" w:hRule="atLeast"/>
        </w:trPr>
        <w:tc>
          <w:tcPr>
            <w:tcW w:w="1440" w:type="dxa"/>
            <w:tcBorders>
              <w:top w:val="nil"/>
              <w:left w:val="single" w:color="auto" w:sz="4" w:space="0"/>
              <w:bottom w:val="single" w:color="auto" w:sz="4" w:space="0"/>
              <w:right w:val="single" w:color="auto" w:sz="4" w:space="0"/>
            </w:tcBorders>
            <w:shd w:val="clear" w:color="000000" w:fill="FFFFFF"/>
            <w:noWrap/>
            <w:vAlign w:val="top"/>
          </w:tcPr>
          <w:p>
            <w:pPr>
              <w:jc w:val="center"/>
              <w:rPr>
                <w:rFonts w:hint="default" w:ascii="宋体" w:hAnsi="宋体" w:eastAsia="宋体" w:cs="宋体"/>
                <w:kern w:val="0"/>
                <w:sz w:val="20"/>
                <w:szCs w:val="20"/>
                <w:lang w:val="en-US" w:eastAsia="zh-CN"/>
              </w:rPr>
            </w:pPr>
            <w:r>
              <w:rPr>
                <w:rFonts w:hint="eastAsia" w:ascii="宋体" w:hAnsi="宋体" w:cs="宋体"/>
                <w:color w:val="000000"/>
                <w:kern w:val="0"/>
                <w:sz w:val="20"/>
                <w:szCs w:val="20"/>
              </w:rPr>
              <w:t>2019/</w:t>
            </w:r>
            <w:r>
              <w:rPr>
                <w:rFonts w:hint="eastAsia" w:ascii="宋体" w:hAnsi="宋体" w:cs="宋体"/>
                <w:color w:val="000000"/>
                <w:kern w:val="0"/>
                <w:sz w:val="20"/>
                <w:szCs w:val="20"/>
                <w:lang w:val="en-US" w:eastAsia="zh-CN"/>
              </w:rPr>
              <w:t>12</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13</w:t>
            </w:r>
          </w:p>
        </w:tc>
        <w:tc>
          <w:tcPr>
            <w:tcW w:w="2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山东永嘉</w:t>
            </w:r>
          </w:p>
        </w:tc>
        <w:tc>
          <w:tcPr>
            <w:tcW w:w="100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出厂价</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r>
      <w:tr>
        <w:tblPrEx>
          <w:tblCellMar>
            <w:top w:w="0" w:type="dxa"/>
            <w:left w:w="108" w:type="dxa"/>
            <w:bottom w:w="0" w:type="dxa"/>
            <w:right w:w="108" w:type="dxa"/>
          </w:tblCellMar>
        </w:tblPrEx>
        <w:trPr>
          <w:trHeight w:val="375" w:hRule="atLeast"/>
        </w:trPr>
        <w:tc>
          <w:tcPr>
            <w:tcW w:w="1440" w:type="dxa"/>
            <w:tcBorders>
              <w:top w:val="nil"/>
              <w:left w:val="single" w:color="auto" w:sz="4" w:space="0"/>
              <w:bottom w:val="single" w:color="auto" w:sz="4" w:space="0"/>
              <w:right w:val="single" w:color="auto" w:sz="4" w:space="0"/>
            </w:tcBorders>
            <w:shd w:val="clear" w:color="000000" w:fill="FFFFFF"/>
            <w:noWrap/>
            <w:vAlign w:val="top"/>
          </w:tcPr>
          <w:p>
            <w:pPr>
              <w:jc w:val="center"/>
              <w:rPr>
                <w:rFonts w:hint="default" w:ascii="宋体" w:hAnsi="宋体" w:eastAsia="宋体" w:cs="宋体"/>
                <w:kern w:val="0"/>
                <w:sz w:val="20"/>
                <w:szCs w:val="20"/>
                <w:lang w:val="en-US" w:eastAsia="zh-CN"/>
              </w:rPr>
            </w:pPr>
            <w:r>
              <w:rPr>
                <w:rFonts w:hint="eastAsia" w:ascii="宋体" w:hAnsi="宋体" w:cs="宋体"/>
                <w:color w:val="000000"/>
                <w:kern w:val="0"/>
                <w:sz w:val="20"/>
                <w:szCs w:val="20"/>
              </w:rPr>
              <w:t>2019/</w:t>
            </w:r>
            <w:r>
              <w:rPr>
                <w:rFonts w:hint="eastAsia" w:ascii="宋体" w:hAnsi="宋体" w:cs="宋体"/>
                <w:color w:val="000000"/>
                <w:kern w:val="0"/>
                <w:sz w:val="20"/>
                <w:szCs w:val="20"/>
                <w:lang w:val="en-US" w:eastAsia="zh-CN"/>
              </w:rPr>
              <w:t>12</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13</w:t>
            </w:r>
          </w:p>
        </w:tc>
        <w:tc>
          <w:tcPr>
            <w:tcW w:w="2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淄博青临鸿金</w:t>
            </w:r>
          </w:p>
        </w:tc>
        <w:tc>
          <w:tcPr>
            <w:tcW w:w="100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出厂价</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r>
      <w:tr>
        <w:tblPrEx>
          <w:tblCellMar>
            <w:top w:w="0" w:type="dxa"/>
            <w:left w:w="108" w:type="dxa"/>
            <w:bottom w:w="0" w:type="dxa"/>
            <w:right w:w="108" w:type="dxa"/>
          </w:tblCellMar>
        </w:tblPrEx>
        <w:trPr>
          <w:trHeight w:val="375" w:hRule="atLeast"/>
        </w:trPr>
        <w:tc>
          <w:tcPr>
            <w:tcW w:w="1440" w:type="dxa"/>
            <w:tcBorders>
              <w:top w:val="nil"/>
              <w:left w:val="single" w:color="auto" w:sz="4" w:space="0"/>
              <w:bottom w:val="single" w:color="auto" w:sz="4" w:space="0"/>
              <w:right w:val="single" w:color="auto" w:sz="4" w:space="0"/>
            </w:tcBorders>
            <w:shd w:val="clear" w:color="000000" w:fill="FFFFFF"/>
            <w:noWrap/>
            <w:vAlign w:val="top"/>
          </w:tcPr>
          <w:p>
            <w:pPr>
              <w:jc w:val="center"/>
              <w:rPr>
                <w:rFonts w:hint="default" w:ascii="宋体" w:hAnsi="宋体" w:eastAsia="宋体" w:cs="宋体"/>
                <w:kern w:val="0"/>
                <w:sz w:val="20"/>
                <w:szCs w:val="20"/>
                <w:lang w:val="en-US" w:eastAsia="zh-CN"/>
              </w:rPr>
            </w:pPr>
            <w:r>
              <w:rPr>
                <w:rFonts w:hint="eastAsia" w:ascii="宋体" w:hAnsi="宋体" w:cs="宋体"/>
                <w:color w:val="000000"/>
                <w:kern w:val="0"/>
                <w:sz w:val="20"/>
                <w:szCs w:val="20"/>
              </w:rPr>
              <w:t>2019/</w:t>
            </w:r>
            <w:r>
              <w:rPr>
                <w:rFonts w:hint="eastAsia" w:ascii="宋体" w:hAnsi="宋体" w:cs="宋体"/>
                <w:color w:val="000000"/>
                <w:kern w:val="0"/>
                <w:sz w:val="20"/>
                <w:szCs w:val="20"/>
                <w:lang w:val="en-US" w:eastAsia="zh-CN"/>
              </w:rPr>
              <w:t>12</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13</w:t>
            </w:r>
          </w:p>
        </w:tc>
        <w:tc>
          <w:tcPr>
            <w:tcW w:w="2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山东苗栗</w:t>
            </w:r>
          </w:p>
        </w:tc>
        <w:tc>
          <w:tcPr>
            <w:tcW w:w="100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出厂价</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rPr>
              <w:t>3</w:t>
            </w:r>
            <w:r>
              <w:rPr>
                <w:rFonts w:hint="eastAsia" w:ascii="宋体" w:hAnsi="宋体" w:cs="宋体"/>
                <w:kern w:val="0"/>
                <w:sz w:val="18"/>
                <w:szCs w:val="18"/>
                <w:lang w:val="en-US" w:eastAsia="zh-CN"/>
              </w:rPr>
              <w:t>100</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rPr>
              <w:t>3</w:t>
            </w:r>
            <w:r>
              <w:rPr>
                <w:rFonts w:hint="eastAsia" w:ascii="宋体" w:hAnsi="宋体" w:cs="宋体"/>
                <w:kern w:val="0"/>
                <w:sz w:val="18"/>
                <w:szCs w:val="18"/>
                <w:lang w:val="en-US" w:eastAsia="zh-CN"/>
              </w:rPr>
              <w:t>100</w:t>
            </w:r>
          </w:p>
        </w:tc>
      </w:tr>
      <w:tr>
        <w:tblPrEx>
          <w:tblCellMar>
            <w:top w:w="0" w:type="dxa"/>
            <w:left w:w="108" w:type="dxa"/>
            <w:bottom w:w="0" w:type="dxa"/>
            <w:right w:w="108" w:type="dxa"/>
          </w:tblCellMar>
        </w:tblPrEx>
        <w:trPr>
          <w:trHeight w:val="375" w:hRule="atLeast"/>
        </w:trPr>
        <w:tc>
          <w:tcPr>
            <w:tcW w:w="1440" w:type="dxa"/>
            <w:tcBorders>
              <w:top w:val="nil"/>
              <w:left w:val="single" w:color="auto" w:sz="4" w:space="0"/>
              <w:bottom w:val="single" w:color="auto" w:sz="4" w:space="0"/>
              <w:right w:val="single" w:color="auto" w:sz="4" w:space="0"/>
            </w:tcBorders>
            <w:shd w:val="clear" w:color="000000" w:fill="FFFFFF"/>
            <w:noWrap/>
            <w:vAlign w:val="top"/>
          </w:tcPr>
          <w:p>
            <w:pPr>
              <w:jc w:val="center"/>
              <w:rPr>
                <w:rFonts w:hint="default" w:ascii="宋体" w:hAnsi="宋体" w:eastAsia="宋体" w:cs="宋体"/>
                <w:kern w:val="0"/>
                <w:sz w:val="20"/>
                <w:szCs w:val="20"/>
                <w:lang w:val="en-US" w:eastAsia="zh-CN"/>
              </w:rPr>
            </w:pPr>
            <w:r>
              <w:rPr>
                <w:rFonts w:hint="eastAsia" w:ascii="宋体" w:hAnsi="宋体" w:cs="宋体"/>
                <w:color w:val="000000"/>
                <w:kern w:val="0"/>
                <w:sz w:val="20"/>
                <w:szCs w:val="20"/>
              </w:rPr>
              <w:t>2019/</w:t>
            </w:r>
            <w:r>
              <w:rPr>
                <w:rFonts w:hint="eastAsia" w:ascii="宋体" w:hAnsi="宋体" w:cs="宋体"/>
                <w:color w:val="000000"/>
                <w:kern w:val="0"/>
                <w:sz w:val="20"/>
                <w:szCs w:val="20"/>
                <w:lang w:val="en-US" w:eastAsia="zh-CN"/>
              </w:rPr>
              <w:t>12</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13</w:t>
            </w:r>
          </w:p>
        </w:tc>
        <w:tc>
          <w:tcPr>
            <w:tcW w:w="2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淄博鲁威</w:t>
            </w:r>
          </w:p>
        </w:tc>
        <w:tc>
          <w:tcPr>
            <w:tcW w:w="100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出厂价</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2700</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2700</w:t>
            </w:r>
          </w:p>
        </w:tc>
      </w:tr>
      <w:tr>
        <w:tblPrEx>
          <w:tblCellMar>
            <w:top w:w="0" w:type="dxa"/>
            <w:left w:w="108" w:type="dxa"/>
            <w:bottom w:w="0" w:type="dxa"/>
            <w:right w:w="108" w:type="dxa"/>
          </w:tblCellMar>
        </w:tblPrEx>
        <w:trPr>
          <w:trHeight w:val="375" w:hRule="atLeast"/>
        </w:trPr>
        <w:tc>
          <w:tcPr>
            <w:tcW w:w="1440" w:type="dxa"/>
            <w:tcBorders>
              <w:top w:val="nil"/>
              <w:left w:val="single" w:color="auto" w:sz="4" w:space="0"/>
              <w:bottom w:val="single" w:color="auto" w:sz="4" w:space="0"/>
              <w:right w:val="single" w:color="auto" w:sz="4" w:space="0"/>
            </w:tcBorders>
            <w:shd w:val="clear" w:color="000000" w:fill="FFFFFF"/>
            <w:noWrap/>
            <w:vAlign w:val="top"/>
          </w:tcPr>
          <w:p>
            <w:pPr>
              <w:jc w:val="center"/>
              <w:rPr>
                <w:rFonts w:hint="default" w:ascii="宋体" w:hAnsi="宋体" w:eastAsia="宋体" w:cs="宋体"/>
                <w:kern w:val="0"/>
                <w:sz w:val="20"/>
                <w:szCs w:val="20"/>
                <w:lang w:val="en-US" w:eastAsia="zh-CN"/>
              </w:rPr>
            </w:pPr>
            <w:r>
              <w:rPr>
                <w:rFonts w:hint="eastAsia" w:ascii="宋体" w:hAnsi="宋体" w:cs="宋体"/>
                <w:color w:val="000000"/>
                <w:kern w:val="0"/>
                <w:sz w:val="20"/>
                <w:szCs w:val="20"/>
              </w:rPr>
              <w:t>2019/</w:t>
            </w:r>
            <w:r>
              <w:rPr>
                <w:rFonts w:hint="eastAsia" w:ascii="宋体" w:hAnsi="宋体" w:cs="宋体"/>
                <w:color w:val="000000"/>
                <w:kern w:val="0"/>
                <w:sz w:val="20"/>
                <w:szCs w:val="20"/>
                <w:lang w:val="en-US" w:eastAsia="zh-CN"/>
              </w:rPr>
              <w:t>12</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13</w:t>
            </w:r>
          </w:p>
        </w:tc>
        <w:tc>
          <w:tcPr>
            <w:tcW w:w="2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实得工贸</w:t>
            </w:r>
          </w:p>
        </w:tc>
        <w:tc>
          <w:tcPr>
            <w:tcW w:w="100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出厂价</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r>
      <w:tr>
        <w:tblPrEx>
          <w:tblCellMar>
            <w:top w:w="0" w:type="dxa"/>
            <w:left w:w="108" w:type="dxa"/>
            <w:bottom w:w="0" w:type="dxa"/>
            <w:right w:w="108" w:type="dxa"/>
          </w:tblCellMar>
        </w:tblPrEx>
        <w:trPr>
          <w:trHeight w:val="375" w:hRule="atLeast"/>
        </w:trPr>
        <w:tc>
          <w:tcPr>
            <w:tcW w:w="1440" w:type="dxa"/>
            <w:tcBorders>
              <w:top w:val="nil"/>
              <w:left w:val="single" w:color="auto" w:sz="4" w:space="0"/>
              <w:bottom w:val="single" w:color="auto" w:sz="4" w:space="0"/>
              <w:right w:val="single" w:color="auto" w:sz="4" w:space="0"/>
            </w:tcBorders>
            <w:shd w:val="clear" w:color="000000" w:fill="FFFFFF"/>
            <w:noWrap/>
            <w:vAlign w:val="top"/>
          </w:tcPr>
          <w:p>
            <w:pPr>
              <w:jc w:val="center"/>
              <w:rPr>
                <w:rFonts w:hint="default" w:ascii="宋体" w:hAnsi="宋体" w:eastAsia="宋体" w:cs="宋体"/>
                <w:kern w:val="0"/>
                <w:sz w:val="20"/>
                <w:szCs w:val="20"/>
                <w:lang w:val="en-US" w:eastAsia="zh-CN"/>
              </w:rPr>
            </w:pPr>
            <w:r>
              <w:rPr>
                <w:rFonts w:hint="eastAsia" w:ascii="宋体" w:hAnsi="宋体" w:cs="宋体"/>
                <w:color w:val="000000"/>
                <w:kern w:val="0"/>
                <w:sz w:val="20"/>
                <w:szCs w:val="20"/>
              </w:rPr>
              <w:t>2019/</w:t>
            </w:r>
            <w:r>
              <w:rPr>
                <w:rFonts w:hint="eastAsia" w:ascii="宋体" w:hAnsi="宋体" w:cs="宋体"/>
                <w:color w:val="000000"/>
                <w:kern w:val="0"/>
                <w:sz w:val="20"/>
                <w:szCs w:val="20"/>
                <w:lang w:val="en-US" w:eastAsia="zh-CN"/>
              </w:rPr>
              <w:t>12</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13</w:t>
            </w:r>
          </w:p>
        </w:tc>
        <w:tc>
          <w:tcPr>
            <w:tcW w:w="2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淄博丰通</w:t>
            </w:r>
          </w:p>
        </w:tc>
        <w:tc>
          <w:tcPr>
            <w:tcW w:w="100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出厂价</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r>
      <w:tr>
        <w:tblPrEx>
          <w:tblCellMar>
            <w:top w:w="0" w:type="dxa"/>
            <w:left w:w="108" w:type="dxa"/>
            <w:bottom w:w="0" w:type="dxa"/>
            <w:right w:w="108" w:type="dxa"/>
          </w:tblCellMar>
        </w:tblPrEx>
        <w:trPr>
          <w:trHeight w:val="375" w:hRule="atLeast"/>
        </w:trPr>
        <w:tc>
          <w:tcPr>
            <w:tcW w:w="1440" w:type="dxa"/>
            <w:tcBorders>
              <w:top w:val="nil"/>
              <w:left w:val="single" w:color="auto" w:sz="4" w:space="0"/>
              <w:bottom w:val="single" w:color="auto" w:sz="4" w:space="0"/>
              <w:right w:val="single" w:color="auto" w:sz="4" w:space="0"/>
            </w:tcBorders>
            <w:shd w:val="clear" w:color="000000" w:fill="FFFFFF"/>
            <w:noWrap/>
            <w:vAlign w:val="top"/>
          </w:tcPr>
          <w:p>
            <w:pPr>
              <w:jc w:val="center"/>
              <w:rPr>
                <w:rFonts w:hint="default" w:ascii="宋体" w:hAnsi="宋体" w:eastAsia="宋体" w:cs="宋体"/>
                <w:kern w:val="0"/>
                <w:sz w:val="20"/>
                <w:szCs w:val="20"/>
                <w:lang w:val="en-US" w:eastAsia="zh-CN"/>
              </w:rPr>
            </w:pPr>
            <w:r>
              <w:rPr>
                <w:rFonts w:hint="eastAsia" w:ascii="宋体" w:hAnsi="宋体" w:cs="宋体"/>
                <w:color w:val="000000"/>
                <w:kern w:val="0"/>
                <w:sz w:val="20"/>
                <w:szCs w:val="20"/>
              </w:rPr>
              <w:t>2019/</w:t>
            </w:r>
            <w:r>
              <w:rPr>
                <w:rFonts w:hint="eastAsia" w:ascii="宋体" w:hAnsi="宋体" w:cs="宋体"/>
                <w:color w:val="000000"/>
                <w:kern w:val="0"/>
                <w:sz w:val="20"/>
                <w:szCs w:val="20"/>
                <w:lang w:val="en-US" w:eastAsia="zh-CN"/>
              </w:rPr>
              <w:t>12</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13</w:t>
            </w:r>
          </w:p>
        </w:tc>
        <w:tc>
          <w:tcPr>
            <w:tcW w:w="2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天津红三环</w:t>
            </w:r>
          </w:p>
        </w:tc>
        <w:tc>
          <w:tcPr>
            <w:tcW w:w="100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出厂价</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3000</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3000</w:t>
            </w:r>
          </w:p>
        </w:tc>
      </w:tr>
      <w:tr>
        <w:tblPrEx>
          <w:tblCellMar>
            <w:top w:w="0" w:type="dxa"/>
            <w:left w:w="108" w:type="dxa"/>
            <w:bottom w:w="0" w:type="dxa"/>
            <w:right w:w="108" w:type="dxa"/>
          </w:tblCellMar>
        </w:tblPrEx>
        <w:trPr>
          <w:trHeight w:val="375" w:hRule="atLeast"/>
        </w:trPr>
        <w:tc>
          <w:tcPr>
            <w:tcW w:w="1440" w:type="dxa"/>
            <w:tcBorders>
              <w:top w:val="nil"/>
              <w:left w:val="single" w:color="auto" w:sz="4" w:space="0"/>
              <w:bottom w:val="single" w:color="auto" w:sz="4" w:space="0"/>
              <w:right w:val="single" w:color="auto" w:sz="4" w:space="0"/>
            </w:tcBorders>
            <w:shd w:val="clear" w:color="000000" w:fill="FFFFFF"/>
            <w:noWrap/>
            <w:vAlign w:val="top"/>
          </w:tcPr>
          <w:p>
            <w:pPr>
              <w:jc w:val="center"/>
              <w:rPr>
                <w:rFonts w:hint="default" w:ascii="宋体" w:hAnsi="宋体" w:eastAsia="宋体" w:cs="宋体"/>
                <w:kern w:val="0"/>
                <w:sz w:val="20"/>
                <w:szCs w:val="20"/>
                <w:lang w:val="en-US" w:eastAsia="zh-CN"/>
              </w:rPr>
            </w:pPr>
            <w:r>
              <w:rPr>
                <w:rFonts w:hint="eastAsia" w:ascii="宋体" w:hAnsi="宋体" w:cs="宋体"/>
                <w:color w:val="000000"/>
                <w:kern w:val="0"/>
                <w:sz w:val="20"/>
                <w:szCs w:val="20"/>
              </w:rPr>
              <w:t>2019/</w:t>
            </w:r>
            <w:r>
              <w:rPr>
                <w:rFonts w:hint="eastAsia" w:ascii="宋体" w:hAnsi="宋体" w:cs="宋体"/>
                <w:color w:val="000000"/>
                <w:kern w:val="0"/>
                <w:sz w:val="20"/>
                <w:szCs w:val="20"/>
                <w:lang w:val="en-US" w:eastAsia="zh-CN"/>
              </w:rPr>
              <w:t>12</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13</w:t>
            </w:r>
          </w:p>
        </w:tc>
        <w:tc>
          <w:tcPr>
            <w:tcW w:w="2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天津兴凯</w:t>
            </w:r>
          </w:p>
        </w:tc>
        <w:tc>
          <w:tcPr>
            <w:tcW w:w="100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出厂价</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r>
      <w:tr>
        <w:tblPrEx>
          <w:tblCellMar>
            <w:top w:w="0" w:type="dxa"/>
            <w:left w:w="108" w:type="dxa"/>
            <w:bottom w:w="0" w:type="dxa"/>
            <w:right w:w="108" w:type="dxa"/>
          </w:tblCellMar>
        </w:tblPrEx>
        <w:trPr>
          <w:trHeight w:val="375" w:hRule="atLeast"/>
        </w:trPr>
        <w:tc>
          <w:tcPr>
            <w:tcW w:w="1440" w:type="dxa"/>
            <w:tcBorders>
              <w:top w:val="nil"/>
              <w:left w:val="single" w:color="auto" w:sz="4" w:space="0"/>
              <w:bottom w:val="single" w:color="auto" w:sz="4" w:space="0"/>
              <w:right w:val="single" w:color="auto" w:sz="4" w:space="0"/>
            </w:tcBorders>
            <w:shd w:val="clear" w:color="000000" w:fill="FFFFFF"/>
            <w:noWrap/>
            <w:vAlign w:val="top"/>
          </w:tcPr>
          <w:p>
            <w:pPr>
              <w:jc w:val="center"/>
              <w:rPr>
                <w:rFonts w:hint="default" w:ascii="宋体" w:hAnsi="宋体" w:eastAsia="宋体" w:cs="宋体"/>
                <w:kern w:val="0"/>
                <w:sz w:val="20"/>
                <w:szCs w:val="20"/>
                <w:lang w:val="en-US" w:eastAsia="zh-CN"/>
              </w:rPr>
            </w:pPr>
            <w:r>
              <w:rPr>
                <w:rFonts w:hint="eastAsia" w:ascii="宋体" w:hAnsi="宋体" w:cs="宋体"/>
                <w:color w:val="000000"/>
                <w:kern w:val="0"/>
                <w:sz w:val="20"/>
                <w:szCs w:val="20"/>
              </w:rPr>
              <w:t>2019/</w:t>
            </w:r>
            <w:r>
              <w:rPr>
                <w:rFonts w:hint="eastAsia" w:ascii="宋体" w:hAnsi="宋体" w:cs="宋体"/>
                <w:color w:val="000000"/>
                <w:kern w:val="0"/>
                <w:sz w:val="20"/>
                <w:szCs w:val="20"/>
                <w:lang w:val="en-US" w:eastAsia="zh-CN"/>
              </w:rPr>
              <w:t>12</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13</w:t>
            </w:r>
          </w:p>
        </w:tc>
        <w:tc>
          <w:tcPr>
            <w:tcW w:w="2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天津云海碳素</w:t>
            </w:r>
          </w:p>
        </w:tc>
        <w:tc>
          <w:tcPr>
            <w:tcW w:w="100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出厂价</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w:t>
            </w:r>
            <w:r>
              <w:rPr>
                <w:rFonts w:hint="eastAsia" w:ascii="宋体" w:hAnsi="宋体" w:cs="宋体"/>
                <w:kern w:val="0"/>
                <w:sz w:val="18"/>
                <w:szCs w:val="18"/>
                <w:lang w:val="en-US" w:eastAsia="zh-CN"/>
              </w:rPr>
              <w:t>5</w:t>
            </w:r>
            <w:r>
              <w:rPr>
                <w:rFonts w:hint="eastAsia" w:ascii="宋体" w:hAnsi="宋体" w:cs="宋体"/>
                <w:kern w:val="0"/>
                <w:sz w:val="18"/>
                <w:szCs w:val="18"/>
              </w:rPr>
              <w:t>00</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w:t>
            </w:r>
            <w:r>
              <w:rPr>
                <w:rFonts w:hint="eastAsia" w:ascii="宋体" w:hAnsi="宋体" w:cs="宋体"/>
                <w:kern w:val="0"/>
                <w:sz w:val="18"/>
                <w:szCs w:val="18"/>
                <w:lang w:val="en-US" w:eastAsia="zh-CN"/>
              </w:rPr>
              <w:t>5</w:t>
            </w:r>
            <w:r>
              <w:rPr>
                <w:rFonts w:hint="eastAsia" w:ascii="宋体" w:hAnsi="宋体" w:cs="宋体"/>
                <w:kern w:val="0"/>
                <w:sz w:val="18"/>
                <w:szCs w:val="18"/>
              </w:rPr>
              <w:t>00</w:t>
            </w:r>
          </w:p>
        </w:tc>
      </w:tr>
      <w:tr>
        <w:tblPrEx>
          <w:tblCellMar>
            <w:top w:w="0" w:type="dxa"/>
            <w:left w:w="108" w:type="dxa"/>
            <w:bottom w:w="0" w:type="dxa"/>
            <w:right w:w="108" w:type="dxa"/>
          </w:tblCellMar>
        </w:tblPrEx>
        <w:trPr>
          <w:trHeight w:val="375" w:hRule="atLeast"/>
        </w:trPr>
        <w:tc>
          <w:tcPr>
            <w:tcW w:w="1440" w:type="dxa"/>
            <w:tcBorders>
              <w:top w:val="nil"/>
              <w:left w:val="single" w:color="auto" w:sz="4" w:space="0"/>
              <w:bottom w:val="single" w:color="auto" w:sz="4" w:space="0"/>
              <w:right w:val="single" w:color="auto" w:sz="4" w:space="0"/>
            </w:tcBorders>
            <w:shd w:val="clear" w:color="000000" w:fill="FFFFFF"/>
            <w:noWrap/>
            <w:vAlign w:val="top"/>
          </w:tcPr>
          <w:p>
            <w:pPr>
              <w:jc w:val="center"/>
              <w:rPr>
                <w:rFonts w:hint="default" w:ascii="宋体" w:hAnsi="宋体" w:eastAsia="宋体" w:cs="宋体"/>
                <w:kern w:val="0"/>
                <w:sz w:val="20"/>
                <w:szCs w:val="20"/>
                <w:lang w:val="en-US" w:eastAsia="zh-CN"/>
              </w:rPr>
            </w:pPr>
            <w:r>
              <w:rPr>
                <w:rFonts w:hint="eastAsia" w:ascii="宋体" w:hAnsi="宋体" w:cs="宋体"/>
                <w:color w:val="000000"/>
                <w:kern w:val="0"/>
                <w:sz w:val="20"/>
                <w:szCs w:val="20"/>
              </w:rPr>
              <w:t>2019/</w:t>
            </w:r>
            <w:r>
              <w:rPr>
                <w:rFonts w:hint="eastAsia" w:ascii="宋体" w:hAnsi="宋体" w:cs="宋体"/>
                <w:color w:val="000000"/>
                <w:kern w:val="0"/>
                <w:sz w:val="20"/>
                <w:szCs w:val="20"/>
                <w:lang w:val="en-US" w:eastAsia="zh-CN"/>
              </w:rPr>
              <w:t>12</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13</w:t>
            </w:r>
          </w:p>
        </w:tc>
        <w:tc>
          <w:tcPr>
            <w:tcW w:w="2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天津丰泰</w:t>
            </w:r>
          </w:p>
        </w:tc>
        <w:tc>
          <w:tcPr>
            <w:tcW w:w="100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出厂价</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r>
      <w:tr>
        <w:tblPrEx>
          <w:tblCellMar>
            <w:top w:w="0" w:type="dxa"/>
            <w:left w:w="108" w:type="dxa"/>
            <w:bottom w:w="0" w:type="dxa"/>
            <w:right w:w="108" w:type="dxa"/>
          </w:tblCellMar>
        </w:tblPrEx>
        <w:trPr>
          <w:trHeight w:val="375" w:hRule="atLeast"/>
        </w:trPr>
        <w:tc>
          <w:tcPr>
            <w:tcW w:w="1440" w:type="dxa"/>
            <w:tcBorders>
              <w:top w:val="nil"/>
              <w:left w:val="single" w:color="auto" w:sz="4" w:space="0"/>
              <w:bottom w:val="single" w:color="auto" w:sz="4" w:space="0"/>
              <w:right w:val="single" w:color="auto" w:sz="4" w:space="0"/>
            </w:tcBorders>
            <w:shd w:val="clear" w:color="000000" w:fill="FFFFFF"/>
            <w:noWrap/>
            <w:vAlign w:val="top"/>
          </w:tcPr>
          <w:p>
            <w:pPr>
              <w:jc w:val="center"/>
              <w:rPr>
                <w:rFonts w:hint="default" w:ascii="宋体" w:hAnsi="宋体" w:eastAsia="宋体" w:cs="宋体"/>
                <w:kern w:val="0"/>
                <w:sz w:val="20"/>
                <w:szCs w:val="20"/>
                <w:lang w:val="en-US" w:eastAsia="zh-CN"/>
              </w:rPr>
            </w:pPr>
            <w:r>
              <w:rPr>
                <w:rFonts w:hint="eastAsia" w:ascii="宋体" w:hAnsi="宋体" w:cs="宋体"/>
                <w:color w:val="000000"/>
                <w:kern w:val="0"/>
                <w:sz w:val="20"/>
                <w:szCs w:val="20"/>
              </w:rPr>
              <w:t>2019/</w:t>
            </w:r>
            <w:r>
              <w:rPr>
                <w:rFonts w:hint="eastAsia" w:ascii="宋体" w:hAnsi="宋体" w:cs="宋体"/>
                <w:color w:val="000000"/>
                <w:kern w:val="0"/>
                <w:sz w:val="20"/>
                <w:szCs w:val="20"/>
                <w:lang w:val="en-US" w:eastAsia="zh-CN"/>
              </w:rPr>
              <w:t>12</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13</w:t>
            </w:r>
          </w:p>
        </w:tc>
        <w:tc>
          <w:tcPr>
            <w:tcW w:w="2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天津鹏坤</w:t>
            </w:r>
          </w:p>
        </w:tc>
        <w:tc>
          <w:tcPr>
            <w:tcW w:w="100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出厂价</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r>
      <w:tr>
        <w:tblPrEx>
          <w:tblCellMar>
            <w:top w:w="0" w:type="dxa"/>
            <w:left w:w="108" w:type="dxa"/>
            <w:bottom w:w="0" w:type="dxa"/>
            <w:right w:w="108" w:type="dxa"/>
          </w:tblCellMar>
        </w:tblPrEx>
        <w:trPr>
          <w:trHeight w:val="375" w:hRule="atLeast"/>
        </w:trPr>
        <w:tc>
          <w:tcPr>
            <w:tcW w:w="1440" w:type="dxa"/>
            <w:tcBorders>
              <w:top w:val="nil"/>
              <w:left w:val="single" w:color="auto" w:sz="4" w:space="0"/>
              <w:bottom w:val="single" w:color="auto" w:sz="4" w:space="0"/>
              <w:right w:val="single" w:color="auto" w:sz="4" w:space="0"/>
            </w:tcBorders>
            <w:shd w:val="clear" w:color="000000" w:fill="FFFFFF"/>
            <w:noWrap/>
            <w:vAlign w:val="top"/>
          </w:tcPr>
          <w:p>
            <w:pPr>
              <w:jc w:val="center"/>
              <w:rPr>
                <w:rFonts w:hint="default" w:ascii="宋体" w:hAnsi="宋体" w:eastAsia="宋体" w:cs="宋体"/>
                <w:kern w:val="0"/>
                <w:sz w:val="20"/>
                <w:szCs w:val="20"/>
                <w:lang w:val="en-US" w:eastAsia="zh-CN"/>
              </w:rPr>
            </w:pPr>
            <w:r>
              <w:rPr>
                <w:rFonts w:hint="eastAsia" w:ascii="宋体" w:hAnsi="宋体" w:cs="宋体"/>
                <w:color w:val="000000"/>
                <w:kern w:val="0"/>
                <w:sz w:val="20"/>
                <w:szCs w:val="20"/>
              </w:rPr>
              <w:t>2019/</w:t>
            </w:r>
            <w:r>
              <w:rPr>
                <w:rFonts w:hint="eastAsia" w:ascii="宋体" w:hAnsi="宋体" w:cs="宋体"/>
                <w:color w:val="000000"/>
                <w:kern w:val="0"/>
                <w:sz w:val="20"/>
                <w:szCs w:val="20"/>
                <w:lang w:val="en-US" w:eastAsia="zh-CN"/>
              </w:rPr>
              <w:t>12</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13</w:t>
            </w:r>
          </w:p>
        </w:tc>
        <w:tc>
          <w:tcPr>
            <w:tcW w:w="2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唐山汇成</w:t>
            </w:r>
          </w:p>
        </w:tc>
        <w:tc>
          <w:tcPr>
            <w:tcW w:w="100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出厂价</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2650</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2650</w:t>
            </w:r>
          </w:p>
        </w:tc>
      </w:tr>
      <w:tr>
        <w:tblPrEx>
          <w:tblCellMar>
            <w:top w:w="0" w:type="dxa"/>
            <w:left w:w="108" w:type="dxa"/>
            <w:bottom w:w="0" w:type="dxa"/>
            <w:right w:w="108" w:type="dxa"/>
          </w:tblCellMar>
        </w:tblPrEx>
        <w:trPr>
          <w:trHeight w:val="375" w:hRule="atLeast"/>
        </w:trPr>
        <w:tc>
          <w:tcPr>
            <w:tcW w:w="1440" w:type="dxa"/>
            <w:tcBorders>
              <w:top w:val="nil"/>
              <w:left w:val="single" w:color="auto" w:sz="4" w:space="0"/>
              <w:bottom w:val="single" w:color="auto" w:sz="4" w:space="0"/>
              <w:right w:val="single" w:color="auto" w:sz="4" w:space="0"/>
            </w:tcBorders>
            <w:shd w:val="clear" w:color="000000" w:fill="FFFFFF"/>
            <w:noWrap/>
            <w:vAlign w:val="top"/>
          </w:tcPr>
          <w:p>
            <w:pPr>
              <w:jc w:val="center"/>
              <w:rPr>
                <w:rFonts w:hint="default" w:ascii="宋体" w:hAnsi="宋体" w:eastAsia="宋体" w:cs="宋体"/>
                <w:kern w:val="0"/>
                <w:sz w:val="20"/>
                <w:szCs w:val="20"/>
                <w:lang w:val="en-US" w:eastAsia="zh-CN"/>
              </w:rPr>
            </w:pPr>
            <w:r>
              <w:rPr>
                <w:rFonts w:hint="eastAsia" w:ascii="宋体" w:hAnsi="宋体" w:cs="宋体"/>
                <w:color w:val="000000"/>
                <w:kern w:val="0"/>
                <w:sz w:val="20"/>
                <w:szCs w:val="20"/>
              </w:rPr>
              <w:t>2019/</w:t>
            </w:r>
            <w:r>
              <w:rPr>
                <w:rFonts w:hint="eastAsia" w:ascii="宋体" w:hAnsi="宋体" w:cs="宋体"/>
                <w:color w:val="000000"/>
                <w:kern w:val="0"/>
                <w:sz w:val="20"/>
                <w:szCs w:val="20"/>
                <w:lang w:val="en-US" w:eastAsia="zh-CN"/>
              </w:rPr>
              <w:t>12</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13</w:t>
            </w:r>
          </w:p>
        </w:tc>
        <w:tc>
          <w:tcPr>
            <w:tcW w:w="2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沧州市荣庆</w:t>
            </w:r>
          </w:p>
        </w:tc>
        <w:tc>
          <w:tcPr>
            <w:tcW w:w="100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出厂价</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2500</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2500</w:t>
            </w:r>
          </w:p>
        </w:tc>
      </w:tr>
      <w:tr>
        <w:tblPrEx>
          <w:tblCellMar>
            <w:top w:w="0" w:type="dxa"/>
            <w:left w:w="108" w:type="dxa"/>
            <w:bottom w:w="0" w:type="dxa"/>
            <w:right w:w="108" w:type="dxa"/>
          </w:tblCellMar>
        </w:tblPrEx>
        <w:trPr>
          <w:trHeight w:val="375" w:hRule="atLeast"/>
        </w:trPr>
        <w:tc>
          <w:tcPr>
            <w:tcW w:w="1440" w:type="dxa"/>
            <w:tcBorders>
              <w:top w:val="nil"/>
              <w:left w:val="single" w:color="auto" w:sz="4" w:space="0"/>
              <w:bottom w:val="single" w:color="auto" w:sz="4" w:space="0"/>
              <w:right w:val="single" w:color="auto" w:sz="4" w:space="0"/>
            </w:tcBorders>
            <w:shd w:val="clear" w:color="000000" w:fill="FFFFFF"/>
            <w:noWrap/>
            <w:vAlign w:val="top"/>
          </w:tcPr>
          <w:p>
            <w:pPr>
              <w:jc w:val="center"/>
              <w:rPr>
                <w:rFonts w:hint="default" w:ascii="宋体" w:hAnsi="宋体" w:eastAsia="宋体" w:cs="宋体"/>
                <w:kern w:val="0"/>
                <w:sz w:val="20"/>
                <w:szCs w:val="20"/>
                <w:lang w:val="en-US" w:eastAsia="zh-CN"/>
              </w:rPr>
            </w:pPr>
            <w:r>
              <w:rPr>
                <w:rFonts w:hint="eastAsia" w:ascii="宋体" w:hAnsi="宋体" w:cs="宋体"/>
                <w:color w:val="000000"/>
                <w:kern w:val="0"/>
                <w:sz w:val="20"/>
                <w:szCs w:val="20"/>
              </w:rPr>
              <w:t>2019/</w:t>
            </w:r>
            <w:r>
              <w:rPr>
                <w:rFonts w:hint="eastAsia" w:ascii="宋体" w:hAnsi="宋体" w:cs="宋体"/>
                <w:color w:val="000000"/>
                <w:kern w:val="0"/>
                <w:sz w:val="20"/>
                <w:szCs w:val="20"/>
                <w:lang w:val="en-US" w:eastAsia="zh-CN"/>
              </w:rPr>
              <w:t>12</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13</w:t>
            </w:r>
          </w:p>
        </w:tc>
        <w:tc>
          <w:tcPr>
            <w:tcW w:w="2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内蒙乌海欣业</w:t>
            </w:r>
          </w:p>
        </w:tc>
        <w:tc>
          <w:tcPr>
            <w:tcW w:w="100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出厂价</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250</w:t>
            </w:r>
            <w:r>
              <w:rPr>
                <w:rFonts w:hint="eastAsia" w:ascii="宋体" w:hAnsi="宋体" w:cs="宋体"/>
                <w:kern w:val="0"/>
                <w:sz w:val="18"/>
                <w:szCs w:val="18"/>
              </w:rPr>
              <w:t>0</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250</w:t>
            </w:r>
            <w:r>
              <w:rPr>
                <w:rFonts w:hint="eastAsia" w:ascii="宋体" w:hAnsi="宋体" w:cs="宋体"/>
                <w:kern w:val="0"/>
                <w:sz w:val="18"/>
                <w:szCs w:val="18"/>
              </w:rPr>
              <w:t>0</w:t>
            </w:r>
          </w:p>
        </w:tc>
      </w:tr>
      <w:tr>
        <w:tblPrEx>
          <w:tblCellMar>
            <w:top w:w="0" w:type="dxa"/>
            <w:left w:w="108" w:type="dxa"/>
            <w:bottom w:w="0" w:type="dxa"/>
            <w:right w:w="108" w:type="dxa"/>
          </w:tblCellMar>
        </w:tblPrEx>
        <w:trPr>
          <w:trHeight w:val="375" w:hRule="atLeast"/>
        </w:trPr>
        <w:tc>
          <w:tcPr>
            <w:tcW w:w="1440" w:type="dxa"/>
            <w:tcBorders>
              <w:top w:val="nil"/>
              <w:left w:val="single" w:color="auto" w:sz="4" w:space="0"/>
              <w:bottom w:val="single" w:color="auto" w:sz="4" w:space="0"/>
              <w:right w:val="single" w:color="auto" w:sz="4" w:space="0"/>
            </w:tcBorders>
            <w:shd w:val="clear" w:color="000000" w:fill="FFFFFF"/>
            <w:noWrap/>
            <w:vAlign w:val="top"/>
          </w:tcPr>
          <w:p>
            <w:pPr>
              <w:jc w:val="center"/>
              <w:rPr>
                <w:rFonts w:hint="default" w:ascii="宋体" w:hAnsi="宋体" w:eastAsia="宋体" w:cs="宋体"/>
                <w:kern w:val="0"/>
                <w:sz w:val="20"/>
                <w:szCs w:val="20"/>
                <w:lang w:val="en-US" w:eastAsia="zh-CN"/>
              </w:rPr>
            </w:pPr>
            <w:r>
              <w:rPr>
                <w:rFonts w:hint="eastAsia" w:ascii="宋体" w:hAnsi="宋体" w:cs="宋体"/>
                <w:color w:val="000000"/>
                <w:kern w:val="0"/>
                <w:sz w:val="20"/>
                <w:szCs w:val="20"/>
              </w:rPr>
              <w:t>2019/</w:t>
            </w:r>
            <w:r>
              <w:rPr>
                <w:rFonts w:hint="eastAsia" w:ascii="宋体" w:hAnsi="宋体" w:cs="宋体"/>
                <w:color w:val="000000"/>
                <w:kern w:val="0"/>
                <w:sz w:val="20"/>
                <w:szCs w:val="20"/>
                <w:lang w:val="en-US" w:eastAsia="zh-CN"/>
              </w:rPr>
              <w:t>12</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13</w:t>
            </w:r>
          </w:p>
        </w:tc>
        <w:tc>
          <w:tcPr>
            <w:tcW w:w="2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内蒙古中盐吉兰泰</w:t>
            </w:r>
          </w:p>
        </w:tc>
        <w:tc>
          <w:tcPr>
            <w:tcW w:w="100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出厂价</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2500</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2500</w:t>
            </w:r>
          </w:p>
        </w:tc>
      </w:tr>
    </w:tbl>
    <w:p>
      <w:pPr>
        <w:rPr>
          <w:rFonts w:hint="eastAsia" w:cs="黑体"/>
        </w:rPr>
      </w:pPr>
      <w:bookmarkStart w:id="280" w:name="_Toc517425041"/>
      <w:bookmarkStart w:id="281" w:name="_Toc511390008"/>
      <w:bookmarkStart w:id="282" w:name="_Toc525912529"/>
      <w:bookmarkStart w:id="283" w:name="_Toc522870763"/>
      <w:bookmarkStart w:id="284" w:name="_Toc527101793"/>
      <w:bookmarkStart w:id="285" w:name="_Toc528930996"/>
      <w:bookmarkStart w:id="286" w:name="_Toc524091684"/>
      <w:bookmarkStart w:id="287" w:name="_Toc518638262"/>
      <w:bookmarkStart w:id="288" w:name="_Toc515610376"/>
      <w:bookmarkStart w:id="289" w:name="_Toc513127193"/>
      <w:bookmarkStart w:id="290" w:name="_Toc522870754"/>
      <w:bookmarkStart w:id="291" w:name="_Toc521660550"/>
      <w:bookmarkStart w:id="292" w:name="_Toc522870772"/>
      <w:bookmarkStart w:id="293" w:name="_Toc519848560"/>
      <w:bookmarkStart w:id="294" w:name="_Toc516839087"/>
      <w:bookmarkStart w:id="295" w:name="_Toc525306477"/>
      <w:bookmarkStart w:id="296" w:name="_Toc529526328"/>
      <w:bookmarkStart w:id="297" w:name="_Toc522259767"/>
      <w:bookmarkStart w:id="298" w:name="_Toc522280057"/>
      <w:bookmarkStart w:id="299" w:name="_Toc536789788"/>
      <w:bookmarkStart w:id="300" w:name="_Toc485981325"/>
      <w:bookmarkStart w:id="301" w:name="_Toc531954275"/>
      <w:bookmarkStart w:id="302" w:name="_Toc252539758"/>
      <w:bookmarkStart w:id="303" w:name="_Toc1035933"/>
      <w:bookmarkStart w:id="304" w:name="_Toc536541140"/>
      <w:bookmarkStart w:id="305" w:name="_Toc530750142"/>
      <w:bookmarkStart w:id="306" w:name="_Toc12609913"/>
      <w:bookmarkStart w:id="307" w:name="_Toc9597669"/>
      <w:bookmarkStart w:id="308" w:name="_Toc528329959"/>
      <w:bookmarkStart w:id="309" w:name="_Toc532564066"/>
      <w:bookmarkStart w:id="310" w:name="_Toc530128352"/>
      <w:bookmarkStart w:id="311" w:name="_Toc532564040"/>
      <w:bookmarkStart w:id="312" w:name="_Toc13217641"/>
      <w:bookmarkStart w:id="313" w:name="_Toc10202318"/>
      <w:bookmarkStart w:id="314" w:name="_Toc528919989"/>
      <w:bookmarkStart w:id="315" w:name="_Toc520465079"/>
      <w:bookmarkStart w:id="316" w:name="_Toc518032002"/>
      <w:bookmarkStart w:id="317" w:name="_Toc516234894"/>
      <w:bookmarkStart w:id="318" w:name="_Toc4596902"/>
      <w:bookmarkStart w:id="319" w:name="_Toc4139109"/>
      <w:bookmarkStart w:id="320" w:name="_Toc521057604"/>
      <w:bookmarkStart w:id="321" w:name="_Toc300238851"/>
      <w:bookmarkStart w:id="322" w:name="_Toc250731929"/>
      <w:bookmarkStart w:id="323" w:name="_Toc392240282"/>
      <w:bookmarkStart w:id="324" w:name="_Toc233795930"/>
      <w:bookmarkStart w:id="325" w:name="_Toc522870748"/>
      <w:bookmarkStart w:id="326" w:name="_Toc295403452"/>
      <w:bookmarkStart w:id="327" w:name="_Toc516234900"/>
      <w:bookmarkStart w:id="328" w:name="_Toc527705003"/>
      <w:bookmarkStart w:id="329" w:name="_Toc525306466"/>
      <w:bookmarkStart w:id="330" w:name="_Toc525289549"/>
      <w:bookmarkStart w:id="331" w:name="_Toc524701467"/>
      <w:bookmarkStart w:id="332" w:name="_Toc532564263"/>
      <w:bookmarkStart w:id="333" w:name="_Toc534378403"/>
      <w:bookmarkStart w:id="334" w:name="_Toc534915168"/>
      <w:bookmarkStart w:id="335" w:name="_Toc535588711"/>
      <w:bookmarkStart w:id="336" w:name="_Toc1739297"/>
      <w:bookmarkStart w:id="337" w:name="_Toc533149333"/>
      <w:bookmarkStart w:id="338" w:name="_Toc1394103"/>
      <w:bookmarkStart w:id="339" w:name="_Toc1139288"/>
      <w:bookmarkStart w:id="340" w:name="_Toc536540310"/>
      <w:bookmarkStart w:id="341" w:name="_Toc536198170"/>
      <w:bookmarkStart w:id="342" w:name="_Toc8991663"/>
      <w:bookmarkStart w:id="343" w:name="_Toc9583962"/>
      <w:bookmarkStart w:id="344" w:name="_Toc8378825"/>
      <w:bookmarkStart w:id="345" w:name="_Toc8313143"/>
      <w:bookmarkStart w:id="346" w:name="_Toc4654039"/>
      <w:bookmarkStart w:id="347" w:name="_Toc4767074"/>
    </w:p>
    <w:p>
      <w:pPr>
        <w:pStyle w:val="2"/>
        <w:spacing w:line="400" w:lineRule="exact"/>
        <w:jc w:val="center"/>
        <w:rPr>
          <w:rFonts w:hint="eastAsia" w:cs="黑体"/>
        </w:rPr>
      </w:pPr>
    </w:p>
    <w:p>
      <w:pPr>
        <w:pStyle w:val="2"/>
        <w:spacing w:line="400" w:lineRule="exact"/>
        <w:jc w:val="center"/>
        <w:rPr>
          <w:rFonts w:cs="黑体"/>
        </w:rPr>
      </w:pPr>
      <w:r>
        <w:rPr>
          <w:rFonts w:hint="eastAsia" w:cs="黑体"/>
        </w:rPr>
        <w:t>液氯</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Start w:id="348" w:name="_Toc233795931"/>
      <w:bookmarkEnd w:id="348"/>
      <w:bookmarkStart w:id="349" w:name="_Toc295403453"/>
      <w:bookmarkStart w:id="350" w:name="_Toc252539759"/>
      <w:bookmarkStart w:id="351" w:name="_Toc392240283"/>
      <w:bookmarkStart w:id="352" w:name="_Toc485981326"/>
      <w:bookmarkStart w:id="353" w:name="_Toc300238852"/>
      <w:bookmarkStart w:id="354" w:name="_Toc185611021"/>
      <w:bookmarkStart w:id="355" w:name="_Toc250731930"/>
    </w:p>
    <w:p>
      <w:pPr>
        <w:spacing w:line="400" w:lineRule="exact"/>
        <w:ind w:firstLine="602" w:firstLineChars="200"/>
        <w:outlineLvl w:val="1"/>
        <w:rPr>
          <w:rFonts w:ascii="黑体" w:hAnsi="黑体" w:eastAsia="黑体" w:cs="黑体"/>
          <w:b/>
          <w:bCs/>
          <w:sz w:val="30"/>
          <w:szCs w:val="30"/>
        </w:rPr>
      </w:pPr>
      <w:bookmarkStart w:id="356" w:name="_Toc528919990"/>
      <w:bookmarkStart w:id="357" w:name="_Toc529526329"/>
      <w:bookmarkStart w:id="358" w:name="_Toc528930997"/>
      <w:bookmarkStart w:id="359" w:name="_Toc528329960"/>
      <w:bookmarkStart w:id="360" w:name="_Toc527705004"/>
      <w:bookmarkStart w:id="361" w:name="_Toc527101794"/>
      <w:bookmarkStart w:id="362" w:name="_Toc525912530"/>
      <w:bookmarkStart w:id="363" w:name="_Toc525306478"/>
      <w:bookmarkStart w:id="364" w:name="_Toc525306467"/>
      <w:bookmarkStart w:id="365" w:name="_Toc524091685"/>
      <w:bookmarkStart w:id="366" w:name="_Toc524701468"/>
      <w:bookmarkStart w:id="367" w:name="_Toc525289550"/>
      <w:bookmarkStart w:id="368" w:name="_Toc522870773"/>
      <w:bookmarkStart w:id="369" w:name="_Toc522870764"/>
      <w:bookmarkStart w:id="370" w:name="_Toc522870755"/>
      <w:bookmarkStart w:id="371" w:name="_Toc522870749"/>
      <w:bookmarkStart w:id="372" w:name="_Toc522280058"/>
      <w:bookmarkStart w:id="373" w:name="_Toc522259768"/>
      <w:bookmarkStart w:id="374" w:name="_Toc521660551"/>
      <w:bookmarkStart w:id="375" w:name="_Toc519848561"/>
      <w:bookmarkStart w:id="376" w:name="_Toc521057605"/>
      <w:bookmarkStart w:id="377" w:name="_Toc530128353"/>
      <w:bookmarkStart w:id="378" w:name="_Toc534378404"/>
      <w:bookmarkStart w:id="379" w:name="_Toc518638263"/>
      <w:bookmarkStart w:id="380" w:name="_Toc520465080"/>
      <w:bookmarkStart w:id="381" w:name="_Toc518032003"/>
      <w:bookmarkStart w:id="382" w:name="_Toc517425042"/>
      <w:bookmarkStart w:id="383" w:name="_Toc516839088"/>
      <w:bookmarkStart w:id="384" w:name="_Toc516234901"/>
      <w:bookmarkStart w:id="385" w:name="_Toc516234895"/>
      <w:bookmarkStart w:id="386" w:name="_Toc515610377"/>
      <w:bookmarkStart w:id="387" w:name="_Toc1739298"/>
      <w:bookmarkStart w:id="388" w:name="_Toc513127194"/>
      <w:bookmarkStart w:id="389" w:name="_Toc511390009"/>
      <w:bookmarkStart w:id="390" w:name="_Toc1394104"/>
      <w:bookmarkStart w:id="391" w:name="_Toc1139289"/>
      <w:bookmarkStart w:id="392" w:name="_Toc1035934"/>
      <w:bookmarkStart w:id="393" w:name="_Toc536789789"/>
      <w:bookmarkStart w:id="394" w:name="_Toc536541141"/>
      <w:bookmarkStart w:id="395" w:name="_Toc536540311"/>
      <w:bookmarkStart w:id="396" w:name="_Toc536198171"/>
      <w:bookmarkStart w:id="397" w:name="_Toc534915169"/>
      <w:bookmarkStart w:id="398" w:name="_Toc535588712"/>
      <w:bookmarkStart w:id="399" w:name="_Toc533149334"/>
      <w:bookmarkStart w:id="400" w:name="_Toc532564264"/>
      <w:bookmarkStart w:id="401" w:name="_Toc532564067"/>
      <w:bookmarkStart w:id="402" w:name="_Toc532564041"/>
      <w:bookmarkStart w:id="403" w:name="_Toc531954276"/>
      <w:bookmarkStart w:id="404" w:name="_Toc530750143"/>
      <w:bookmarkStart w:id="405" w:name="_Toc4596903"/>
      <w:bookmarkStart w:id="406" w:name="_Toc4139110"/>
      <w:bookmarkStart w:id="407" w:name="_Toc4654040"/>
    </w:p>
    <w:p>
      <w:pPr>
        <w:spacing w:line="400" w:lineRule="exact"/>
        <w:ind w:firstLine="602" w:firstLineChars="200"/>
        <w:outlineLvl w:val="1"/>
        <w:rPr>
          <w:rFonts w:ascii="黑体" w:hAnsi="黑体" w:eastAsia="黑体" w:cs="黑体"/>
          <w:b/>
          <w:bCs/>
          <w:sz w:val="30"/>
          <w:szCs w:val="30"/>
        </w:rPr>
      </w:pPr>
      <w:bookmarkStart w:id="408" w:name="_Toc4767075"/>
      <w:bookmarkStart w:id="409" w:name="_Toc12609914"/>
      <w:bookmarkStart w:id="410" w:name="_Toc13217642"/>
      <w:bookmarkStart w:id="411" w:name="_Toc9597670"/>
      <w:bookmarkStart w:id="412" w:name="_Toc8991664"/>
      <w:bookmarkStart w:id="413" w:name="_Toc9583963"/>
      <w:bookmarkStart w:id="414" w:name="_Toc8313144"/>
      <w:bookmarkStart w:id="415" w:name="_Toc10202319"/>
      <w:bookmarkStart w:id="416" w:name="_Toc8378826"/>
      <w:r>
        <w:rPr>
          <w:rFonts w:hint="eastAsia" w:ascii="黑体" w:hAnsi="黑体" w:eastAsia="黑体" w:cs="黑体"/>
          <w:b/>
          <w:bCs/>
          <w:sz w:val="30"/>
          <w:szCs w:val="30"/>
        </w:rPr>
        <w:t>评述：本周国内液氯市场评述及行情预测</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Start w:id="417" w:name="_Toc250731931"/>
      <w:bookmarkStart w:id="418" w:name="_Toc252539760"/>
    </w:p>
    <w:p>
      <w:pPr>
        <w:pStyle w:val="12"/>
        <w:spacing w:before="0" w:beforeAutospacing="0" w:after="0" w:afterAutospacing="0" w:line="400" w:lineRule="exact"/>
        <w:outlineLvl w:val="1"/>
        <w:rPr>
          <w:rFonts w:hint="eastAsia" w:ascii="黑体" w:hAnsi="黑体" w:eastAsia="黑体" w:cs="黑体"/>
          <w:sz w:val="30"/>
          <w:szCs w:val="30"/>
        </w:rPr>
      </w:pPr>
      <w:bookmarkStart w:id="419" w:name="_Toc4767076"/>
      <w:bookmarkStart w:id="420" w:name="_Toc8313145"/>
      <w:bookmarkStart w:id="421" w:name="_Toc12609915"/>
      <w:bookmarkStart w:id="422" w:name="_Toc10202320"/>
      <w:bookmarkStart w:id="423" w:name="_Toc8378827"/>
      <w:bookmarkStart w:id="424" w:name="_Toc13217643"/>
      <w:bookmarkStart w:id="425" w:name="_Toc9597671"/>
      <w:bookmarkStart w:id="426" w:name="_Toc9583964"/>
      <w:bookmarkStart w:id="427" w:name="_Toc4596904"/>
      <w:bookmarkStart w:id="428" w:name="_Toc4654041"/>
      <w:bookmarkStart w:id="429" w:name="_Toc8991665"/>
    </w:p>
    <w:p>
      <w:pPr>
        <w:pStyle w:val="12"/>
        <w:numPr>
          <w:ilvl w:val="0"/>
          <w:numId w:val="3"/>
        </w:numPr>
        <w:spacing w:before="0" w:beforeAutospacing="0" w:after="0" w:afterAutospacing="0" w:line="400" w:lineRule="exact"/>
        <w:ind w:firstLine="600" w:firstLineChars="200"/>
        <w:outlineLvl w:val="1"/>
        <w:rPr>
          <w:rFonts w:hint="eastAsia" w:ascii="黑体" w:hAnsi="黑体" w:eastAsia="黑体" w:cs="黑体"/>
          <w:sz w:val="30"/>
          <w:szCs w:val="30"/>
        </w:rPr>
      </w:pPr>
      <w:r>
        <w:rPr>
          <w:rFonts w:hint="eastAsia" w:ascii="黑体" w:hAnsi="黑体" w:eastAsia="黑体" w:cs="黑体"/>
          <w:sz w:val="30"/>
          <w:szCs w:val="30"/>
        </w:rPr>
        <w:t>中国液氯市场行情综述</w:t>
      </w:r>
      <w:bookmarkEnd w:id="419"/>
      <w:bookmarkEnd w:id="420"/>
      <w:bookmarkEnd w:id="421"/>
      <w:bookmarkEnd w:id="422"/>
      <w:bookmarkEnd w:id="423"/>
      <w:bookmarkEnd w:id="424"/>
      <w:bookmarkEnd w:id="425"/>
      <w:bookmarkEnd w:id="426"/>
      <w:bookmarkEnd w:id="427"/>
      <w:bookmarkEnd w:id="428"/>
      <w:bookmarkEnd w:id="429"/>
    </w:p>
    <w:p>
      <w:pPr>
        <w:pStyle w:val="12"/>
        <w:ind w:firstLine="560" w:firstLineChars="200"/>
        <w:rPr>
          <w:rFonts w:hint="eastAsia" w:ascii="仿宋" w:hAnsi="仿宋" w:eastAsia="仿宋" w:cs="仿宋"/>
          <w:kern w:val="2"/>
          <w:sz w:val="28"/>
          <w:szCs w:val="28"/>
          <w:lang w:val="en-US" w:eastAsia="zh-CN"/>
        </w:rPr>
      </w:pPr>
      <w:bookmarkStart w:id="430" w:name="_Toc12609916"/>
      <w:bookmarkStart w:id="431" w:name="_Toc10202321"/>
      <w:bookmarkStart w:id="432" w:name="_Toc13217644"/>
      <w:bookmarkStart w:id="433" w:name="_Toc9583965"/>
      <w:bookmarkStart w:id="434" w:name="_Toc8991666"/>
      <w:bookmarkStart w:id="435" w:name="_Toc9597672"/>
      <w:bookmarkStart w:id="436" w:name="_Toc4767077"/>
      <w:bookmarkStart w:id="437" w:name="_Toc8378828"/>
      <w:bookmarkStart w:id="438" w:name="_Toc8313146"/>
      <w:bookmarkStart w:id="439" w:name="_Toc4654042"/>
      <w:bookmarkStart w:id="440" w:name="_Toc4596905"/>
      <w:r>
        <w:rPr>
          <w:rFonts w:hint="eastAsia" w:ascii="仿宋" w:hAnsi="仿宋" w:eastAsia="仿宋" w:cs="仿宋"/>
          <w:kern w:val="2"/>
          <w:sz w:val="28"/>
          <w:szCs w:val="28"/>
          <w:lang w:val="en-US" w:eastAsia="zh-CN"/>
        </w:rPr>
        <w:t>本周北方地区盘整运行为主，华东地区液氯价格普遍上调。</w:t>
      </w:r>
    </w:p>
    <w:p>
      <w:pPr>
        <w:pStyle w:val="12"/>
        <w:ind w:firstLine="560" w:firstLineChars="200"/>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本周山东地区液氯价格持稳运行为主。上周末期间山东主流液氯价格上调50元/吨，周初德州一带液氯价格下调100元/吨，济宁、徐州一带液氯价格上调100-150元/吨，主流地区液氯价格持续稳定运行。本周山东地区受雾霾天气影响高速禁行，运输受阻严重，省内局部地区耗氯下游有限产。本周省内潍坊地区有碱厂由于故障50%负荷运行，持续较长时间，上游供应量稍有减少。周初耗氯大户鑫岳自身氯碱装置恢复生产，收货量减半。三岳新增一套环氧丙烷装置，于周中开始投产，预计后市液氯需求将逐步增加。本周下旬东部有碱厂三期22万氯碱装置由于故障停车，预计持续2-3天。整体来看，本周初山东潍坊地区上游供应稍有减少，整体省内出货情况尚可，雾霾天气对运输方面影响较大，运输受阻，且局部地区由于天气原因耗氯下游有减产，加之耗氯大户鑫岳外采量减少，整体下游需求回落，出货情况转淡，下游压价意识明显，买卖双方博弈焦灼，液氯市场持续僵持，一度有下调的趋势。到中下旬东部上游碱厂由于故障供应量减少，无疑给液氯市场维稳带来了利好支撑，省内液氯价格持稳运行。</w:t>
      </w:r>
    </w:p>
    <w:p>
      <w:pPr>
        <w:pStyle w:val="12"/>
        <w:ind w:firstLine="560" w:firstLineChars="200"/>
        <w:rPr>
          <w:rFonts w:hint="eastAsia" w:ascii="仿宋" w:hAnsi="仿宋" w:eastAsia="仿宋" w:cs="仿宋"/>
          <w:kern w:val="2"/>
          <w:sz w:val="28"/>
          <w:szCs w:val="28"/>
          <w:lang w:val="en-US" w:eastAsia="zh-CN"/>
        </w:rPr>
      </w:pPr>
    </w:p>
    <w:p>
      <w:pPr>
        <w:widowControl/>
        <w:ind w:firstLine="600" w:firstLineChars="200"/>
        <w:jc w:val="left"/>
        <w:outlineLvl w:val="1"/>
        <w:rPr>
          <w:rFonts w:hint="eastAsia" w:ascii="仿宋" w:hAnsi="仿宋" w:eastAsia="仿宋" w:cs="仿宋"/>
          <w:kern w:val="2"/>
          <w:sz w:val="28"/>
          <w:szCs w:val="28"/>
          <w:lang w:val="en-US" w:eastAsia="zh-CN"/>
        </w:rPr>
      </w:pPr>
      <w:r>
        <w:rPr>
          <w:rFonts w:hint="eastAsia" w:ascii="黑体" w:hAnsi="黑体" w:eastAsia="黑体" w:cs="黑体"/>
          <w:sz w:val="30"/>
          <w:szCs w:val="30"/>
        </w:rPr>
        <w:t>二、市场价格</w:t>
      </w:r>
      <w:bookmarkEnd w:id="430"/>
      <w:bookmarkEnd w:id="431"/>
      <w:bookmarkEnd w:id="432"/>
      <w:bookmarkEnd w:id="433"/>
      <w:bookmarkEnd w:id="434"/>
      <w:bookmarkEnd w:id="435"/>
      <w:bookmarkEnd w:id="436"/>
      <w:bookmarkEnd w:id="437"/>
      <w:bookmarkEnd w:id="438"/>
      <w:bookmarkEnd w:id="439"/>
      <w:bookmarkEnd w:id="440"/>
      <w:bookmarkStart w:id="441" w:name="_Toc12609917"/>
      <w:bookmarkStart w:id="442" w:name="_Toc13217645"/>
      <w:bookmarkStart w:id="443" w:name="_Toc9597673"/>
      <w:bookmarkStart w:id="444" w:name="_Toc10202322"/>
      <w:bookmarkStart w:id="445" w:name="_Toc9583966"/>
      <w:bookmarkStart w:id="446" w:name="_Toc8991667"/>
    </w:p>
    <w:p>
      <w:pPr>
        <w:pStyle w:val="12"/>
        <w:ind w:firstLine="560" w:firstLineChars="200"/>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截止到12月12日发稿，各地区液氯槽车主流出厂价格：</w:t>
      </w:r>
    </w:p>
    <w:p>
      <w:pPr>
        <w:pStyle w:val="12"/>
        <w:ind w:firstLine="560" w:firstLineChars="200"/>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山东省内主流槽车600-700元/吨，河北省内主流槽车执行700-800元/吨;河南省槽车主流出货价格在600-800元/吨均有，钢瓶槽车同价;辽宁省内槽车出货价格在900元/吨，钢瓶暂不报价;山西地区槽车出货主流在300-500元/吨;浙江地区当前钢瓶出货价格为600-850元/吨;苏北地区槽车主流出货价格在700-800元/吨，苏南地区槽车报价在750-800元/吨;江西地区槽车出货价格在850元/吨;安徽地区槽车出厂价格800-850元/吨;内蒙液氯槽车价格100元/吨;湖北地区少量槽车出厂价格在450元/吨;湖南地区槽车无货;四川地区300-400元/吨，当地高价成交有限。</w:t>
      </w:r>
    </w:p>
    <w:p>
      <w:pPr>
        <w:pStyle w:val="12"/>
        <w:ind w:firstLine="560" w:firstLineChars="200"/>
        <w:rPr>
          <w:rFonts w:hint="eastAsia" w:ascii="仿宋" w:hAnsi="仿宋" w:eastAsia="仿宋" w:cs="仿宋"/>
          <w:kern w:val="2"/>
          <w:sz w:val="28"/>
          <w:szCs w:val="28"/>
          <w:lang w:val="en-US" w:eastAsia="zh-CN"/>
        </w:rPr>
      </w:pPr>
    </w:p>
    <w:p>
      <w:pPr>
        <w:pStyle w:val="12"/>
        <w:ind w:firstLine="560" w:firstLineChars="200"/>
        <w:rPr>
          <w:rFonts w:hint="eastAsia" w:ascii="仿宋" w:hAnsi="仿宋" w:eastAsia="仿宋" w:cs="仿宋"/>
          <w:kern w:val="2"/>
          <w:sz w:val="28"/>
          <w:szCs w:val="28"/>
          <w:lang w:val="en-US" w:eastAsia="zh-CN"/>
        </w:rPr>
      </w:pPr>
    </w:p>
    <w:p>
      <w:pPr>
        <w:pStyle w:val="12"/>
        <w:spacing w:before="0" w:beforeAutospacing="0" w:after="0" w:afterAutospacing="0" w:line="400" w:lineRule="exact"/>
        <w:ind w:firstLine="600" w:firstLineChars="200"/>
        <w:outlineLvl w:val="1"/>
        <w:rPr>
          <w:rFonts w:ascii="黑体" w:hAnsi="黑体" w:eastAsia="黑体" w:cs="黑体"/>
          <w:sz w:val="30"/>
          <w:szCs w:val="30"/>
        </w:rPr>
      </w:pPr>
      <w:r>
        <w:rPr>
          <w:rFonts w:hint="eastAsia" w:ascii="黑体" w:hAnsi="黑体" w:eastAsia="黑体" w:cs="黑体"/>
          <w:sz w:val="30"/>
          <w:szCs w:val="30"/>
        </w:rPr>
        <w:t>三、</w:t>
      </w:r>
      <w:bookmarkStart w:id="447" w:name="_Toc8313147"/>
      <w:bookmarkStart w:id="448" w:name="_Toc8378829"/>
      <w:bookmarkStart w:id="449" w:name="_Toc4767078"/>
      <w:bookmarkStart w:id="450" w:name="_Toc4654043"/>
      <w:bookmarkStart w:id="451" w:name="_Toc4596906"/>
      <w:r>
        <w:rPr>
          <w:rFonts w:hint="eastAsia" w:ascii="黑体" w:hAnsi="黑体" w:eastAsia="黑体" w:cs="黑体"/>
          <w:sz w:val="30"/>
          <w:szCs w:val="30"/>
        </w:rPr>
        <w:t>山东市场分析</w:t>
      </w:r>
      <w:bookmarkEnd w:id="441"/>
      <w:bookmarkEnd w:id="442"/>
      <w:bookmarkEnd w:id="443"/>
      <w:bookmarkEnd w:id="444"/>
      <w:bookmarkEnd w:id="445"/>
      <w:bookmarkEnd w:id="446"/>
      <w:bookmarkEnd w:id="447"/>
      <w:bookmarkEnd w:id="448"/>
      <w:bookmarkEnd w:id="449"/>
      <w:bookmarkEnd w:id="450"/>
      <w:bookmarkEnd w:id="451"/>
      <w:bookmarkStart w:id="452" w:name="OLE_LINK56"/>
    </w:p>
    <w:bookmarkEnd w:id="452"/>
    <w:p>
      <w:pPr>
        <w:pStyle w:val="12"/>
        <w:ind w:firstLine="560" w:firstLineChars="200"/>
        <w:rPr>
          <w:rFonts w:hint="eastAsia" w:ascii="仿宋" w:hAnsi="仿宋" w:eastAsia="仿宋" w:cs="仿宋"/>
          <w:kern w:val="2"/>
          <w:sz w:val="28"/>
          <w:szCs w:val="28"/>
          <w:lang w:val="en-US" w:eastAsia="zh-CN"/>
        </w:rPr>
      </w:pPr>
      <w:bookmarkStart w:id="453" w:name="_Toc9583967"/>
      <w:bookmarkStart w:id="454" w:name="_Toc8991668"/>
      <w:bookmarkStart w:id="455" w:name="_Toc8378830"/>
      <w:bookmarkStart w:id="456" w:name="_Toc8313148"/>
      <w:bookmarkStart w:id="457" w:name="_Toc4767079"/>
      <w:bookmarkStart w:id="458" w:name="_Toc4654044"/>
      <w:bookmarkStart w:id="459" w:name="_Toc4596907"/>
      <w:bookmarkStart w:id="460" w:name="_Toc13217646"/>
      <w:bookmarkStart w:id="461" w:name="_Toc12609918"/>
      <w:bookmarkStart w:id="462" w:name="_Toc10202323"/>
      <w:bookmarkStart w:id="463" w:name="_Toc9597674"/>
      <w:r>
        <w:rPr>
          <w:rFonts w:hint="eastAsia" w:ascii="仿宋" w:hAnsi="仿宋" w:eastAsia="仿宋" w:cs="仿宋"/>
          <w:kern w:val="2"/>
          <w:sz w:val="28"/>
          <w:szCs w:val="28"/>
          <w:lang w:val="en-US" w:eastAsia="zh-CN"/>
        </w:rPr>
        <w:t>山东省内主流槽车600-700元/吨，河北省内主流槽车执行700-800元/吨;河南省槽车主流出货价格在600-800元/吨均有，钢瓶槽车同价;辽宁省内槽车出货价格在900元/吨，钢瓶暂不报价;山西地区槽车出货主流在300-500元/吨;浙江地区当前钢瓶出货价格为600-850元/吨;苏北地区槽车主流出货价格在700-800元/吨，苏南地区槽车报价在750-800元/吨;江西地区槽车出货价格在850元/吨;安徽地区槽车出厂价格800-850元/吨;内蒙液氯槽车价格100元/吨;湖北地区少量槽车出厂价格在450元/吨;湖南地区槽车无货;四川地区300-400元/吨，当地高价成交有限。</w:t>
      </w:r>
    </w:p>
    <w:p>
      <w:pPr>
        <w:pStyle w:val="12"/>
        <w:ind w:firstLine="560" w:firstLineChars="200"/>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 </w:t>
      </w:r>
    </w:p>
    <w:p>
      <w:pPr>
        <w:pStyle w:val="12"/>
        <w:spacing w:before="0" w:beforeAutospacing="0" w:after="0" w:afterAutospacing="0" w:line="400" w:lineRule="exact"/>
        <w:ind w:firstLine="420" w:firstLineChars="200"/>
        <w:outlineLvl w:val="1"/>
        <w:rPr>
          <w:rFonts w:ascii="黑体" w:hAnsi="黑体" w:eastAsia="黑体" w:cs="黑体"/>
          <w:sz w:val="30"/>
          <w:szCs w:val="30"/>
        </w:rPr>
      </w:pPr>
      <w:r>
        <w:rPr>
          <w:rFonts w:ascii="Arial" w:hAnsi="Arial" w:eastAsia="宋体" w:cs="Arial"/>
          <w:i w:val="0"/>
          <w:caps w:val="0"/>
          <w:color w:val="191919"/>
          <w:spacing w:val="0"/>
          <w:sz w:val="21"/>
          <w:szCs w:val="21"/>
          <w:shd w:val="clear" w:fill="FFFFFF"/>
        </w:rPr>
        <w:t>  </w:t>
      </w:r>
      <w:r>
        <w:rPr>
          <w:rFonts w:hint="eastAsia" w:ascii="黑体" w:hAnsi="黑体" w:eastAsia="黑体" w:cs="黑体"/>
          <w:sz w:val="30"/>
          <w:szCs w:val="30"/>
        </w:rPr>
        <w:t>四、后市分析</w:t>
      </w:r>
      <w:bookmarkEnd w:id="453"/>
      <w:bookmarkEnd w:id="454"/>
      <w:bookmarkEnd w:id="455"/>
      <w:bookmarkEnd w:id="456"/>
      <w:bookmarkEnd w:id="457"/>
      <w:bookmarkEnd w:id="458"/>
      <w:bookmarkEnd w:id="459"/>
      <w:bookmarkEnd w:id="460"/>
      <w:bookmarkEnd w:id="461"/>
      <w:bookmarkEnd w:id="462"/>
      <w:bookmarkEnd w:id="463"/>
    </w:p>
    <w:p>
      <w:pPr>
        <w:pStyle w:val="12"/>
        <w:ind w:firstLine="560" w:firstLineChars="200"/>
        <w:rPr>
          <w:rFonts w:hint="eastAsia" w:ascii="仿宋" w:hAnsi="仿宋" w:eastAsia="仿宋" w:cs="仿宋"/>
          <w:kern w:val="2"/>
          <w:sz w:val="28"/>
          <w:szCs w:val="28"/>
          <w:lang w:val="en-US" w:eastAsia="zh-CN"/>
        </w:rPr>
      </w:pPr>
      <w:bookmarkStart w:id="464" w:name="_Toc10202324"/>
      <w:bookmarkStart w:id="465" w:name="_Toc4596908"/>
      <w:bookmarkStart w:id="466" w:name="_Toc4654045"/>
      <w:bookmarkStart w:id="467" w:name="_Toc4767080"/>
      <w:bookmarkStart w:id="468" w:name="_Toc8313149"/>
      <w:bookmarkStart w:id="469" w:name="_Toc8991669"/>
      <w:bookmarkStart w:id="470" w:name="_Toc8378831"/>
      <w:bookmarkStart w:id="471" w:name="_Toc9597675"/>
      <w:bookmarkStart w:id="472" w:name="_Toc9583968"/>
      <w:bookmarkStart w:id="473" w:name="_Toc12609919"/>
      <w:bookmarkStart w:id="474" w:name="_Toc13217647"/>
      <w:r>
        <w:rPr>
          <w:rFonts w:hint="eastAsia" w:ascii="仿宋" w:hAnsi="仿宋" w:eastAsia="仿宋" w:cs="仿宋"/>
          <w:kern w:val="2"/>
          <w:sz w:val="28"/>
          <w:szCs w:val="28"/>
          <w:lang w:val="en-US" w:eastAsia="zh-CN"/>
        </w:rPr>
        <w:t>目前北方山东地区液氯市场下游需求较上周有回落，上游供应也有减少，场内交投氛围尚可，预计下周山东地区下游需求有提升，上游供应将恢复正常，加之近期烧碱价格持续低位，下周北方地区液氯市场窄幅震荡波动。华东地区目前液氯价格已处高位，预计后市液氯价格高位盘整为主，当地货源仍偏紧，出货情况顺畅。</w:t>
      </w:r>
    </w:p>
    <w:p>
      <w:pPr>
        <w:pStyle w:val="12"/>
        <w:ind w:firstLine="560" w:firstLineChars="200"/>
        <w:rPr>
          <w:rFonts w:hint="eastAsia" w:ascii="仿宋" w:hAnsi="仿宋" w:eastAsia="仿宋" w:cs="仿宋"/>
          <w:kern w:val="2"/>
          <w:sz w:val="28"/>
          <w:szCs w:val="28"/>
          <w:lang w:val="en-US" w:eastAsia="zh-CN"/>
        </w:rPr>
      </w:pPr>
    </w:p>
    <w:p>
      <w:pPr>
        <w:pStyle w:val="12"/>
        <w:ind w:firstLine="560" w:firstLineChars="200"/>
        <w:rPr>
          <w:rFonts w:hint="eastAsia" w:ascii="仿宋" w:hAnsi="仿宋" w:eastAsia="仿宋" w:cs="仿宋"/>
          <w:kern w:val="2"/>
          <w:sz w:val="28"/>
          <w:szCs w:val="28"/>
          <w:lang w:val="en-US" w:eastAsia="zh-CN"/>
        </w:rPr>
      </w:pPr>
    </w:p>
    <w:p>
      <w:pPr>
        <w:pStyle w:val="12"/>
        <w:ind w:firstLine="602" w:firstLineChars="200"/>
        <w:rPr>
          <w:b/>
          <w:bCs/>
          <w:sz w:val="30"/>
          <w:szCs w:val="30"/>
        </w:rPr>
      </w:pPr>
      <w:r>
        <w:rPr>
          <w:rFonts w:hint="eastAsia"/>
          <w:b/>
          <w:bCs/>
          <w:sz w:val="30"/>
          <w:szCs w:val="30"/>
        </w:rPr>
        <w:t>国内地区市场价格</w:t>
      </w:r>
      <w:bookmarkEnd w:id="464"/>
      <w:bookmarkEnd w:id="465"/>
      <w:bookmarkEnd w:id="466"/>
      <w:bookmarkEnd w:id="467"/>
      <w:bookmarkEnd w:id="468"/>
      <w:bookmarkEnd w:id="469"/>
      <w:bookmarkEnd w:id="470"/>
      <w:bookmarkEnd w:id="471"/>
      <w:bookmarkEnd w:id="472"/>
      <w:bookmarkEnd w:id="473"/>
      <w:bookmarkEnd w:id="474"/>
      <w:bookmarkStart w:id="480" w:name="_GoBack"/>
      <w:bookmarkEnd w:id="480"/>
    </w:p>
    <w:bookmarkEnd w:id="417"/>
    <w:bookmarkEnd w:id="418"/>
    <w:tbl>
      <w:tblPr>
        <w:tblStyle w:val="13"/>
        <w:tblW w:w="8720" w:type="dxa"/>
        <w:tblInd w:w="0" w:type="dxa"/>
        <w:tblLayout w:type="fixed"/>
        <w:tblCellMar>
          <w:top w:w="0" w:type="dxa"/>
          <w:left w:w="108" w:type="dxa"/>
          <w:bottom w:w="0" w:type="dxa"/>
          <w:right w:w="108" w:type="dxa"/>
        </w:tblCellMar>
      </w:tblPr>
      <w:tblGrid>
        <w:gridCol w:w="1744"/>
        <w:gridCol w:w="1744"/>
        <w:gridCol w:w="1744"/>
        <w:gridCol w:w="1744"/>
        <w:gridCol w:w="1744"/>
      </w:tblGrid>
      <w:tr>
        <w:tblPrEx>
          <w:tblCellMar>
            <w:top w:w="0" w:type="dxa"/>
            <w:left w:w="108" w:type="dxa"/>
            <w:bottom w:w="0" w:type="dxa"/>
            <w:right w:w="108" w:type="dxa"/>
          </w:tblCellMar>
        </w:tblPrEx>
        <w:trPr>
          <w:trHeight w:val="255" w:hRule="atLeast"/>
        </w:trPr>
        <w:tc>
          <w:tcPr>
            <w:tcW w:w="1744" w:type="dxa"/>
            <w:vMerge w:val="restart"/>
            <w:tcBorders>
              <w:top w:val="single" w:color="auto" w:sz="4" w:space="0"/>
              <w:left w:val="single" w:color="auto" w:sz="4" w:space="0"/>
              <w:bottom w:val="single" w:color="000000" w:sz="4" w:space="0"/>
              <w:right w:val="single" w:color="auto" w:sz="4" w:space="0"/>
            </w:tcBorders>
            <w:shd w:val="clear" w:color="000000" w:fill="99CCFF"/>
            <w:vAlign w:val="center"/>
          </w:tcPr>
          <w:p>
            <w:pPr>
              <w:widowControl/>
              <w:jc w:val="center"/>
              <w:rPr>
                <w:rFonts w:ascii="宋体" w:cs="Times New Roman"/>
                <w:b/>
                <w:bCs/>
                <w:color w:val="000000"/>
                <w:kern w:val="0"/>
                <w:sz w:val="20"/>
                <w:szCs w:val="20"/>
              </w:rPr>
            </w:pPr>
            <w:bookmarkStart w:id="475" w:name="_Toc233795926"/>
            <w:bookmarkEnd w:id="475"/>
          </w:p>
          <w:p>
            <w:pPr>
              <w:widowControl/>
              <w:jc w:val="center"/>
              <w:rPr>
                <w:rFonts w:ascii="宋体" w:cs="Times New Roman"/>
                <w:b/>
                <w:bCs/>
                <w:color w:val="000000"/>
                <w:kern w:val="0"/>
                <w:sz w:val="20"/>
                <w:szCs w:val="20"/>
              </w:rPr>
            </w:pPr>
          </w:p>
        </w:tc>
        <w:tc>
          <w:tcPr>
            <w:tcW w:w="1744" w:type="dxa"/>
            <w:vMerge w:val="restart"/>
            <w:tcBorders>
              <w:top w:val="single" w:color="auto" w:sz="4" w:space="0"/>
              <w:left w:val="single" w:color="auto" w:sz="4" w:space="0"/>
              <w:bottom w:val="single" w:color="auto" w:sz="4" w:space="0"/>
              <w:right w:val="single" w:color="auto" w:sz="4" w:space="0"/>
            </w:tcBorders>
            <w:shd w:val="clear" w:color="000000" w:fill="99CCFF"/>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地区</w:t>
            </w:r>
          </w:p>
        </w:tc>
        <w:tc>
          <w:tcPr>
            <w:tcW w:w="1744" w:type="dxa"/>
            <w:vMerge w:val="restart"/>
            <w:tcBorders>
              <w:top w:val="single" w:color="auto" w:sz="4" w:space="0"/>
              <w:left w:val="single" w:color="auto" w:sz="4" w:space="0"/>
              <w:bottom w:val="single" w:color="auto" w:sz="4" w:space="0"/>
              <w:right w:val="single" w:color="auto" w:sz="4" w:space="0"/>
            </w:tcBorders>
            <w:shd w:val="clear" w:color="000000" w:fill="99CCFF"/>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属性</w:t>
            </w:r>
          </w:p>
        </w:tc>
        <w:tc>
          <w:tcPr>
            <w:tcW w:w="3488" w:type="dxa"/>
            <w:gridSpan w:val="2"/>
            <w:tcBorders>
              <w:top w:val="single" w:color="auto" w:sz="4" w:space="0"/>
              <w:left w:val="nil"/>
              <w:bottom w:val="single" w:color="auto" w:sz="4" w:space="0"/>
              <w:right w:val="single" w:color="auto" w:sz="4" w:space="0"/>
            </w:tcBorders>
            <w:shd w:val="clear" w:color="000000" w:fill="99CCFF"/>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液氯</w:t>
            </w:r>
          </w:p>
        </w:tc>
      </w:tr>
      <w:tr>
        <w:tblPrEx>
          <w:tblCellMar>
            <w:top w:w="0" w:type="dxa"/>
            <w:left w:w="108" w:type="dxa"/>
            <w:bottom w:w="0" w:type="dxa"/>
            <w:right w:w="108" w:type="dxa"/>
          </w:tblCellMar>
        </w:tblPrEx>
        <w:trPr>
          <w:trHeight w:val="255" w:hRule="atLeast"/>
        </w:trPr>
        <w:tc>
          <w:tcPr>
            <w:tcW w:w="174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Times New Roman"/>
                <w:b/>
                <w:bCs/>
                <w:color w:val="000000"/>
                <w:kern w:val="0"/>
                <w:sz w:val="20"/>
                <w:szCs w:val="20"/>
              </w:rPr>
            </w:pPr>
          </w:p>
        </w:tc>
        <w:tc>
          <w:tcPr>
            <w:tcW w:w="1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0"/>
                <w:szCs w:val="20"/>
              </w:rPr>
            </w:pPr>
          </w:p>
        </w:tc>
        <w:tc>
          <w:tcPr>
            <w:tcW w:w="1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0"/>
                <w:szCs w:val="20"/>
              </w:rPr>
            </w:pPr>
          </w:p>
        </w:tc>
        <w:tc>
          <w:tcPr>
            <w:tcW w:w="1744" w:type="dxa"/>
            <w:tcBorders>
              <w:top w:val="nil"/>
              <w:left w:val="nil"/>
              <w:bottom w:val="single" w:color="auto" w:sz="4" w:space="0"/>
              <w:right w:val="single" w:color="auto" w:sz="4" w:space="0"/>
            </w:tcBorders>
            <w:shd w:val="clear" w:color="000000" w:fill="99CCFF"/>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低端价</w:t>
            </w:r>
          </w:p>
        </w:tc>
        <w:tc>
          <w:tcPr>
            <w:tcW w:w="1744" w:type="dxa"/>
            <w:tcBorders>
              <w:top w:val="nil"/>
              <w:left w:val="nil"/>
              <w:bottom w:val="single" w:color="auto" w:sz="4" w:space="0"/>
              <w:right w:val="single" w:color="auto" w:sz="4" w:space="0"/>
            </w:tcBorders>
            <w:shd w:val="clear" w:color="000000" w:fill="99CCFF"/>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高端价</w:t>
            </w:r>
          </w:p>
        </w:tc>
      </w:tr>
      <w:tr>
        <w:tblPrEx>
          <w:tblCellMar>
            <w:top w:w="0" w:type="dxa"/>
            <w:left w:w="108" w:type="dxa"/>
            <w:bottom w:w="0" w:type="dxa"/>
            <w:right w:w="108" w:type="dxa"/>
          </w:tblCellMar>
        </w:tblPrEx>
        <w:trPr>
          <w:trHeight w:val="255" w:hRule="atLeast"/>
        </w:trPr>
        <w:tc>
          <w:tcPr>
            <w:tcW w:w="1744" w:type="dxa"/>
            <w:tcBorders>
              <w:top w:val="nil"/>
              <w:left w:val="single" w:color="auto" w:sz="4" w:space="0"/>
              <w:bottom w:val="single" w:color="auto" w:sz="4" w:space="0"/>
              <w:right w:val="single" w:color="auto" w:sz="4" w:space="0"/>
            </w:tcBorders>
            <w:shd w:val="clear" w:color="000000" w:fill="FFFFFF"/>
            <w:vAlign w:val="top"/>
          </w:tcPr>
          <w:p>
            <w:pPr>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2019/</w:t>
            </w:r>
            <w:r>
              <w:rPr>
                <w:rFonts w:hint="eastAsia" w:ascii="宋体" w:hAnsi="宋体" w:cs="宋体"/>
                <w:color w:val="000000"/>
                <w:kern w:val="0"/>
                <w:sz w:val="20"/>
                <w:szCs w:val="20"/>
                <w:lang w:val="en-US" w:eastAsia="zh-CN"/>
              </w:rPr>
              <w:t>12</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13</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华北</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山东市场</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650</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700</w:t>
            </w:r>
          </w:p>
        </w:tc>
      </w:tr>
      <w:tr>
        <w:tblPrEx>
          <w:tblCellMar>
            <w:top w:w="0" w:type="dxa"/>
            <w:left w:w="108" w:type="dxa"/>
            <w:bottom w:w="0" w:type="dxa"/>
            <w:right w:w="108" w:type="dxa"/>
          </w:tblCellMar>
        </w:tblPrEx>
        <w:trPr>
          <w:trHeight w:val="255" w:hRule="atLeast"/>
        </w:trPr>
        <w:tc>
          <w:tcPr>
            <w:tcW w:w="1744" w:type="dxa"/>
            <w:tcBorders>
              <w:top w:val="nil"/>
              <w:left w:val="single" w:color="auto" w:sz="4" w:space="0"/>
              <w:bottom w:val="single" w:color="auto" w:sz="4" w:space="0"/>
              <w:right w:val="single" w:color="auto" w:sz="4" w:space="0"/>
            </w:tcBorders>
            <w:shd w:val="clear" w:color="000000" w:fill="FFFFFF"/>
            <w:vAlign w:val="top"/>
          </w:tcPr>
          <w:p>
            <w:pPr>
              <w:jc w:val="center"/>
              <w:rPr>
                <w:rFonts w:hint="default" w:eastAsia="宋体"/>
                <w:lang w:val="en-US" w:eastAsia="zh-CN"/>
              </w:rPr>
            </w:pPr>
            <w:r>
              <w:rPr>
                <w:rFonts w:hint="eastAsia" w:ascii="宋体" w:hAnsi="宋体" w:cs="宋体"/>
                <w:color w:val="000000"/>
                <w:kern w:val="0"/>
                <w:sz w:val="20"/>
                <w:szCs w:val="20"/>
              </w:rPr>
              <w:t>2019/</w:t>
            </w:r>
            <w:r>
              <w:rPr>
                <w:rFonts w:hint="eastAsia" w:ascii="宋体" w:hAnsi="宋体" w:cs="宋体"/>
                <w:color w:val="000000"/>
                <w:kern w:val="0"/>
                <w:sz w:val="20"/>
                <w:szCs w:val="20"/>
                <w:lang w:val="en-US" w:eastAsia="zh-CN"/>
              </w:rPr>
              <w:t>12</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13</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华北</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河北市场</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700</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800</w:t>
            </w:r>
          </w:p>
        </w:tc>
      </w:tr>
      <w:tr>
        <w:tblPrEx>
          <w:tblCellMar>
            <w:top w:w="0" w:type="dxa"/>
            <w:left w:w="108" w:type="dxa"/>
            <w:bottom w:w="0" w:type="dxa"/>
            <w:right w:w="108" w:type="dxa"/>
          </w:tblCellMar>
        </w:tblPrEx>
        <w:trPr>
          <w:trHeight w:val="255" w:hRule="atLeast"/>
        </w:trPr>
        <w:tc>
          <w:tcPr>
            <w:tcW w:w="1744" w:type="dxa"/>
            <w:tcBorders>
              <w:top w:val="nil"/>
              <w:left w:val="single" w:color="auto" w:sz="4" w:space="0"/>
              <w:bottom w:val="single" w:color="auto" w:sz="4" w:space="0"/>
              <w:right w:val="single" w:color="auto" w:sz="4" w:space="0"/>
            </w:tcBorders>
            <w:shd w:val="clear" w:color="000000" w:fill="FFFFFF"/>
            <w:vAlign w:val="top"/>
          </w:tcPr>
          <w:p>
            <w:pPr>
              <w:jc w:val="center"/>
              <w:rPr>
                <w:rFonts w:hint="default" w:eastAsia="宋体"/>
                <w:lang w:val="en-US" w:eastAsia="zh-CN"/>
              </w:rPr>
            </w:pPr>
            <w:r>
              <w:rPr>
                <w:rFonts w:hint="eastAsia" w:ascii="宋体" w:hAnsi="宋体" w:cs="宋体"/>
                <w:color w:val="000000"/>
                <w:kern w:val="0"/>
                <w:sz w:val="20"/>
                <w:szCs w:val="20"/>
              </w:rPr>
              <w:t>2019/</w:t>
            </w:r>
            <w:r>
              <w:rPr>
                <w:rFonts w:hint="eastAsia" w:ascii="宋体" w:hAnsi="宋体" w:cs="宋体"/>
                <w:color w:val="000000"/>
                <w:kern w:val="0"/>
                <w:sz w:val="20"/>
                <w:szCs w:val="20"/>
                <w:lang w:val="en-US" w:eastAsia="zh-CN"/>
              </w:rPr>
              <w:t>12</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13</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华中</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河南市场</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6</w:t>
            </w:r>
            <w:r>
              <w:rPr>
                <w:rFonts w:hint="eastAsia" w:ascii="宋体" w:hAnsi="宋体" w:cs="宋体"/>
                <w:color w:val="000000"/>
                <w:kern w:val="0"/>
                <w:sz w:val="20"/>
                <w:szCs w:val="20"/>
              </w:rPr>
              <w:t>00</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9</w:t>
            </w:r>
            <w:r>
              <w:rPr>
                <w:rFonts w:hint="eastAsia" w:ascii="宋体" w:hAnsi="宋体" w:cs="宋体"/>
                <w:color w:val="000000"/>
                <w:kern w:val="0"/>
                <w:sz w:val="20"/>
                <w:szCs w:val="20"/>
              </w:rPr>
              <w:t>0</w:t>
            </w:r>
            <w:r>
              <w:rPr>
                <w:rFonts w:ascii="宋体" w:hAnsi="宋体" w:cs="宋体"/>
                <w:color w:val="000000"/>
                <w:kern w:val="0"/>
                <w:sz w:val="20"/>
                <w:szCs w:val="20"/>
              </w:rPr>
              <w:t>0</w:t>
            </w:r>
          </w:p>
        </w:tc>
      </w:tr>
      <w:tr>
        <w:tblPrEx>
          <w:tblCellMar>
            <w:top w:w="0" w:type="dxa"/>
            <w:left w:w="108" w:type="dxa"/>
            <w:bottom w:w="0" w:type="dxa"/>
            <w:right w:w="108" w:type="dxa"/>
          </w:tblCellMar>
        </w:tblPrEx>
        <w:trPr>
          <w:trHeight w:val="255" w:hRule="atLeast"/>
        </w:trPr>
        <w:tc>
          <w:tcPr>
            <w:tcW w:w="1744" w:type="dxa"/>
            <w:tcBorders>
              <w:top w:val="nil"/>
              <w:left w:val="single" w:color="auto" w:sz="4" w:space="0"/>
              <w:bottom w:val="single" w:color="auto" w:sz="4" w:space="0"/>
              <w:right w:val="single" w:color="auto" w:sz="4" w:space="0"/>
            </w:tcBorders>
            <w:shd w:val="clear" w:color="000000" w:fill="FFFFFF"/>
            <w:vAlign w:val="top"/>
          </w:tcPr>
          <w:p>
            <w:pPr>
              <w:jc w:val="center"/>
              <w:rPr>
                <w:rFonts w:hint="default" w:eastAsia="宋体"/>
                <w:lang w:val="en-US" w:eastAsia="zh-CN"/>
              </w:rPr>
            </w:pPr>
            <w:r>
              <w:rPr>
                <w:rFonts w:hint="eastAsia" w:ascii="宋体" w:hAnsi="宋体" w:cs="宋体"/>
                <w:color w:val="000000"/>
                <w:kern w:val="0"/>
                <w:sz w:val="20"/>
                <w:szCs w:val="20"/>
              </w:rPr>
              <w:t>2019/</w:t>
            </w:r>
            <w:r>
              <w:rPr>
                <w:rFonts w:hint="eastAsia" w:ascii="宋体" w:hAnsi="宋体" w:cs="宋体"/>
                <w:color w:val="000000"/>
                <w:kern w:val="0"/>
                <w:sz w:val="20"/>
                <w:szCs w:val="20"/>
                <w:lang w:val="en-US" w:eastAsia="zh-CN"/>
              </w:rPr>
              <w:t>12</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13</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华东</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江苏市场</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7</w:t>
            </w:r>
            <w:r>
              <w:rPr>
                <w:rFonts w:hint="eastAsia" w:ascii="宋体" w:hAnsi="宋体" w:cs="宋体"/>
                <w:color w:val="000000"/>
                <w:kern w:val="0"/>
                <w:sz w:val="20"/>
                <w:szCs w:val="20"/>
              </w:rPr>
              <w:t>00</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85</w:t>
            </w:r>
            <w:r>
              <w:rPr>
                <w:rFonts w:hint="eastAsia" w:ascii="宋体" w:hAnsi="宋体" w:cs="宋体"/>
                <w:color w:val="000000"/>
                <w:kern w:val="0"/>
                <w:sz w:val="20"/>
                <w:szCs w:val="20"/>
              </w:rPr>
              <w:t>0</w:t>
            </w:r>
          </w:p>
        </w:tc>
      </w:tr>
      <w:tr>
        <w:tblPrEx>
          <w:tblCellMar>
            <w:top w:w="0" w:type="dxa"/>
            <w:left w:w="108" w:type="dxa"/>
            <w:bottom w:w="0" w:type="dxa"/>
            <w:right w:w="108" w:type="dxa"/>
          </w:tblCellMar>
        </w:tblPrEx>
        <w:trPr>
          <w:trHeight w:val="255" w:hRule="atLeast"/>
        </w:trPr>
        <w:tc>
          <w:tcPr>
            <w:tcW w:w="1744" w:type="dxa"/>
            <w:tcBorders>
              <w:top w:val="nil"/>
              <w:left w:val="single" w:color="auto" w:sz="4" w:space="0"/>
              <w:bottom w:val="single" w:color="auto" w:sz="4" w:space="0"/>
              <w:right w:val="single" w:color="auto" w:sz="4" w:space="0"/>
            </w:tcBorders>
            <w:shd w:val="clear" w:color="000000" w:fill="FFFFFF"/>
            <w:vAlign w:val="top"/>
          </w:tcPr>
          <w:p>
            <w:pPr>
              <w:jc w:val="center"/>
              <w:rPr>
                <w:rFonts w:hint="default" w:eastAsia="宋体"/>
                <w:lang w:val="en-US" w:eastAsia="zh-CN"/>
              </w:rPr>
            </w:pPr>
            <w:r>
              <w:rPr>
                <w:rFonts w:hint="eastAsia" w:ascii="宋体" w:hAnsi="宋体" w:cs="宋体"/>
                <w:color w:val="000000"/>
                <w:kern w:val="0"/>
                <w:sz w:val="20"/>
                <w:szCs w:val="20"/>
              </w:rPr>
              <w:t>2019/</w:t>
            </w:r>
            <w:r>
              <w:rPr>
                <w:rFonts w:hint="eastAsia" w:ascii="宋体" w:hAnsi="宋体" w:cs="宋体"/>
                <w:color w:val="000000"/>
                <w:kern w:val="0"/>
                <w:sz w:val="20"/>
                <w:szCs w:val="20"/>
                <w:lang w:val="en-US" w:eastAsia="zh-CN"/>
              </w:rPr>
              <w:t>12</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13</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华南</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华南市场</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80</w:t>
            </w:r>
            <w:r>
              <w:rPr>
                <w:rFonts w:hint="eastAsia" w:ascii="宋体" w:hAnsi="宋体" w:cs="宋体"/>
                <w:color w:val="000000"/>
                <w:kern w:val="0"/>
                <w:sz w:val="20"/>
                <w:szCs w:val="20"/>
              </w:rPr>
              <w:t>0</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80</w:t>
            </w:r>
            <w:r>
              <w:rPr>
                <w:rFonts w:ascii="宋体" w:hAnsi="宋体" w:cs="宋体"/>
                <w:color w:val="000000"/>
                <w:kern w:val="0"/>
                <w:sz w:val="20"/>
                <w:szCs w:val="20"/>
              </w:rPr>
              <w:t>0</w:t>
            </w:r>
          </w:p>
        </w:tc>
      </w:tr>
      <w:tr>
        <w:tblPrEx>
          <w:tblCellMar>
            <w:top w:w="0" w:type="dxa"/>
            <w:left w:w="108" w:type="dxa"/>
            <w:bottom w:w="0" w:type="dxa"/>
            <w:right w:w="108" w:type="dxa"/>
          </w:tblCellMar>
        </w:tblPrEx>
        <w:trPr>
          <w:trHeight w:val="306" w:hRule="atLeast"/>
        </w:trPr>
        <w:tc>
          <w:tcPr>
            <w:tcW w:w="1744" w:type="dxa"/>
            <w:tcBorders>
              <w:top w:val="nil"/>
              <w:left w:val="single" w:color="auto" w:sz="4" w:space="0"/>
              <w:bottom w:val="single" w:color="auto" w:sz="4" w:space="0"/>
              <w:right w:val="single" w:color="auto" w:sz="4" w:space="0"/>
            </w:tcBorders>
            <w:shd w:val="clear" w:color="000000" w:fill="FFFFFF"/>
            <w:vAlign w:val="top"/>
          </w:tcPr>
          <w:p>
            <w:pPr>
              <w:jc w:val="center"/>
              <w:rPr>
                <w:rFonts w:hint="default" w:eastAsia="宋体"/>
                <w:lang w:val="en-US" w:eastAsia="zh-CN"/>
              </w:rPr>
            </w:pPr>
            <w:r>
              <w:rPr>
                <w:rFonts w:hint="eastAsia" w:ascii="宋体" w:hAnsi="宋体" w:cs="宋体"/>
                <w:color w:val="000000"/>
                <w:kern w:val="0"/>
                <w:sz w:val="20"/>
                <w:szCs w:val="20"/>
              </w:rPr>
              <w:t>2019/</w:t>
            </w:r>
            <w:r>
              <w:rPr>
                <w:rFonts w:hint="eastAsia" w:ascii="宋体" w:hAnsi="宋体" w:cs="宋体"/>
                <w:color w:val="000000"/>
                <w:kern w:val="0"/>
                <w:sz w:val="20"/>
                <w:szCs w:val="20"/>
                <w:lang w:val="en-US" w:eastAsia="zh-CN"/>
              </w:rPr>
              <w:t>12</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13</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东北</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东北市场</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700</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cs="宋体"/>
                <w:color w:val="000000"/>
                <w:kern w:val="0"/>
                <w:sz w:val="20"/>
                <w:szCs w:val="20"/>
                <w:lang w:val="en-US"/>
              </w:rPr>
            </w:pPr>
            <w:r>
              <w:rPr>
                <w:rFonts w:hint="eastAsia" w:ascii="宋体" w:hAnsi="宋体" w:cs="宋体"/>
                <w:color w:val="000000"/>
                <w:kern w:val="0"/>
                <w:sz w:val="20"/>
                <w:szCs w:val="20"/>
                <w:lang w:val="en-US" w:eastAsia="zh-CN"/>
              </w:rPr>
              <w:t>850</w:t>
            </w:r>
          </w:p>
        </w:tc>
      </w:tr>
      <w:tr>
        <w:tblPrEx>
          <w:tblCellMar>
            <w:top w:w="0" w:type="dxa"/>
            <w:left w:w="108" w:type="dxa"/>
            <w:bottom w:w="0" w:type="dxa"/>
            <w:right w:w="108" w:type="dxa"/>
          </w:tblCellMar>
        </w:tblPrEx>
        <w:trPr>
          <w:trHeight w:val="255" w:hRule="atLeast"/>
        </w:trPr>
        <w:tc>
          <w:tcPr>
            <w:tcW w:w="1744" w:type="dxa"/>
            <w:tcBorders>
              <w:top w:val="nil"/>
              <w:left w:val="single" w:color="auto" w:sz="4" w:space="0"/>
              <w:bottom w:val="single" w:color="auto" w:sz="4" w:space="0"/>
              <w:right w:val="single" w:color="auto" w:sz="4" w:space="0"/>
            </w:tcBorders>
            <w:shd w:val="clear" w:color="000000" w:fill="FFFFFF"/>
            <w:vAlign w:val="top"/>
          </w:tcPr>
          <w:p>
            <w:pPr>
              <w:jc w:val="center"/>
              <w:rPr>
                <w:rFonts w:hint="default" w:eastAsia="宋体"/>
                <w:lang w:val="en-US" w:eastAsia="zh-CN"/>
              </w:rPr>
            </w:pPr>
            <w:r>
              <w:rPr>
                <w:rFonts w:hint="eastAsia" w:ascii="宋体" w:hAnsi="宋体" w:cs="宋体"/>
                <w:color w:val="000000"/>
                <w:kern w:val="0"/>
                <w:sz w:val="20"/>
                <w:szCs w:val="20"/>
              </w:rPr>
              <w:t>2019/</w:t>
            </w:r>
            <w:r>
              <w:rPr>
                <w:rFonts w:hint="eastAsia" w:ascii="宋体" w:hAnsi="宋体" w:cs="宋体"/>
                <w:color w:val="000000"/>
                <w:kern w:val="0"/>
                <w:sz w:val="20"/>
                <w:szCs w:val="20"/>
                <w:lang w:val="en-US" w:eastAsia="zh-CN"/>
              </w:rPr>
              <w:t>12</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13</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西北</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西北市场</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100</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10</w:t>
            </w:r>
            <w:r>
              <w:rPr>
                <w:rFonts w:hint="eastAsia" w:ascii="宋体" w:hAnsi="宋体" w:cs="宋体"/>
                <w:color w:val="000000"/>
                <w:kern w:val="0"/>
                <w:sz w:val="20"/>
                <w:szCs w:val="20"/>
              </w:rPr>
              <w:t>0</w:t>
            </w:r>
          </w:p>
        </w:tc>
      </w:tr>
    </w:tbl>
    <w:p>
      <w:pPr>
        <w:spacing w:line="400" w:lineRule="exact"/>
        <w:rPr>
          <w:rFonts w:cs="Times New Roman"/>
        </w:rPr>
      </w:pPr>
    </w:p>
    <w:p>
      <w:pPr>
        <w:spacing w:line="400" w:lineRule="exact"/>
        <w:rPr>
          <w:rFonts w:ascii="Arial" w:hAnsi="Arial" w:cs="Arial"/>
          <w:kern w:val="0"/>
        </w:rPr>
      </w:pPr>
    </w:p>
    <w:p>
      <w:pPr>
        <w:spacing w:line="400" w:lineRule="exact"/>
        <w:ind w:firstLine="1600" w:firstLineChars="400"/>
        <w:rPr>
          <w:rFonts w:ascii="方正粗宋简体" w:eastAsia="方正粗宋简体" w:cs="Times New Roman"/>
          <w:spacing w:val="20"/>
          <w:sz w:val="36"/>
          <w:szCs w:val="36"/>
        </w:rPr>
      </w:pPr>
      <w:r>
        <w:rPr>
          <w:rFonts w:hint="eastAsia" w:ascii="方正粗宋简体" w:eastAsia="方正粗宋简体" w:cs="方正粗宋简体"/>
          <w:spacing w:val="20"/>
          <w:sz w:val="36"/>
          <w:szCs w:val="36"/>
        </w:rPr>
        <w:t>更多精彩敬请关注：</w:t>
      </w:r>
      <w:r>
        <w:fldChar w:fldCharType="begin"/>
      </w:r>
      <w:r>
        <w:instrText xml:space="preserve"> HYPERLINK "http://www.chinaccm.com/" </w:instrText>
      </w:r>
      <w:r>
        <w:fldChar w:fldCharType="separate"/>
      </w:r>
      <w:r>
        <w:rPr>
          <w:rStyle w:val="16"/>
          <w:rFonts w:hint="eastAsia" w:ascii="方正粗宋简体" w:eastAsia="方正粗宋简体" w:cs="方正粗宋简体"/>
          <w:spacing w:val="20"/>
          <w:sz w:val="36"/>
          <w:szCs w:val="36"/>
        </w:rPr>
        <w:t>中华商务网</w:t>
      </w:r>
      <w:r>
        <w:rPr>
          <w:rStyle w:val="16"/>
          <w:rFonts w:hint="eastAsia" w:ascii="方正粗宋简体" w:eastAsia="方正粗宋简体" w:cs="方正粗宋简体"/>
          <w:spacing w:val="20"/>
          <w:sz w:val="36"/>
          <w:szCs w:val="36"/>
        </w:rPr>
        <w:fldChar w:fldCharType="end"/>
      </w:r>
    </w:p>
    <w:p>
      <w:pPr>
        <w:spacing w:line="400" w:lineRule="exact"/>
        <w:jc w:val="center"/>
        <w:rPr>
          <w:rFonts w:eastAsia="方正粗宋简体" w:cs="Times New Roman"/>
          <w:spacing w:val="20"/>
          <w:sz w:val="36"/>
          <w:szCs w:val="36"/>
        </w:rPr>
      </w:pPr>
      <w:r>
        <w:rPr>
          <w:rFonts w:hint="eastAsia" w:ascii="方正粗宋简体" w:eastAsia="方正粗宋简体" w:cs="方正粗宋简体"/>
          <w:spacing w:val="20"/>
          <w:sz w:val="36"/>
          <w:szCs w:val="36"/>
        </w:rPr>
        <w:t>返回本期目录</w:t>
      </w:r>
    </w:p>
    <w:sectPr>
      <w:headerReference r:id="rId3" w:type="default"/>
      <w:footerReference r:id="rId4" w:type="default"/>
      <w:pgSz w:w="11906" w:h="16838"/>
      <w:pgMar w:top="1418" w:right="1701" w:bottom="1418" w:left="1701"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粗宋简体">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b/>
        <w:bCs/>
      </w:rPr>
      <w:fldChar w:fldCharType="begin"/>
    </w:r>
    <w:r>
      <w:rPr>
        <w:b/>
        <w:bCs/>
      </w:rPr>
      <w:instrText xml:space="preserve">PAGE</w:instrText>
    </w:r>
    <w:r>
      <w:rPr>
        <w:b/>
        <w:bCs/>
      </w:rPr>
      <w:fldChar w:fldCharType="separate"/>
    </w:r>
    <w:r>
      <w:rPr>
        <w:b/>
        <w:bCs/>
      </w:rPr>
      <w:t>10</w:t>
    </w:r>
    <w:r>
      <w:rPr>
        <w:b/>
        <w:bCs/>
      </w:rPr>
      <w:fldChar w:fldCharType="end"/>
    </w:r>
    <w:r>
      <w:rPr>
        <w:lang w:val="zh-CN"/>
      </w:rPr>
      <w:t xml:space="preserve">/ </w:t>
    </w:r>
    <w:r>
      <w:rPr>
        <w:b/>
        <w:bCs/>
      </w:rPr>
      <w:fldChar w:fldCharType="begin"/>
    </w:r>
    <w:r>
      <w:rPr>
        <w:b/>
        <w:bCs/>
      </w:rPr>
      <w:instrText xml:space="preserve">NUMPAGES</w:instrText>
    </w:r>
    <w:r>
      <w:rPr>
        <w:b/>
        <w:bCs/>
      </w:rPr>
      <w:fldChar w:fldCharType="separate"/>
    </w:r>
    <w:r>
      <w:rPr>
        <w:b/>
        <w:bCs/>
      </w:rPr>
      <w:t>11</w:t>
    </w:r>
    <w:r>
      <w:rPr>
        <w:b/>
        <w:bCs/>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pPr>
    <w:r>
      <w:drawing>
        <wp:anchor distT="0" distB="0" distL="114300" distR="114300" simplePos="0" relativeHeight="251658240" behindDoc="1" locked="0" layoutInCell="1" allowOverlap="1">
          <wp:simplePos x="0" y="0"/>
          <wp:positionH relativeFrom="column">
            <wp:posOffset>-1068705</wp:posOffset>
          </wp:positionH>
          <wp:positionV relativeFrom="paragraph">
            <wp:posOffset>-492760</wp:posOffset>
          </wp:positionV>
          <wp:extent cx="7553325" cy="10696575"/>
          <wp:effectExtent l="19050" t="0" r="9525" b="0"/>
          <wp:wrapNone/>
          <wp:docPr id="1"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内页.jpg"/>
                  <pic:cNvPicPr>
                    <a:picLocks noChangeAspect="1" noChangeArrowheads="1"/>
                  </pic:cNvPicPr>
                </pic:nvPicPr>
                <pic:blipFill>
                  <a:blip r:embed="rId1"/>
                  <a:srcRect/>
                  <a:stretch>
                    <a:fillRect/>
                  </a:stretch>
                </pic:blipFill>
                <pic:spPr>
                  <a:xfrm>
                    <a:off x="0" y="0"/>
                    <a:ext cx="7553325" cy="10696575"/>
                  </a:xfrm>
                  <a:prstGeom prst="rect">
                    <a:avLst/>
                  </a:prstGeom>
                  <a:noFill/>
                </pic:spPr>
              </pic:pic>
            </a:graphicData>
          </a:graphic>
        </wp:anchor>
      </w:drawing>
    </w:r>
  </w:p>
  <w:p>
    <w:pPr>
      <w:pStyle w:val="8"/>
      <w:pBdr>
        <w:bottom w:val="none" w:color="auto" w:sz="0" w:space="0"/>
      </w:pBdr>
    </w:pPr>
  </w:p>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59B408"/>
    <w:multiLevelType w:val="singleLevel"/>
    <w:tmpl w:val="8E59B408"/>
    <w:lvl w:ilvl="0" w:tentative="0">
      <w:start w:val="2"/>
      <w:numFmt w:val="chineseCounting"/>
      <w:suff w:val="nothing"/>
      <w:lvlText w:val="%1、"/>
      <w:lvlJc w:val="left"/>
      <w:rPr>
        <w:rFonts w:hint="eastAsia"/>
      </w:rPr>
    </w:lvl>
  </w:abstractNum>
  <w:abstractNum w:abstractNumId="1">
    <w:nsid w:val="AA80BF45"/>
    <w:multiLevelType w:val="singleLevel"/>
    <w:tmpl w:val="AA80BF45"/>
    <w:lvl w:ilvl="0" w:tentative="0">
      <w:start w:val="1"/>
      <w:numFmt w:val="chineseCounting"/>
      <w:suff w:val="nothing"/>
      <w:lvlText w:val="%1、"/>
      <w:lvlJc w:val="left"/>
      <w:rPr>
        <w:rFonts w:hint="eastAsia"/>
      </w:rPr>
    </w:lvl>
  </w:abstractNum>
  <w:abstractNum w:abstractNumId="2">
    <w:nsid w:val="17A37270"/>
    <w:multiLevelType w:val="multilevel"/>
    <w:tmpl w:val="17A37270"/>
    <w:lvl w:ilvl="0" w:tentative="0">
      <w:start w:val="1"/>
      <w:numFmt w:val="japaneseCounting"/>
      <w:lvlText w:val="%1、"/>
      <w:lvlJc w:val="left"/>
      <w:pPr>
        <w:ind w:left="1320" w:hanging="720"/>
      </w:pPr>
      <w:rPr>
        <w:rFonts w:hint="default" w:cs="黑体"/>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013C8"/>
    <w:rsid w:val="00002CE3"/>
    <w:rsid w:val="000053FD"/>
    <w:rsid w:val="00010DB4"/>
    <w:rsid w:val="000112E5"/>
    <w:rsid w:val="000154EF"/>
    <w:rsid w:val="000161BE"/>
    <w:rsid w:val="00026A36"/>
    <w:rsid w:val="00034D9D"/>
    <w:rsid w:val="0004320C"/>
    <w:rsid w:val="00045C9C"/>
    <w:rsid w:val="00057044"/>
    <w:rsid w:val="00057676"/>
    <w:rsid w:val="0005772F"/>
    <w:rsid w:val="0006570B"/>
    <w:rsid w:val="00065726"/>
    <w:rsid w:val="00072E1F"/>
    <w:rsid w:val="00074455"/>
    <w:rsid w:val="0007741E"/>
    <w:rsid w:val="000833E8"/>
    <w:rsid w:val="000849A7"/>
    <w:rsid w:val="00084DF0"/>
    <w:rsid w:val="00085917"/>
    <w:rsid w:val="00086FC3"/>
    <w:rsid w:val="0009407D"/>
    <w:rsid w:val="00095266"/>
    <w:rsid w:val="00096A95"/>
    <w:rsid w:val="00097923"/>
    <w:rsid w:val="000A004B"/>
    <w:rsid w:val="000B13BE"/>
    <w:rsid w:val="000B43A4"/>
    <w:rsid w:val="000B7162"/>
    <w:rsid w:val="000C4607"/>
    <w:rsid w:val="000C72ED"/>
    <w:rsid w:val="000D1869"/>
    <w:rsid w:val="000D33D7"/>
    <w:rsid w:val="000D3DBE"/>
    <w:rsid w:val="000E1971"/>
    <w:rsid w:val="000E26FB"/>
    <w:rsid w:val="000E41C2"/>
    <w:rsid w:val="000F061D"/>
    <w:rsid w:val="000F4985"/>
    <w:rsid w:val="000F4BC2"/>
    <w:rsid w:val="000F582E"/>
    <w:rsid w:val="001055DB"/>
    <w:rsid w:val="00105BD3"/>
    <w:rsid w:val="00105C40"/>
    <w:rsid w:val="001078AB"/>
    <w:rsid w:val="00113EEE"/>
    <w:rsid w:val="001164A9"/>
    <w:rsid w:val="00120F03"/>
    <w:rsid w:val="00123320"/>
    <w:rsid w:val="0012620F"/>
    <w:rsid w:val="00135248"/>
    <w:rsid w:val="001364CB"/>
    <w:rsid w:val="00136A19"/>
    <w:rsid w:val="0014366D"/>
    <w:rsid w:val="0014784B"/>
    <w:rsid w:val="00153176"/>
    <w:rsid w:val="00154128"/>
    <w:rsid w:val="00161430"/>
    <w:rsid w:val="00163783"/>
    <w:rsid w:val="0016388A"/>
    <w:rsid w:val="0016559E"/>
    <w:rsid w:val="00180C42"/>
    <w:rsid w:val="00190ADA"/>
    <w:rsid w:val="00192B10"/>
    <w:rsid w:val="001A10C8"/>
    <w:rsid w:val="001A49CA"/>
    <w:rsid w:val="001A5B29"/>
    <w:rsid w:val="001A5B52"/>
    <w:rsid w:val="001B0C21"/>
    <w:rsid w:val="001B1452"/>
    <w:rsid w:val="001B3397"/>
    <w:rsid w:val="001C20CD"/>
    <w:rsid w:val="001C42B0"/>
    <w:rsid w:val="001C4856"/>
    <w:rsid w:val="001C4858"/>
    <w:rsid w:val="001D3943"/>
    <w:rsid w:val="001D4D78"/>
    <w:rsid w:val="001E070F"/>
    <w:rsid w:val="001E158A"/>
    <w:rsid w:val="001E24A4"/>
    <w:rsid w:val="001E29F8"/>
    <w:rsid w:val="001E2FFF"/>
    <w:rsid w:val="001E5FA6"/>
    <w:rsid w:val="001E6FCE"/>
    <w:rsid w:val="001F103D"/>
    <w:rsid w:val="001F13A5"/>
    <w:rsid w:val="001F200E"/>
    <w:rsid w:val="001F2855"/>
    <w:rsid w:val="001F3EA0"/>
    <w:rsid w:val="001F633B"/>
    <w:rsid w:val="001F66E4"/>
    <w:rsid w:val="001F7A1C"/>
    <w:rsid w:val="00204238"/>
    <w:rsid w:val="00210AE7"/>
    <w:rsid w:val="00220AF1"/>
    <w:rsid w:val="00222BDD"/>
    <w:rsid w:val="0022387E"/>
    <w:rsid w:val="0022444B"/>
    <w:rsid w:val="00230B31"/>
    <w:rsid w:val="00234B30"/>
    <w:rsid w:val="0023620E"/>
    <w:rsid w:val="002378AC"/>
    <w:rsid w:val="00237D68"/>
    <w:rsid w:val="00237DF9"/>
    <w:rsid w:val="00240A04"/>
    <w:rsid w:val="00243FEA"/>
    <w:rsid w:val="002444B7"/>
    <w:rsid w:val="00244AC5"/>
    <w:rsid w:val="00252D6D"/>
    <w:rsid w:val="002545A5"/>
    <w:rsid w:val="00257E3C"/>
    <w:rsid w:val="002636AD"/>
    <w:rsid w:val="00266C25"/>
    <w:rsid w:val="0027124C"/>
    <w:rsid w:val="002712B6"/>
    <w:rsid w:val="002728D7"/>
    <w:rsid w:val="00273011"/>
    <w:rsid w:val="00277D27"/>
    <w:rsid w:val="00277D2C"/>
    <w:rsid w:val="002831C3"/>
    <w:rsid w:val="0028492A"/>
    <w:rsid w:val="002854EB"/>
    <w:rsid w:val="00292924"/>
    <w:rsid w:val="002970A0"/>
    <w:rsid w:val="002A3052"/>
    <w:rsid w:val="002A3F05"/>
    <w:rsid w:val="002A4958"/>
    <w:rsid w:val="002B0DE2"/>
    <w:rsid w:val="002B37BA"/>
    <w:rsid w:val="002B425B"/>
    <w:rsid w:val="002B7C0C"/>
    <w:rsid w:val="002C0194"/>
    <w:rsid w:val="002C3A87"/>
    <w:rsid w:val="002C5DD5"/>
    <w:rsid w:val="002C6A4E"/>
    <w:rsid w:val="002D01CD"/>
    <w:rsid w:val="002D67FA"/>
    <w:rsid w:val="002E11E0"/>
    <w:rsid w:val="002E3DB4"/>
    <w:rsid w:val="002E4AEB"/>
    <w:rsid w:val="002F1450"/>
    <w:rsid w:val="002F750E"/>
    <w:rsid w:val="0030711E"/>
    <w:rsid w:val="00312DC6"/>
    <w:rsid w:val="0031346C"/>
    <w:rsid w:val="00317D90"/>
    <w:rsid w:val="00322DF7"/>
    <w:rsid w:val="00323B86"/>
    <w:rsid w:val="00325D41"/>
    <w:rsid w:val="003332DC"/>
    <w:rsid w:val="00344BEC"/>
    <w:rsid w:val="0034603D"/>
    <w:rsid w:val="003462AE"/>
    <w:rsid w:val="003503A7"/>
    <w:rsid w:val="00350C00"/>
    <w:rsid w:val="00356333"/>
    <w:rsid w:val="00361079"/>
    <w:rsid w:val="003625BB"/>
    <w:rsid w:val="003626D2"/>
    <w:rsid w:val="00365AAF"/>
    <w:rsid w:val="0036609F"/>
    <w:rsid w:val="003707D9"/>
    <w:rsid w:val="00373679"/>
    <w:rsid w:val="00375D35"/>
    <w:rsid w:val="0037795E"/>
    <w:rsid w:val="0038128C"/>
    <w:rsid w:val="00383FE2"/>
    <w:rsid w:val="00384728"/>
    <w:rsid w:val="003849D1"/>
    <w:rsid w:val="00384E33"/>
    <w:rsid w:val="00387F03"/>
    <w:rsid w:val="0039401A"/>
    <w:rsid w:val="003A0AB2"/>
    <w:rsid w:val="003A331B"/>
    <w:rsid w:val="003B15E0"/>
    <w:rsid w:val="003B58B8"/>
    <w:rsid w:val="003B64C7"/>
    <w:rsid w:val="003B7808"/>
    <w:rsid w:val="003C0792"/>
    <w:rsid w:val="003D13FD"/>
    <w:rsid w:val="003D4003"/>
    <w:rsid w:val="003D6138"/>
    <w:rsid w:val="003E1A1D"/>
    <w:rsid w:val="003E67E3"/>
    <w:rsid w:val="003E79A5"/>
    <w:rsid w:val="003F31AD"/>
    <w:rsid w:val="003F5A2E"/>
    <w:rsid w:val="003F7207"/>
    <w:rsid w:val="00404EBF"/>
    <w:rsid w:val="00405BA5"/>
    <w:rsid w:val="00407D4B"/>
    <w:rsid w:val="00411CC6"/>
    <w:rsid w:val="00412C07"/>
    <w:rsid w:val="004143B0"/>
    <w:rsid w:val="00415F5A"/>
    <w:rsid w:val="00416039"/>
    <w:rsid w:val="004203C1"/>
    <w:rsid w:val="00420B7E"/>
    <w:rsid w:val="00420C59"/>
    <w:rsid w:val="00421767"/>
    <w:rsid w:val="0042197D"/>
    <w:rsid w:val="00422CED"/>
    <w:rsid w:val="00423EC4"/>
    <w:rsid w:val="004257BC"/>
    <w:rsid w:val="00427C92"/>
    <w:rsid w:val="00433B13"/>
    <w:rsid w:val="00433DB4"/>
    <w:rsid w:val="004379B7"/>
    <w:rsid w:val="00444981"/>
    <w:rsid w:val="004450A9"/>
    <w:rsid w:val="00446F72"/>
    <w:rsid w:val="00454B72"/>
    <w:rsid w:val="0045664F"/>
    <w:rsid w:val="00456670"/>
    <w:rsid w:val="00466F83"/>
    <w:rsid w:val="00467D8A"/>
    <w:rsid w:val="00472BB7"/>
    <w:rsid w:val="00475F92"/>
    <w:rsid w:val="00482EAC"/>
    <w:rsid w:val="0048308D"/>
    <w:rsid w:val="00486295"/>
    <w:rsid w:val="00486621"/>
    <w:rsid w:val="00486BF4"/>
    <w:rsid w:val="0049002D"/>
    <w:rsid w:val="00491A4E"/>
    <w:rsid w:val="00493DEF"/>
    <w:rsid w:val="0049446C"/>
    <w:rsid w:val="004954AD"/>
    <w:rsid w:val="004954D8"/>
    <w:rsid w:val="004B0CDC"/>
    <w:rsid w:val="004B3E19"/>
    <w:rsid w:val="004B63A7"/>
    <w:rsid w:val="004B7BA6"/>
    <w:rsid w:val="004C2399"/>
    <w:rsid w:val="004C5799"/>
    <w:rsid w:val="004C76E1"/>
    <w:rsid w:val="004D0C5E"/>
    <w:rsid w:val="004D32D7"/>
    <w:rsid w:val="004D773F"/>
    <w:rsid w:val="004D7C15"/>
    <w:rsid w:val="004E044E"/>
    <w:rsid w:val="004E128B"/>
    <w:rsid w:val="004E3C75"/>
    <w:rsid w:val="004E73EE"/>
    <w:rsid w:val="004E7B26"/>
    <w:rsid w:val="004F1861"/>
    <w:rsid w:val="004F3262"/>
    <w:rsid w:val="004F76E6"/>
    <w:rsid w:val="00500399"/>
    <w:rsid w:val="0050040A"/>
    <w:rsid w:val="005020F8"/>
    <w:rsid w:val="00505022"/>
    <w:rsid w:val="005060EF"/>
    <w:rsid w:val="00506FA1"/>
    <w:rsid w:val="00507CF3"/>
    <w:rsid w:val="00513273"/>
    <w:rsid w:val="00514979"/>
    <w:rsid w:val="005203DB"/>
    <w:rsid w:val="00523E89"/>
    <w:rsid w:val="005270C8"/>
    <w:rsid w:val="0053120E"/>
    <w:rsid w:val="0053159E"/>
    <w:rsid w:val="0053365B"/>
    <w:rsid w:val="005337DE"/>
    <w:rsid w:val="00537D9E"/>
    <w:rsid w:val="00543B15"/>
    <w:rsid w:val="00553BB2"/>
    <w:rsid w:val="0056058C"/>
    <w:rsid w:val="005641D1"/>
    <w:rsid w:val="00565264"/>
    <w:rsid w:val="0057264B"/>
    <w:rsid w:val="0057406A"/>
    <w:rsid w:val="005806E8"/>
    <w:rsid w:val="005808B0"/>
    <w:rsid w:val="00582D5D"/>
    <w:rsid w:val="00583120"/>
    <w:rsid w:val="005845E2"/>
    <w:rsid w:val="00596F7F"/>
    <w:rsid w:val="005A17DA"/>
    <w:rsid w:val="005A3CE4"/>
    <w:rsid w:val="005A4B57"/>
    <w:rsid w:val="005A7F2C"/>
    <w:rsid w:val="005B0FEB"/>
    <w:rsid w:val="005B4468"/>
    <w:rsid w:val="005B7361"/>
    <w:rsid w:val="005B7EF1"/>
    <w:rsid w:val="005C08DC"/>
    <w:rsid w:val="005C2914"/>
    <w:rsid w:val="005C2CDA"/>
    <w:rsid w:val="005C64CC"/>
    <w:rsid w:val="005C6A97"/>
    <w:rsid w:val="005D007D"/>
    <w:rsid w:val="005D0F14"/>
    <w:rsid w:val="005D4AC0"/>
    <w:rsid w:val="005E040B"/>
    <w:rsid w:val="005E2B07"/>
    <w:rsid w:val="005E2EA6"/>
    <w:rsid w:val="005F08A1"/>
    <w:rsid w:val="005F0F47"/>
    <w:rsid w:val="005F3B12"/>
    <w:rsid w:val="005F4E29"/>
    <w:rsid w:val="005F638F"/>
    <w:rsid w:val="005F6651"/>
    <w:rsid w:val="005F6FE0"/>
    <w:rsid w:val="005F7C84"/>
    <w:rsid w:val="005F7FA9"/>
    <w:rsid w:val="0060433C"/>
    <w:rsid w:val="0060727C"/>
    <w:rsid w:val="00611B81"/>
    <w:rsid w:val="00636747"/>
    <w:rsid w:val="006405B5"/>
    <w:rsid w:val="00642549"/>
    <w:rsid w:val="00647952"/>
    <w:rsid w:val="00650ED7"/>
    <w:rsid w:val="00653539"/>
    <w:rsid w:val="00656C22"/>
    <w:rsid w:val="00663B7D"/>
    <w:rsid w:val="00664441"/>
    <w:rsid w:val="006663D0"/>
    <w:rsid w:val="006721AE"/>
    <w:rsid w:val="00673444"/>
    <w:rsid w:val="00674179"/>
    <w:rsid w:val="00674239"/>
    <w:rsid w:val="006752F3"/>
    <w:rsid w:val="00682577"/>
    <w:rsid w:val="0069452D"/>
    <w:rsid w:val="00695E33"/>
    <w:rsid w:val="00696EDF"/>
    <w:rsid w:val="0069725C"/>
    <w:rsid w:val="00697663"/>
    <w:rsid w:val="006A02D9"/>
    <w:rsid w:val="006A08B4"/>
    <w:rsid w:val="006A1E67"/>
    <w:rsid w:val="006A224F"/>
    <w:rsid w:val="006B06FF"/>
    <w:rsid w:val="006B3B80"/>
    <w:rsid w:val="006B3FA3"/>
    <w:rsid w:val="006B5764"/>
    <w:rsid w:val="006B5ECD"/>
    <w:rsid w:val="006B637D"/>
    <w:rsid w:val="006B7E7C"/>
    <w:rsid w:val="006C2EE4"/>
    <w:rsid w:val="006C3B06"/>
    <w:rsid w:val="006C3F53"/>
    <w:rsid w:val="006C43CA"/>
    <w:rsid w:val="006C5409"/>
    <w:rsid w:val="006D003B"/>
    <w:rsid w:val="006D1855"/>
    <w:rsid w:val="006D37BF"/>
    <w:rsid w:val="006E0A38"/>
    <w:rsid w:val="006E0B28"/>
    <w:rsid w:val="006E6D87"/>
    <w:rsid w:val="006F134F"/>
    <w:rsid w:val="00700544"/>
    <w:rsid w:val="00702144"/>
    <w:rsid w:val="00702423"/>
    <w:rsid w:val="007135D7"/>
    <w:rsid w:val="0071409C"/>
    <w:rsid w:val="007151B5"/>
    <w:rsid w:val="007154FE"/>
    <w:rsid w:val="00720C71"/>
    <w:rsid w:val="0072188E"/>
    <w:rsid w:val="0072434B"/>
    <w:rsid w:val="0072549A"/>
    <w:rsid w:val="007260DF"/>
    <w:rsid w:val="0072776C"/>
    <w:rsid w:val="0073241A"/>
    <w:rsid w:val="00734F14"/>
    <w:rsid w:val="00737C28"/>
    <w:rsid w:val="00740DDF"/>
    <w:rsid w:val="00741EF7"/>
    <w:rsid w:val="00745B76"/>
    <w:rsid w:val="00750DEB"/>
    <w:rsid w:val="0075263D"/>
    <w:rsid w:val="007564ED"/>
    <w:rsid w:val="007619F9"/>
    <w:rsid w:val="00761E5C"/>
    <w:rsid w:val="007642A5"/>
    <w:rsid w:val="00764918"/>
    <w:rsid w:val="00766A49"/>
    <w:rsid w:val="0076752D"/>
    <w:rsid w:val="00770753"/>
    <w:rsid w:val="007731FD"/>
    <w:rsid w:val="00773E14"/>
    <w:rsid w:val="00774768"/>
    <w:rsid w:val="00774E6C"/>
    <w:rsid w:val="00775A5B"/>
    <w:rsid w:val="00776665"/>
    <w:rsid w:val="007801FD"/>
    <w:rsid w:val="00783C73"/>
    <w:rsid w:val="007859E5"/>
    <w:rsid w:val="00787A5E"/>
    <w:rsid w:val="007935DB"/>
    <w:rsid w:val="007A141A"/>
    <w:rsid w:val="007A167E"/>
    <w:rsid w:val="007A223B"/>
    <w:rsid w:val="007A339C"/>
    <w:rsid w:val="007A5962"/>
    <w:rsid w:val="007A6F27"/>
    <w:rsid w:val="007B1517"/>
    <w:rsid w:val="007B5EC4"/>
    <w:rsid w:val="007C32F6"/>
    <w:rsid w:val="007C5699"/>
    <w:rsid w:val="007D29D0"/>
    <w:rsid w:val="007D6B00"/>
    <w:rsid w:val="007E0972"/>
    <w:rsid w:val="007E0F08"/>
    <w:rsid w:val="007E21DF"/>
    <w:rsid w:val="007E3FCF"/>
    <w:rsid w:val="007E6632"/>
    <w:rsid w:val="007F1C52"/>
    <w:rsid w:val="007F2624"/>
    <w:rsid w:val="007F4D63"/>
    <w:rsid w:val="008007E4"/>
    <w:rsid w:val="008074F4"/>
    <w:rsid w:val="008125AA"/>
    <w:rsid w:val="008144B6"/>
    <w:rsid w:val="00815E03"/>
    <w:rsid w:val="0082114E"/>
    <w:rsid w:val="00822A25"/>
    <w:rsid w:val="00824742"/>
    <w:rsid w:val="00824FA2"/>
    <w:rsid w:val="00831C9E"/>
    <w:rsid w:val="008342A1"/>
    <w:rsid w:val="00842CA3"/>
    <w:rsid w:val="00846284"/>
    <w:rsid w:val="00850EDB"/>
    <w:rsid w:val="00851423"/>
    <w:rsid w:val="00863F79"/>
    <w:rsid w:val="00864D7D"/>
    <w:rsid w:val="00865BDE"/>
    <w:rsid w:val="0087043F"/>
    <w:rsid w:val="0087619A"/>
    <w:rsid w:val="00885B66"/>
    <w:rsid w:val="00885E16"/>
    <w:rsid w:val="0089028B"/>
    <w:rsid w:val="00892DB9"/>
    <w:rsid w:val="00892F48"/>
    <w:rsid w:val="00892F70"/>
    <w:rsid w:val="0089332E"/>
    <w:rsid w:val="008A450F"/>
    <w:rsid w:val="008A670B"/>
    <w:rsid w:val="008B7EB0"/>
    <w:rsid w:val="008C0312"/>
    <w:rsid w:val="008C17FA"/>
    <w:rsid w:val="008C26E2"/>
    <w:rsid w:val="008C28FC"/>
    <w:rsid w:val="008D073F"/>
    <w:rsid w:val="008D4155"/>
    <w:rsid w:val="008D4780"/>
    <w:rsid w:val="008D7D72"/>
    <w:rsid w:val="008E3A8F"/>
    <w:rsid w:val="008E5DCD"/>
    <w:rsid w:val="008F10C3"/>
    <w:rsid w:val="008F1168"/>
    <w:rsid w:val="008F2440"/>
    <w:rsid w:val="008F3C41"/>
    <w:rsid w:val="008F6424"/>
    <w:rsid w:val="008F6D7F"/>
    <w:rsid w:val="008F7717"/>
    <w:rsid w:val="009012E8"/>
    <w:rsid w:val="009022E7"/>
    <w:rsid w:val="00914930"/>
    <w:rsid w:val="00915028"/>
    <w:rsid w:val="0091563D"/>
    <w:rsid w:val="0091594B"/>
    <w:rsid w:val="00915F8E"/>
    <w:rsid w:val="00917402"/>
    <w:rsid w:val="00917719"/>
    <w:rsid w:val="00921AD3"/>
    <w:rsid w:val="00927579"/>
    <w:rsid w:val="00927582"/>
    <w:rsid w:val="00927A24"/>
    <w:rsid w:val="00933A2A"/>
    <w:rsid w:val="00934CB5"/>
    <w:rsid w:val="00936C2E"/>
    <w:rsid w:val="00937BDF"/>
    <w:rsid w:val="009408F7"/>
    <w:rsid w:val="009410E0"/>
    <w:rsid w:val="00944FE5"/>
    <w:rsid w:val="0094505E"/>
    <w:rsid w:val="00945E43"/>
    <w:rsid w:val="00951818"/>
    <w:rsid w:val="009636D6"/>
    <w:rsid w:val="0096603F"/>
    <w:rsid w:val="0097234A"/>
    <w:rsid w:val="0097588D"/>
    <w:rsid w:val="00975E1F"/>
    <w:rsid w:val="0098318F"/>
    <w:rsid w:val="00985AB5"/>
    <w:rsid w:val="00986800"/>
    <w:rsid w:val="00987611"/>
    <w:rsid w:val="00990249"/>
    <w:rsid w:val="00993180"/>
    <w:rsid w:val="00994DAD"/>
    <w:rsid w:val="009A11CE"/>
    <w:rsid w:val="009A59EE"/>
    <w:rsid w:val="009A5F44"/>
    <w:rsid w:val="009B48C6"/>
    <w:rsid w:val="009B641F"/>
    <w:rsid w:val="009B7481"/>
    <w:rsid w:val="009C2D4D"/>
    <w:rsid w:val="009C625C"/>
    <w:rsid w:val="009C65CE"/>
    <w:rsid w:val="009D072C"/>
    <w:rsid w:val="009D2716"/>
    <w:rsid w:val="009E04BE"/>
    <w:rsid w:val="009E3765"/>
    <w:rsid w:val="009E450F"/>
    <w:rsid w:val="009E57C4"/>
    <w:rsid w:val="009F531E"/>
    <w:rsid w:val="009F6A41"/>
    <w:rsid w:val="00A0531F"/>
    <w:rsid w:val="00A0658F"/>
    <w:rsid w:val="00A06602"/>
    <w:rsid w:val="00A10EAD"/>
    <w:rsid w:val="00A12A78"/>
    <w:rsid w:val="00A13E5A"/>
    <w:rsid w:val="00A13F55"/>
    <w:rsid w:val="00A1633B"/>
    <w:rsid w:val="00A17FAC"/>
    <w:rsid w:val="00A23F31"/>
    <w:rsid w:val="00A244F2"/>
    <w:rsid w:val="00A27328"/>
    <w:rsid w:val="00A3138F"/>
    <w:rsid w:val="00A31F3B"/>
    <w:rsid w:val="00A34650"/>
    <w:rsid w:val="00A36214"/>
    <w:rsid w:val="00A424D6"/>
    <w:rsid w:val="00A4587B"/>
    <w:rsid w:val="00A52C76"/>
    <w:rsid w:val="00A52EE9"/>
    <w:rsid w:val="00A63A78"/>
    <w:rsid w:val="00A64EA0"/>
    <w:rsid w:val="00A700B3"/>
    <w:rsid w:val="00A74680"/>
    <w:rsid w:val="00A82147"/>
    <w:rsid w:val="00A842A6"/>
    <w:rsid w:val="00A8638B"/>
    <w:rsid w:val="00A914AA"/>
    <w:rsid w:val="00AA20B6"/>
    <w:rsid w:val="00AA4C1F"/>
    <w:rsid w:val="00AA57D9"/>
    <w:rsid w:val="00AA5889"/>
    <w:rsid w:val="00AB03F0"/>
    <w:rsid w:val="00AB1C0A"/>
    <w:rsid w:val="00AB48D2"/>
    <w:rsid w:val="00AB5851"/>
    <w:rsid w:val="00AB6505"/>
    <w:rsid w:val="00AC0BBE"/>
    <w:rsid w:val="00AC2F5A"/>
    <w:rsid w:val="00AD43FE"/>
    <w:rsid w:val="00AD4573"/>
    <w:rsid w:val="00AD5A9D"/>
    <w:rsid w:val="00AD6808"/>
    <w:rsid w:val="00AE0A18"/>
    <w:rsid w:val="00AE3F8C"/>
    <w:rsid w:val="00AE5DE8"/>
    <w:rsid w:val="00AF0F65"/>
    <w:rsid w:val="00AF20FE"/>
    <w:rsid w:val="00AF25E1"/>
    <w:rsid w:val="00AF5BF1"/>
    <w:rsid w:val="00B049BC"/>
    <w:rsid w:val="00B05414"/>
    <w:rsid w:val="00B05606"/>
    <w:rsid w:val="00B1158A"/>
    <w:rsid w:val="00B11A21"/>
    <w:rsid w:val="00B142A2"/>
    <w:rsid w:val="00B17B07"/>
    <w:rsid w:val="00B20CBC"/>
    <w:rsid w:val="00B260C3"/>
    <w:rsid w:val="00B34D11"/>
    <w:rsid w:val="00B40A83"/>
    <w:rsid w:val="00B46E60"/>
    <w:rsid w:val="00B51A50"/>
    <w:rsid w:val="00B52C30"/>
    <w:rsid w:val="00B5300C"/>
    <w:rsid w:val="00B5325A"/>
    <w:rsid w:val="00B60F55"/>
    <w:rsid w:val="00B6114B"/>
    <w:rsid w:val="00B63456"/>
    <w:rsid w:val="00B66A74"/>
    <w:rsid w:val="00B67096"/>
    <w:rsid w:val="00B734BA"/>
    <w:rsid w:val="00B7594B"/>
    <w:rsid w:val="00B83020"/>
    <w:rsid w:val="00B90A51"/>
    <w:rsid w:val="00B90D4A"/>
    <w:rsid w:val="00B93CDD"/>
    <w:rsid w:val="00B95C6E"/>
    <w:rsid w:val="00BA71BD"/>
    <w:rsid w:val="00BA7BA1"/>
    <w:rsid w:val="00BA7D07"/>
    <w:rsid w:val="00BB16E1"/>
    <w:rsid w:val="00BB2918"/>
    <w:rsid w:val="00BB3E08"/>
    <w:rsid w:val="00BC3627"/>
    <w:rsid w:val="00BC5BD7"/>
    <w:rsid w:val="00BC67F8"/>
    <w:rsid w:val="00BC69B0"/>
    <w:rsid w:val="00BD3D76"/>
    <w:rsid w:val="00BD6104"/>
    <w:rsid w:val="00BD7667"/>
    <w:rsid w:val="00BE1352"/>
    <w:rsid w:val="00BE2C34"/>
    <w:rsid w:val="00BE38E4"/>
    <w:rsid w:val="00BE642F"/>
    <w:rsid w:val="00BE7A8B"/>
    <w:rsid w:val="00BF0ECD"/>
    <w:rsid w:val="00BF454B"/>
    <w:rsid w:val="00BF7D26"/>
    <w:rsid w:val="00C017FE"/>
    <w:rsid w:val="00C02268"/>
    <w:rsid w:val="00C04852"/>
    <w:rsid w:val="00C10F0C"/>
    <w:rsid w:val="00C11F61"/>
    <w:rsid w:val="00C1328E"/>
    <w:rsid w:val="00C13A91"/>
    <w:rsid w:val="00C15291"/>
    <w:rsid w:val="00C153B1"/>
    <w:rsid w:val="00C20132"/>
    <w:rsid w:val="00C23B49"/>
    <w:rsid w:val="00C27C8E"/>
    <w:rsid w:val="00C31207"/>
    <w:rsid w:val="00C328A4"/>
    <w:rsid w:val="00C34791"/>
    <w:rsid w:val="00C378FA"/>
    <w:rsid w:val="00C412D4"/>
    <w:rsid w:val="00C41E7F"/>
    <w:rsid w:val="00C44B07"/>
    <w:rsid w:val="00C4540B"/>
    <w:rsid w:val="00C47C2A"/>
    <w:rsid w:val="00C5055D"/>
    <w:rsid w:val="00C514C7"/>
    <w:rsid w:val="00C51686"/>
    <w:rsid w:val="00C52912"/>
    <w:rsid w:val="00C52E4F"/>
    <w:rsid w:val="00C5446B"/>
    <w:rsid w:val="00C60172"/>
    <w:rsid w:val="00C61ECF"/>
    <w:rsid w:val="00C632D9"/>
    <w:rsid w:val="00C6616D"/>
    <w:rsid w:val="00C70AD6"/>
    <w:rsid w:val="00C76BD7"/>
    <w:rsid w:val="00C8000C"/>
    <w:rsid w:val="00C83A27"/>
    <w:rsid w:val="00C9137A"/>
    <w:rsid w:val="00C91F22"/>
    <w:rsid w:val="00C96363"/>
    <w:rsid w:val="00CA1673"/>
    <w:rsid w:val="00CA4CC2"/>
    <w:rsid w:val="00CA777D"/>
    <w:rsid w:val="00CB0F82"/>
    <w:rsid w:val="00CB4193"/>
    <w:rsid w:val="00CD3BAF"/>
    <w:rsid w:val="00CD4DE4"/>
    <w:rsid w:val="00CF2A3C"/>
    <w:rsid w:val="00CF307C"/>
    <w:rsid w:val="00CF39CD"/>
    <w:rsid w:val="00CF43F8"/>
    <w:rsid w:val="00CF4E40"/>
    <w:rsid w:val="00CF5611"/>
    <w:rsid w:val="00D00A08"/>
    <w:rsid w:val="00D013C8"/>
    <w:rsid w:val="00D03ED4"/>
    <w:rsid w:val="00D043E7"/>
    <w:rsid w:val="00D0593E"/>
    <w:rsid w:val="00D116BB"/>
    <w:rsid w:val="00D14E9C"/>
    <w:rsid w:val="00D205C2"/>
    <w:rsid w:val="00D22E99"/>
    <w:rsid w:val="00D23F9B"/>
    <w:rsid w:val="00D24CD9"/>
    <w:rsid w:val="00D257E5"/>
    <w:rsid w:val="00D27BAE"/>
    <w:rsid w:val="00D32A4D"/>
    <w:rsid w:val="00D36CAE"/>
    <w:rsid w:val="00D36EF5"/>
    <w:rsid w:val="00D3773D"/>
    <w:rsid w:val="00D431F2"/>
    <w:rsid w:val="00D47173"/>
    <w:rsid w:val="00D50CC7"/>
    <w:rsid w:val="00D5399D"/>
    <w:rsid w:val="00D72263"/>
    <w:rsid w:val="00D726A4"/>
    <w:rsid w:val="00D73706"/>
    <w:rsid w:val="00D76C80"/>
    <w:rsid w:val="00D839AE"/>
    <w:rsid w:val="00D865B9"/>
    <w:rsid w:val="00D86AD0"/>
    <w:rsid w:val="00D93F80"/>
    <w:rsid w:val="00D9559B"/>
    <w:rsid w:val="00D96DE5"/>
    <w:rsid w:val="00DA2865"/>
    <w:rsid w:val="00DA39CD"/>
    <w:rsid w:val="00DA5671"/>
    <w:rsid w:val="00DA66D7"/>
    <w:rsid w:val="00DB70BA"/>
    <w:rsid w:val="00DB7174"/>
    <w:rsid w:val="00DD0254"/>
    <w:rsid w:val="00DD0617"/>
    <w:rsid w:val="00DE0831"/>
    <w:rsid w:val="00DE08B6"/>
    <w:rsid w:val="00DE1E51"/>
    <w:rsid w:val="00DE1FB5"/>
    <w:rsid w:val="00DE27B8"/>
    <w:rsid w:val="00DE45DF"/>
    <w:rsid w:val="00DE583F"/>
    <w:rsid w:val="00DE5E9E"/>
    <w:rsid w:val="00DE7324"/>
    <w:rsid w:val="00E0152D"/>
    <w:rsid w:val="00E075D9"/>
    <w:rsid w:val="00E141AC"/>
    <w:rsid w:val="00E14507"/>
    <w:rsid w:val="00E16F09"/>
    <w:rsid w:val="00E26B1F"/>
    <w:rsid w:val="00E403E5"/>
    <w:rsid w:val="00E40936"/>
    <w:rsid w:val="00E4253D"/>
    <w:rsid w:val="00E45DBB"/>
    <w:rsid w:val="00E50F72"/>
    <w:rsid w:val="00E51CFA"/>
    <w:rsid w:val="00E51E94"/>
    <w:rsid w:val="00E53C80"/>
    <w:rsid w:val="00E54662"/>
    <w:rsid w:val="00E54C5D"/>
    <w:rsid w:val="00E55032"/>
    <w:rsid w:val="00E6203C"/>
    <w:rsid w:val="00E679A7"/>
    <w:rsid w:val="00E70F83"/>
    <w:rsid w:val="00E7238F"/>
    <w:rsid w:val="00E7364E"/>
    <w:rsid w:val="00E74E3E"/>
    <w:rsid w:val="00E81B53"/>
    <w:rsid w:val="00E82CFA"/>
    <w:rsid w:val="00E83A76"/>
    <w:rsid w:val="00E86451"/>
    <w:rsid w:val="00E86E39"/>
    <w:rsid w:val="00E872DE"/>
    <w:rsid w:val="00E90807"/>
    <w:rsid w:val="00E9158D"/>
    <w:rsid w:val="00E92017"/>
    <w:rsid w:val="00E92B36"/>
    <w:rsid w:val="00E92DD7"/>
    <w:rsid w:val="00E94998"/>
    <w:rsid w:val="00E952E4"/>
    <w:rsid w:val="00EA18E3"/>
    <w:rsid w:val="00EA260C"/>
    <w:rsid w:val="00EA656B"/>
    <w:rsid w:val="00EB014D"/>
    <w:rsid w:val="00EB11AE"/>
    <w:rsid w:val="00EB31D2"/>
    <w:rsid w:val="00EC0F19"/>
    <w:rsid w:val="00EC2277"/>
    <w:rsid w:val="00EC6DA6"/>
    <w:rsid w:val="00EC7C2F"/>
    <w:rsid w:val="00EC7F7C"/>
    <w:rsid w:val="00ED12C0"/>
    <w:rsid w:val="00ED13BF"/>
    <w:rsid w:val="00ED16F7"/>
    <w:rsid w:val="00ED7695"/>
    <w:rsid w:val="00EE0015"/>
    <w:rsid w:val="00EE164B"/>
    <w:rsid w:val="00EE7804"/>
    <w:rsid w:val="00F0287F"/>
    <w:rsid w:val="00F0655A"/>
    <w:rsid w:val="00F11086"/>
    <w:rsid w:val="00F122BB"/>
    <w:rsid w:val="00F21A41"/>
    <w:rsid w:val="00F22F19"/>
    <w:rsid w:val="00F25810"/>
    <w:rsid w:val="00F331BE"/>
    <w:rsid w:val="00F4062B"/>
    <w:rsid w:val="00F40B0F"/>
    <w:rsid w:val="00F41922"/>
    <w:rsid w:val="00F4206D"/>
    <w:rsid w:val="00F421B4"/>
    <w:rsid w:val="00F50E9F"/>
    <w:rsid w:val="00F52099"/>
    <w:rsid w:val="00F56B77"/>
    <w:rsid w:val="00F5736E"/>
    <w:rsid w:val="00F5787A"/>
    <w:rsid w:val="00F60A0A"/>
    <w:rsid w:val="00F61DEB"/>
    <w:rsid w:val="00F66669"/>
    <w:rsid w:val="00F708E1"/>
    <w:rsid w:val="00F70E4F"/>
    <w:rsid w:val="00F76CD7"/>
    <w:rsid w:val="00F77473"/>
    <w:rsid w:val="00F800D5"/>
    <w:rsid w:val="00F87861"/>
    <w:rsid w:val="00F91123"/>
    <w:rsid w:val="00F91E8D"/>
    <w:rsid w:val="00F93826"/>
    <w:rsid w:val="00F974D5"/>
    <w:rsid w:val="00F97DAE"/>
    <w:rsid w:val="00FA2047"/>
    <w:rsid w:val="00FA6490"/>
    <w:rsid w:val="00FB164A"/>
    <w:rsid w:val="00FB1EDD"/>
    <w:rsid w:val="00FB3554"/>
    <w:rsid w:val="00FB54E9"/>
    <w:rsid w:val="00FB718A"/>
    <w:rsid w:val="00FC26DE"/>
    <w:rsid w:val="00FD138F"/>
    <w:rsid w:val="00FD366D"/>
    <w:rsid w:val="00FD61D3"/>
    <w:rsid w:val="00FD7572"/>
    <w:rsid w:val="00FD7747"/>
    <w:rsid w:val="00FE42AC"/>
    <w:rsid w:val="00FE7C37"/>
    <w:rsid w:val="00FF5698"/>
    <w:rsid w:val="00FF6B16"/>
    <w:rsid w:val="01D93776"/>
    <w:rsid w:val="01EC6D31"/>
    <w:rsid w:val="01F577B9"/>
    <w:rsid w:val="022167D2"/>
    <w:rsid w:val="023545E6"/>
    <w:rsid w:val="02483CA8"/>
    <w:rsid w:val="0259405D"/>
    <w:rsid w:val="02A87A41"/>
    <w:rsid w:val="02C35F1A"/>
    <w:rsid w:val="03F74F5B"/>
    <w:rsid w:val="0543483B"/>
    <w:rsid w:val="054826E6"/>
    <w:rsid w:val="05486BF5"/>
    <w:rsid w:val="05527BDA"/>
    <w:rsid w:val="055C366D"/>
    <w:rsid w:val="059D0C5B"/>
    <w:rsid w:val="05AA6458"/>
    <w:rsid w:val="05AE0EA7"/>
    <w:rsid w:val="05CB7009"/>
    <w:rsid w:val="06870DAC"/>
    <w:rsid w:val="06922C24"/>
    <w:rsid w:val="06BF4FE7"/>
    <w:rsid w:val="07740842"/>
    <w:rsid w:val="07773497"/>
    <w:rsid w:val="080240DB"/>
    <w:rsid w:val="08BC3F7D"/>
    <w:rsid w:val="09593BE6"/>
    <w:rsid w:val="097B6FF1"/>
    <w:rsid w:val="09DF4FD2"/>
    <w:rsid w:val="0A1366BF"/>
    <w:rsid w:val="0A152E7E"/>
    <w:rsid w:val="0A2D1211"/>
    <w:rsid w:val="0A66188B"/>
    <w:rsid w:val="0A841691"/>
    <w:rsid w:val="0BD71EE3"/>
    <w:rsid w:val="0C695DCD"/>
    <w:rsid w:val="0CA66CC1"/>
    <w:rsid w:val="0CE73CE2"/>
    <w:rsid w:val="0D6F211C"/>
    <w:rsid w:val="0E1378E5"/>
    <w:rsid w:val="0E2813BC"/>
    <w:rsid w:val="0E330069"/>
    <w:rsid w:val="0E9A42BB"/>
    <w:rsid w:val="0FC9079A"/>
    <w:rsid w:val="0FF22D75"/>
    <w:rsid w:val="101007C5"/>
    <w:rsid w:val="116C0DA5"/>
    <w:rsid w:val="12DD29B7"/>
    <w:rsid w:val="12E74761"/>
    <w:rsid w:val="12F91650"/>
    <w:rsid w:val="136F5708"/>
    <w:rsid w:val="138C04F1"/>
    <w:rsid w:val="139F4C26"/>
    <w:rsid w:val="13EF32B1"/>
    <w:rsid w:val="140677C1"/>
    <w:rsid w:val="14494DA0"/>
    <w:rsid w:val="146F074D"/>
    <w:rsid w:val="148C6287"/>
    <w:rsid w:val="15030BEA"/>
    <w:rsid w:val="152016D6"/>
    <w:rsid w:val="159E1414"/>
    <w:rsid w:val="15C13076"/>
    <w:rsid w:val="16001B5A"/>
    <w:rsid w:val="16142C2C"/>
    <w:rsid w:val="164160AE"/>
    <w:rsid w:val="16E82364"/>
    <w:rsid w:val="16F54AFF"/>
    <w:rsid w:val="17C12A54"/>
    <w:rsid w:val="1978453B"/>
    <w:rsid w:val="199961DA"/>
    <w:rsid w:val="1AB766D3"/>
    <w:rsid w:val="1B1E5671"/>
    <w:rsid w:val="1BF251FB"/>
    <w:rsid w:val="1C1E7791"/>
    <w:rsid w:val="1C2C1439"/>
    <w:rsid w:val="1C530D68"/>
    <w:rsid w:val="1C953F06"/>
    <w:rsid w:val="1CDE5D67"/>
    <w:rsid w:val="1D7338A6"/>
    <w:rsid w:val="1E4F567E"/>
    <w:rsid w:val="1E5429AD"/>
    <w:rsid w:val="1F43662E"/>
    <w:rsid w:val="1F85078D"/>
    <w:rsid w:val="203175DD"/>
    <w:rsid w:val="20C22B0F"/>
    <w:rsid w:val="212577C9"/>
    <w:rsid w:val="2129013A"/>
    <w:rsid w:val="21E309CC"/>
    <w:rsid w:val="22781FE1"/>
    <w:rsid w:val="228C1924"/>
    <w:rsid w:val="231321D1"/>
    <w:rsid w:val="244D7E8B"/>
    <w:rsid w:val="248C0836"/>
    <w:rsid w:val="26C2123A"/>
    <w:rsid w:val="27192C51"/>
    <w:rsid w:val="27DD580C"/>
    <w:rsid w:val="285F0DD4"/>
    <w:rsid w:val="28B71259"/>
    <w:rsid w:val="294F6A51"/>
    <w:rsid w:val="299E51AB"/>
    <w:rsid w:val="2B185B0D"/>
    <w:rsid w:val="2C4347F7"/>
    <w:rsid w:val="2CAF0D94"/>
    <w:rsid w:val="2CBE60B3"/>
    <w:rsid w:val="2CC422A3"/>
    <w:rsid w:val="2D3F3099"/>
    <w:rsid w:val="2DBE47DC"/>
    <w:rsid w:val="2E4658C1"/>
    <w:rsid w:val="2E5D760A"/>
    <w:rsid w:val="2E997E89"/>
    <w:rsid w:val="2EA02B25"/>
    <w:rsid w:val="2EBB4636"/>
    <w:rsid w:val="30443666"/>
    <w:rsid w:val="304478B7"/>
    <w:rsid w:val="31054673"/>
    <w:rsid w:val="31373757"/>
    <w:rsid w:val="317871ED"/>
    <w:rsid w:val="318800B8"/>
    <w:rsid w:val="31A67991"/>
    <w:rsid w:val="327169B3"/>
    <w:rsid w:val="32B413B0"/>
    <w:rsid w:val="32BD5199"/>
    <w:rsid w:val="32DA04F5"/>
    <w:rsid w:val="33525A0A"/>
    <w:rsid w:val="3386387A"/>
    <w:rsid w:val="33984B88"/>
    <w:rsid w:val="33C62097"/>
    <w:rsid w:val="33F6199A"/>
    <w:rsid w:val="34BE693E"/>
    <w:rsid w:val="34C23899"/>
    <w:rsid w:val="34DF2DE7"/>
    <w:rsid w:val="34E50B27"/>
    <w:rsid w:val="3606082A"/>
    <w:rsid w:val="36607940"/>
    <w:rsid w:val="3679122E"/>
    <w:rsid w:val="369F6B64"/>
    <w:rsid w:val="36E22959"/>
    <w:rsid w:val="37C67B3A"/>
    <w:rsid w:val="38352242"/>
    <w:rsid w:val="38B7769F"/>
    <w:rsid w:val="38E24762"/>
    <w:rsid w:val="38FB076B"/>
    <w:rsid w:val="396C2796"/>
    <w:rsid w:val="3A65734A"/>
    <w:rsid w:val="3AA77AD9"/>
    <w:rsid w:val="3CCF420F"/>
    <w:rsid w:val="3D010241"/>
    <w:rsid w:val="3D6019E2"/>
    <w:rsid w:val="3E3F15FA"/>
    <w:rsid w:val="3E996D0A"/>
    <w:rsid w:val="3EA83A40"/>
    <w:rsid w:val="3EBE0E18"/>
    <w:rsid w:val="3F263F12"/>
    <w:rsid w:val="3F6B4D22"/>
    <w:rsid w:val="3F972198"/>
    <w:rsid w:val="404919BE"/>
    <w:rsid w:val="407812DD"/>
    <w:rsid w:val="40865790"/>
    <w:rsid w:val="40BE43E7"/>
    <w:rsid w:val="41BD2E20"/>
    <w:rsid w:val="423C58E6"/>
    <w:rsid w:val="427F06AC"/>
    <w:rsid w:val="42ED2564"/>
    <w:rsid w:val="42F04B90"/>
    <w:rsid w:val="43BC78EC"/>
    <w:rsid w:val="44AC2A64"/>
    <w:rsid w:val="458512A6"/>
    <w:rsid w:val="45EA14EE"/>
    <w:rsid w:val="45F4257A"/>
    <w:rsid w:val="463B1AAA"/>
    <w:rsid w:val="463F04DF"/>
    <w:rsid w:val="46851492"/>
    <w:rsid w:val="46975AF3"/>
    <w:rsid w:val="46E6270B"/>
    <w:rsid w:val="47174E47"/>
    <w:rsid w:val="474F32D6"/>
    <w:rsid w:val="47657879"/>
    <w:rsid w:val="47772291"/>
    <w:rsid w:val="47C03AAC"/>
    <w:rsid w:val="48DC2BE3"/>
    <w:rsid w:val="493577ED"/>
    <w:rsid w:val="49415DBF"/>
    <w:rsid w:val="49553CAC"/>
    <w:rsid w:val="49632188"/>
    <w:rsid w:val="498F735A"/>
    <w:rsid w:val="49971004"/>
    <w:rsid w:val="4A705D29"/>
    <w:rsid w:val="4AC026BD"/>
    <w:rsid w:val="4B392FD5"/>
    <w:rsid w:val="4BA14D45"/>
    <w:rsid w:val="4BCD0145"/>
    <w:rsid w:val="4CE47A3E"/>
    <w:rsid w:val="4CEB2A43"/>
    <w:rsid w:val="4D2852AE"/>
    <w:rsid w:val="4DAF2B52"/>
    <w:rsid w:val="4DD26988"/>
    <w:rsid w:val="4E41582A"/>
    <w:rsid w:val="4EB77DE7"/>
    <w:rsid w:val="4F2D38A3"/>
    <w:rsid w:val="4FBD68F8"/>
    <w:rsid w:val="502A390E"/>
    <w:rsid w:val="505121FE"/>
    <w:rsid w:val="5084796D"/>
    <w:rsid w:val="51560155"/>
    <w:rsid w:val="519B1BA0"/>
    <w:rsid w:val="51DE5599"/>
    <w:rsid w:val="51F77181"/>
    <w:rsid w:val="52621F83"/>
    <w:rsid w:val="532B50F8"/>
    <w:rsid w:val="53F372ED"/>
    <w:rsid w:val="543F4416"/>
    <w:rsid w:val="54C70160"/>
    <w:rsid w:val="54F619AF"/>
    <w:rsid w:val="54FC014A"/>
    <w:rsid w:val="55233E35"/>
    <w:rsid w:val="55495A6C"/>
    <w:rsid w:val="55597748"/>
    <w:rsid w:val="555C3769"/>
    <w:rsid w:val="55CF5877"/>
    <w:rsid w:val="56885A23"/>
    <w:rsid w:val="572D0997"/>
    <w:rsid w:val="5751077E"/>
    <w:rsid w:val="57A17572"/>
    <w:rsid w:val="57E56DE8"/>
    <w:rsid w:val="58210661"/>
    <w:rsid w:val="58B55086"/>
    <w:rsid w:val="5948587F"/>
    <w:rsid w:val="597A0CF9"/>
    <w:rsid w:val="5A992B2C"/>
    <w:rsid w:val="5AFB1B92"/>
    <w:rsid w:val="5B047FE2"/>
    <w:rsid w:val="5B5271CD"/>
    <w:rsid w:val="5C54349C"/>
    <w:rsid w:val="5C7239E0"/>
    <w:rsid w:val="5C9725E4"/>
    <w:rsid w:val="5CF46AC5"/>
    <w:rsid w:val="5D365FD4"/>
    <w:rsid w:val="5D491E3A"/>
    <w:rsid w:val="5D94403E"/>
    <w:rsid w:val="5DF83CD8"/>
    <w:rsid w:val="5E180D90"/>
    <w:rsid w:val="5E1E0ACC"/>
    <w:rsid w:val="5E492213"/>
    <w:rsid w:val="5E527EC3"/>
    <w:rsid w:val="5E665441"/>
    <w:rsid w:val="5F296C2A"/>
    <w:rsid w:val="5FB64157"/>
    <w:rsid w:val="5FEC0957"/>
    <w:rsid w:val="60145E67"/>
    <w:rsid w:val="614B4BC0"/>
    <w:rsid w:val="61557EEB"/>
    <w:rsid w:val="616D01B4"/>
    <w:rsid w:val="61B131C8"/>
    <w:rsid w:val="62674E7A"/>
    <w:rsid w:val="628711C7"/>
    <w:rsid w:val="629B181D"/>
    <w:rsid w:val="62A5476F"/>
    <w:rsid w:val="62B3538F"/>
    <w:rsid w:val="62B40821"/>
    <w:rsid w:val="63711198"/>
    <w:rsid w:val="63D66457"/>
    <w:rsid w:val="6409526A"/>
    <w:rsid w:val="645D6907"/>
    <w:rsid w:val="64DA4F14"/>
    <w:rsid w:val="65142B50"/>
    <w:rsid w:val="65233802"/>
    <w:rsid w:val="66A1426F"/>
    <w:rsid w:val="66BA23F6"/>
    <w:rsid w:val="672512E6"/>
    <w:rsid w:val="672D4C66"/>
    <w:rsid w:val="677231B7"/>
    <w:rsid w:val="687B1AC6"/>
    <w:rsid w:val="689451EC"/>
    <w:rsid w:val="689F0630"/>
    <w:rsid w:val="699A6EAB"/>
    <w:rsid w:val="699E3128"/>
    <w:rsid w:val="69AB3883"/>
    <w:rsid w:val="69E960EE"/>
    <w:rsid w:val="6A511A1B"/>
    <w:rsid w:val="6B242E96"/>
    <w:rsid w:val="6B391AB4"/>
    <w:rsid w:val="6B6443A0"/>
    <w:rsid w:val="6BC46FCF"/>
    <w:rsid w:val="6BE03119"/>
    <w:rsid w:val="6D394FFA"/>
    <w:rsid w:val="6D5C3B68"/>
    <w:rsid w:val="6E4861B3"/>
    <w:rsid w:val="6EC2522B"/>
    <w:rsid w:val="6ED40A7D"/>
    <w:rsid w:val="6F0408C9"/>
    <w:rsid w:val="6F9F5752"/>
    <w:rsid w:val="6FEA13A8"/>
    <w:rsid w:val="6FF4258B"/>
    <w:rsid w:val="70225701"/>
    <w:rsid w:val="702F63A9"/>
    <w:rsid w:val="70DA78F6"/>
    <w:rsid w:val="70E24EF9"/>
    <w:rsid w:val="71CF1479"/>
    <w:rsid w:val="71FE3A25"/>
    <w:rsid w:val="72176D98"/>
    <w:rsid w:val="72484353"/>
    <w:rsid w:val="734E035F"/>
    <w:rsid w:val="73E2393B"/>
    <w:rsid w:val="73EC233E"/>
    <w:rsid w:val="74394A4C"/>
    <w:rsid w:val="75F44536"/>
    <w:rsid w:val="75FC515E"/>
    <w:rsid w:val="776C4D39"/>
    <w:rsid w:val="77AB311E"/>
    <w:rsid w:val="77FB607A"/>
    <w:rsid w:val="780A2C9F"/>
    <w:rsid w:val="783D79A3"/>
    <w:rsid w:val="78664122"/>
    <w:rsid w:val="791B706C"/>
    <w:rsid w:val="79B96A83"/>
    <w:rsid w:val="79C66977"/>
    <w:rsid w:val="79EA39E0"/>
    <w:rsid w:val="7ADE77A7"/>
    <w:rsid w:val="7B5E4B72"/>
    <w:rsid w:val="7B5F5E64"/>
    <w:rsid w:val="7B8C3430"/>
    <w:rsid w:val="7BB74F57"/>
    <w:rsid w:val="7C1A111F"/>
    <w:rsid w:val="7CCE4378"/>
    <w:rsid w:val="7CD27F73"/>
    <w:rsid w:val="7D670B73"/>
    <w:rsid w:val="7D6A7849"/>
    <w:rsid w:val="7D785784"/>
    <w:rsid w:val="7D9A3483"/>
    <w:rsid w:val="7DA63861"/>
    <w:rsid w:val="7DD37D92"/>
    <w:rsid w:val="7E1A5D65"/>
    <w:rsid w:val="7E3E49D2"/>
    <w:rsid w:val="7E415179"/>
    <w:rsid w:val="7E7E2A4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ocked="1"/>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7"/>
    <w:qFormat/>
    <w:uiPriority w:val="99"/>
    <w:pPr>
      <w:keepNext/>
      <w:keepLines/>
      <w:spacing w:before="340" w:after="330" w:line="578" w:lineRule="auto"/>
      <w:outlineLvl w:val="0"/>
    </w:pPr>
    <w:rPr>
      <w:rFonts w:ascii="Times New Roman" w:hAnsi="Times New Roman" w:eastAsia="黑体" w:cs="Times New Roman"/>
      <w:b/>
      <w:bCs/>
      <w:kern w:val="44"/>
      <w:sz w:val="32"/>
      <w:szCs w:val="32"/>
    </w:rPr>
  </w:style>
  <w:style w:type="paragraph" w:styleId="3">
    <w:name w:val="heading 2"/>
    <w:basedOn w:val="1"/>
    <w:next w:val="1"/>
    <w:link w:val="18"/>
    <w:qFormat/>
    <w:uiPriority w:val="99"/>
    <w:pPr>
      <w:keepNext/>
      <w:keepLines/>
      <w:spacing w:before="260" w:after="260" w:line="416" w:lineRule="auto"/>
      <w:outlineLvl w:val="1"/>
    </w:pPr>
    <w:rPr>
      <w:rFonts w:ascii="Cambria" w:hAnsi="Cambria" w:cs="Cambria"/>
      <w:b/>
      <w:bCs/>
      <w:sz w:val="28"/>
      <w:szCs w:val="2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8"/>
    <w:semiHidden/>
    <w:unhideWhenUsed/>
    <w:qFormat/>
    <w:uiPriority w:val="99"/>
    <w:rPr>
      <w:rFonts w:ascii="宋体"/>
      <w:sz w:val="18"/>
      <w:szCs w:val="18"/>
    </w:rPr>
  </w:style>
  <w:style w:type="paragraph" w:styleId="5">
    <w:name w:val="toc 3"/>
    <w:basedOn w:val="1"/>
    <w:next w:val="1"/>
    <w:qFormat/>
    <w:locked/>
    <w:uiPriority w:val="39"/>
    <w:pPr>
      <w:ind w:left="840" w:leftChars="400"/>
    </w:pPr>
  </w:style>
  <w:style w:type="paragraph" w:styleId="6">
    <w:name w:val="Balloon Text"/>
    <w:basedOn w:val="1"/>
    <w:link w:val="19"/>
    <w:semiHidden/>
    <w:qFormat/>
    <w:uiPriority w:val="99"/>
    <w:rPr>
      <w:rFonts w:ascii="Times New Roman" w:hAnsi="Times New Roman" w:cs="Times New Roman"/>
      <w:kern w:val="0"/>
      <w:sz w:val="18"/>
      <w:szCs w:val="18"/>
    </w:rPr>
  </w:style>
  <w:style w:type="paragraph" w:styleId="7">
    <w:name w:val="footer"/>
    <w:basedOn w:val="1"/>
    <w:link w:val="20"/>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8">
    <w:name w:val="header"/>
    <w:basedOn w:val="1"/>
    <w:link w:val="21"/>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9">
    <w:name w:val="toc 1"/>
    <w:basedOn w:val="1"/>
    <w:next w:val="1"/>
    <w:qFormat/>
    <w:uiPriority w:val="39"/>
    <w:pPr>
      <w:tabs>
        <w:tab w:val="right" w:leader="dot" w:pos="9170"/>
      </w:tabs>
      <w:spacing w:before="120" w:after="120"/>
      <w:jc w:val="left"/>
    </w:pPr>
    <w:rPr>
      <w:rFonts w:ascii="宋体" w:hAnsi="宋体" w:cs="宋体"/>
      <w:b/>
      <w:bCs/>
      <w:caps/>
      <w:color w:val="000000"/>
      <w:sz w:val="24"/>
      <w:szCs w:val="24"/>
    </w:rPr>
  </w:style>
  <w:style w:type="paragraph" w:styleId="10">
    <w:name w:val="Subtitle"/>
    <w:basedOn w:val="1"/>
    <w:next w:val="1"/>
    <w:link w:val="22"/>
    <w:qFormat/>
    <w:uiPriority w:val="99"/>
    <w:pPr>
      <w:spacing w:before="240" w:after="60" w:line="312" w:lineRule="auto"/>
      <w:jc w:val="center"/>
      <w:outlineLvl w:val="1"/>
    </w:pPr>
    <w:rPr>
      <w:rFonts w:ascii="Cambria" w:hAnsi="Cambria" w:cs="Cambria"/>
      <w:b/>
      <w:bCs/>
      <w:kern w:val="28"/>
      <w:sz w:val="32"/>
      <w:szCs w:val="32"/>
    </w:rPr>
  </w:style>
  <w:style w:type="paragraph" w:styleId="11">
    <w:name w:val="toc 2"/>
    <w:basedOn w:val="1"/>
    <w:next w:val="1"/>
    <w:qFormat/>
    <w:uiPriority w:val="39"/>
    <w:pPr>
      <w:tabs>
        <w:tab w:val="right" w:leader="dot" w:pos="9170"/>
      </w:tabs>
      <w:spacing w:line="360" w:lineRule="auto"/>
      <w:ind w:left="210"/>
    </w:pPr>
    <w:rPr>
      <w:rFonts w:ascii="宋体" w:hAnsi="宋体" w:cs="宋体"/>
      <w:b/>
      <w:bCs/>
      <w:smallCaps/>
      <w:color w:val="000000"/>
      <w:sz w:val="24"/>
      <w:szCs w:val="24"/>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5">
    <w:name w:val="Strong"/>
    <w:basedOn w:val="14"/>
    <w:qFormat/>
    <w:uiPriority w:val="22"/>
    <w:rPr>
      <w:b/>
      <w:bCs/>
    </w:rPr>
  </w:style>
  <w:style w:type="character" w:styleId="16">
    <w:name w:val="Hyperlink"/>
    <w:basedOn w:val="14"/>
    <w:qFormat/>
    <w:uiPriority w:val="99"/>
    <w:rPr>
      <w:color w:val="0000FF"/>
      <w:u w:val="single"/>
    </w:rPr>
  </w:style>
  <w:style w:type="character" w:customStyle="1" w:styleId="17">
    <w:name w:val="标题 1 Char"/>
    <w:basedOn w:val="14"/>
    <w:link w:val="2"/>
    <w:qFormat/>
    <w:locked/>
    <w:uiPriority w:val="99"/>
    <w:rPr>
      <w:rFonts w:eastAsia="黑体"/>
      <w:b/>
      <w:bCs/>
      <w:kern w:val="44"/>
      <w:sz w:val="44"/>
      <w:szCs w:val="44"/>
    </w:rPr>
  </w:style>
  <w:style w:type="character" w:customStyle="1" w:styleId="18">
    <w:name w:val="标题 2 Char"/>
    <w:basedOn w:val="14"/>
    <w:link w:val="3"/>
    <w:qFormat/>
    <w:locked/>
    <w:uiPriority w:val="99"/>
    <w:rPr>
      <w:rFonts w:ascii="Cambria" w:hAnsi="Cambria" w:cs="Cambria"/>
      <w:b/>
      <w:bCs/>
      <w:kern w:val="2"/>
      <w:sz w:val="32"/>
      <w:szCs w:val="32"/>
    </w:rPr>
  </w:style>
  <w:style w:type="character" w:customStyle="1" w:styleId="19">
    <w:name w:val="批注框文本 Char"/>
    <w:basedOn w:val="14"/>
    <w:link w:val="6"/>
    <w:semiHidden/>
    <w:qFormat/>
    <w:locked/>
    <w:uiPriority w:val="99"/>
    <w:rPr>
      <w:sz w:val="18"/>
      <w:szCs w:val="18"/>
    </w:rPr>
  </w:style>
  <w:style w:type="character" w:customStyle="1" w:styleId="20">
    <w:name w:val="页脚 Char"/>
    <w:basedOn w:val="14"/>
    <w:link w:val="7"/>
    <w:qFormat/>
    <w:locked/>
    <w:uiPriority w:val="99"/>
    <w:rPr>
      <w:sz w:val="18"/>
      <w:szCs w:val="18"/>
    </w:rPr>
  </w:style>
  <w:style w:type="character" w:customStyle="1" w:styleId="21">
    <w:name w:val="页眉 Char"/>
    <w:basedOn w:val="14"/>
    <w:link w:val="8"/>
    <w:qFormat/>
    <w:locked/>
    <w:uiPriority w:val="99"/>
    <w:rPr>
      <w:sz w:val="18"/>
      <w:szCs w:val="18"/>
    </w:rPr>
  </w:style>
  <w:style w:type="character" w:customStyle="1" w:styleId="22">
    <w:name w:val="副标题 Char"/>
    <w:basedOn w:val="14"/>
    <w:link w:val="10"/>
    <w:qFormat/>
    <w:locked/>
    <w:uiPriority w:val="99"/>
    <w:rPr>
      <w:rFonts w:ascii="Cambria" w:hAnsi="Cambria" w:cs="Cambria"/>
      <w:b/>
      <w:bCs/>
      <w:kern w:val="28"/>
      <w:sz w:val="32"/>
      <w:szCs w:val="32"/>
    </w:rPr>
  </w:style>
  <w:style w:type="paragraph" w:customStyle="1" w:styleId="23">
    <w:name w:val="Char Char Char"/>
    <w:basedOn w:val="1"/>
    <w:qFormat/>
    <w:uiPriority w:val="99"/>
    <w:pPr>
      <w:widowControl/>
      <w:spacing w:after="160" w:line="240" w:lineRule="exact"/>
      <w:jc w:val="left"/>
    </w:pPr>
    <w:rPr>
      <w:rFonts w:ascii="Verdana" w:hAnsi="Verdana" w:cs="Verdana"/>
      <w:kern w:val="0"/>
      <w:sz w:val="20"/>
      <w:szCs w:val="20"/>
      <w:lang w:eastAsia="en-US"/>
    </w:rPr>
  </w:style>
  <w:style w:type="character" w:customStyle="1" w:styleId="24">
    <w:name w:val="txt4"/>
    <w:basedOn w:val="14"/>
    <w:qFormat/>
    <w:uiPriority w:val="99"/>
  </w:style>
  <w:style w:type="paragraph" w:customStyle="1" w:styleId="25">
    <w:name w:val="TOC 标题1"/>
    <w:basedOn w:val="2"/>
    <w:next w:val="1"/>
    <w:qFormat/>
    <w:uiPriority w:val="99"/>
    <w:pPr>
      <w:widowControl/>
      <w:spacing w:before="480" w:after="0" w:line="276" w:lineRule="auto"/>
      <w:jc w:val="left"/>
      <w:outlineLvl w:val="9"/>
    </w:pPr>
    <w:rPr>
      <w:rFonts w:ascii="Cambria" w:hAnsi="Cambria" w:eastAsia="宋体" w:cs="Cambria"/>
      <w:color w:val="365F91"/>
      <w:kern w:val="0"/>
      <w:sz w:val="28"/>
      <w:szCs w:val="28"/>
    </w:rPr>
  </w:style>
  <w:style w:type="paragraph" w:customStyle="1" w:styleId="26">
    <w:name w:val="列出段落1"/>
    <w:basedOn w:val="1"/>
    <w:qFormat/>
    <w:uiPriority w:val="99"/>
    <w:pPr>
      <w:ind w:firstLine="420" w:firstLineChars="200"/>
    </w:pPr>
  </w:style>
  <w:style w:type="character" w:customStyle="1" w:styleId="27">
    <w:name w:val="apple-converted-space"/>
    <w:basedOn w:val="14"/>
    <w:qFormat/>
    <w:uiPriority w:val="0"/>
  </w:style>
  <w:style w:type="character" w:customStyle="1" w:styleId="28">
    <w:name w:val="文档结构图 Char"/>
    <w:basedOn w:val="14"/>
    <w:link w:val="4"/>
    <w:semiHidden/>
    <w:qFormat/>
    <w:uiPriority w:val="99"/>
    <w:rPr>
      <w:rFonts w:ascii="宋体" w:hAnsi="Calibri" w:cs="Calibri"/>
      <w:kern w:val="2"/>
      <w:sz w:val="18"/>
      <w:szCs w:val="18"/>
    </w:rPr>
  </w:style>
  <w:style w:type="paragraph" w:styleId="29">
    <w:name w:val="No Spacing"/>
    <w:link w:val="30"/>
    <w:qFormat/>
    <w:uiPriority w:val="1"/>
    <w:rPr>
      <w:rFonts w:asciiTheme="minorHAnsi" w:hAnsiTheme="minorHAnsi" w:eastAsiaTheme="minorEastAsia" w:cstheme="minorBidi"/>
      <w:sz w:val="22"/>
      <w:szCs w:val="22"/>
      <w:lang w:val="en-US" w:eastAsia="zh-CN" w:bidi="ar-SA"/>
    </w:rPr>
  </w:style>
  <w:style w:type="character" w:customStyle="1" w:styleId="30">
    <w:name w:val="无间隔 Char"/>
    <w:basedOn w:val="14"/>
    <w:link w:val="29"/>
    <w:qFormat/>
    <w:uiPriority w:val="1"/>
    <w:rPr>
      <w:rFonts w:asciiTheme="minorHAnsi" w:hAnsiTheme="minorHAnsi" w:eastAsiaTheme="minorEastAsia" w:cstheme="minorBidi"/>
      <w:sz w:val="22"/>
      <w:szCs w:val="22"/>
    </w:rPr>
  </w:style>
  <w:style w:type="paragraph" w:styleId="3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Pages>
  <Words>745</Words>
  <Characters>4249</Characters>
  <Lines>35</Lines>
  <Paragraphs>9</Paragraphs>
  <TotalTime>3</TotalTime>
  <ScaleCrop>false</ScaleCrop>
  <LinksUpToDate>false</LinksUpToDate>
  <CharactersWithSpaces>4985</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2018-07-12T05:18:00Z</dcterms:created>
  <dc:creator>AutoBVT</dc:creator>
  <cp:lastModifiedBy>° 胡先生</cp:lastModifiedBy>
  <dcterms:modified xsi:type="dcterms:W3CDTF">2019-12-13T02:06:46Z</dcterms:modified>
  <cp:revision>358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