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-724535</wp:posOffset>
            </wp:positionH>
            <wp:positionV relativeFrom="paragraph">
              <wp:posOffset>-924560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12.19</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882" w:type="dxa"/>
        <w:tblInd w:w="0" w:type="dxa"/>
        <w:tblLayout w:type="fixed"/>
        <w:tblCellMar>
          <w:top w:w="15" w:type="dxa"/>
          <w:left w:w="15" w:type="dxa"/>
          <w:bottom w:w="15" w:type="dxa"/>
          <w:right w:w="15" w:type="dxa"/>
        </w:tblCellMar>
      </w:tblPr>
      <w:tblGrid>
        <w:gridCol w:w="1291"/>
        <w:gridCol w:w="860"/>
        <w:gridCol w:w="750"/>
        <w:gridCol w:w="6981"/>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86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75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698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2019/12/18</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60.93</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66.17</w:t>
            </w:r>
          </w:p>
        </w:tc>
        <w:tc>
          <w:tcPr>
            <w:tcW w:w="69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美国能源信息署（EIA）公布的最新周报数据显示，截至12月13日当周，美国原油库存小幅下降但燃油库存继续增加，且同期内美国炼厂开工率持平，释放出多空参半的预期。不过，由于该数据表现仍强于美国石油学会（API）在前一日电子盘中发布的报告表现，因此国际油价在EIA报告公布后小幅跳涨，收复早前跌幅。在美市盘晚盘时段，美国众议院开始就针对特朗普的两项弹劾条款展开辩论，受政治不确定性风险影响，市场观望情绪较重，国际原油期货当日接近收平。</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2019/12/17</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60.94</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66.1</w:t>
            </w:r>
          </w:p>
        </w:tc>
        <w:tc>
          <w:tcPr>
            <w:tcW w:w="69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有消息称，俄罗斯原油出口和运输在2020年第一季度期间将较今年第四季度减少1.1%，向市场释放了供应收紧预期，为油价提供利好支撑。并且，当日公布的美国11月制造业产出数据因受到此前持续近六周的通用汽车罢工活动结束所影响，录得逾两年来的最大涨幅，从而支撑了市场对该国制造业回暖的信心，也对油价涨势形成提振。因此，国际原油期货价格收盘录得上涨。</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2019/12/16</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60.21</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65.34</w:t>
            </w:r>
          </w:p>
        </w:tc>
        <w:tc>
          <w:tcPr>
            <w:tcW w:w="698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在中美两国于上周五期间就第一阶段经贸协议文本达成一致后，日间贸易乐观情绪持续释放，继续提振国际原油期货走势。此外，日内中国国家统计局公布的最新数据显示，虽然11月期间中国原油产量少量增加，但同期国内原油加工量同比仍维持较大增幅，强劲需求表现对油价走势形成支撑。不过，因EIA当天公布的最新产量预测月报显示，1月期间美国页岩油产量仍存小幅增长预期，从而令油价涨势受限，加上受到技术性上行压力影响，国际原油期货价格当日收盘仅微幅上涨。</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2019/12/13</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60.07</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65.22</w:t>
            </w:r>
          </w:p>
        </w:tc>
        <w:tc>
          <w:tcPr>
            <w:tcW w:w="6981"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中美两国就中美第一阶段经贸协议文本达成一致，贸易前景缓和提振了投资者对原油市场需求将维持稳定增长的乐观预期。此外，当天鲍里斯·约翰逊率领保守党在英国大选中以绝对多数议席赢得选举并正式就任英国首相，这令英国“无协议”脱欧的悲观前景发生可能进一步降低，市场对约翰逊将带领英国民众按此前达成的“脱欧协议”完成脱欧过渡期工作存乐观预期，也对日内油价提供了更多上行动能。不过，当天美国众议院司法委员会投票通过针对总统特朗普的弹劾条款，从而令美国政局稳定性面临更多风险，消息传出后油价盘中一度短线下跌，令油价当日涨势受限。不过，受两大主要利好消息支撑，国际原油期货价格当日收盘仍录得较大涨幅。</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2019/12/12</w:t>
            </w:r>
          </w:p>
        </w:tc>
        <w:tc>
          <w:tcPr>
            <w:tcW w:w="86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59.18</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64.2</w:t>
            </w:r>
          </w:p>
        </w:tc>
        <w:tc>
          <w:tcPr>
            <w:tcW w:w="6981"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因当天国际能源署（IEA）公布的最新月报数据显示，10月期间OECD国家原油库存录得大幅下降，从而为油价提供上行支撑，加上受到同日美股强劲涨势带动，国际油价收盘录得反弹。</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w:t>
      </w:r>
      <w:r>
        <w:rPr>
          <w:rFonts w:hint="eastAsia" w:ascii="宋体" w:hAnsi="宋体"/>
          <w:b/>
          <w:sz w:val="30"/>
          <w:szCs w:val="30"/>
          <w:lang w:val="en-US" w:eastAsia="zh-CN"/>
        </w:rPr>
        <w:t>9</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429125" cy="39147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429125" cy="391477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(12月11日)公布报告显示，截至12月6日当周，美国原油库存增加82.2万桶至4.479亿桶，市场预估为减少281.5万桶。更多数据显示，上周俄克拉荷马州库欣原油库存减少339.3万桶，连续5周录得下滑，触及2018年2月16日当周(95周)以来新低。美国精炼油库存增加411.8万桶，连续3周录得增长，且创7月19日当周(21周)以来最大增幅，市场预估为增加147.1万桶。美国汽油库存增加540.5万桶，连续5周录得增长，且创1月18日当周(47周)以来最大增幅，市场预估为增加249.4万桶。美国石油协会(API)公布的数据显示，美国截至12月6日当周API原油库存增加141万桶，预期减少305万桶;汽油库存增加490万桶;精炼油库存增加320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19日凌晨，美股周三收盘涨跌不一。道指与标普500指数小幅收跌，结束5连涨。纳指连续第6个交易日上涨，再创收盘新高。市场仍然在评估国际贸易关系、特朗普弹劾调查案及美国联邦预算案等方面的不确定性因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道指收盘下跌27.88点，跌幅为0.1%，报28239.28点;标普500指数跌1.38点，跌幅为0.04%，报3191.14点;纳指涨4.38点，涨幅为0.05%，报8827.73点。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周三盘中，标普500指数最高上涨至3198.48点，纳指最高上涨至8848.76点，均再创盘中历史新高。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特斯拉涨3.8%，创纪录新高;苹果微跌0.1%脱离历史高位。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联邦快递(FDX)收盘重挫10.08%，此前该公司再次下调了2020年财年每股盈利预期，且遭多家投行下调评级。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市场仍在评估国际贸易关系的进展。上周五传出的国际贸易协议进展的消息令市场情绪振奋。分析认为，协议可能使美国农民受益，但投资者也对美国谈判代表设定的目标持怀疑态度。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XM高级投资分析师RaffiBoyadjian在研报中说：“由于缺乏有关协议条款的具体细节，也不知道协议会在何时签署，因此市场有些紧张。但即使没有任何新的推动因素，鉴于圣诞节和新年期间的交易减少，协议进展宣布后的市场乐观情绪也可能足以持续到今年年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谈判代表罗伯特-莱特希泽(RobertLighthizer)周二接受媒体采访时暗示，在贸易战暂时停火、以《美国-墨西哥-加拿大协定(USMCA)》替代已有26年历史的《美自由贸易协定(Nafta)》后，特朗普政府已准备好提高与欧盟的贸易对抗，可能采取新的进口税措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莱特希泽表示，美国可能会在近期对75亿美元欧盟商品征收进口税的基础上加大行动力度，以收窄长期以来与欧洲大陆的贸易逆差，这凸显出对欧贸易是特朗普政府贸易政策的重点之一。</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莱特希泽未具体说明欧盟的汽车和汽车零部件是否会成为潜在的新一轮进口税的目标。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据美国国会预算办公室(CBO)估计，新的美加墨三国贸易协定将令汽车制造商在未来十年内额外支付近30亿美元的进口税，以满足对汽车和零部件的更高要求。</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为了使汽车能够在美加墨三国获得免税待遇，美加墨贸易协定规定了75%的区内产值含量比例要求(汽车价值的75%需在北美地区生产)，这高于北美自贸协定62.5%的门槛。此外，美加墨贸易协定还要求使用北美地区生产的钢铁和铝。</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欧洲经济数据使投资者对全球经济前景的忧虑有所减轻。当地时间周三上午，德国宣布商业景气指数(Ifo商业景气指数)为96.3点，高于11月的95.1修正值，亦高于95.5的预期。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美国众议院将于18日就针对总统特朗普的两项弹劾条款进行表决。美国总统特朗普周二给众议院议长佩洛西写了封怒气冲天的6页长信。一旦投票通过，特朗普将成为美国史上第三位被众议院决定弹劾的总统。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迄今为止，投资者似乎对众议院民主党人发起的针对特朗普的弹劾调查无动于衷。美国众议院周三预计将对总统的两项弹劾条款进行投票，为在共和党控制的参议院进行审判打下基础。市场普遍认为共和党主导的参议院将宣布特朗普无罪。</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Rabobank公司策略师MichaelEvery表示：“换句话说，市场似乎并不担心这场史诗般的弹劾事件的政治后果。这场弹劾可能会鼓动共和党选民，使特朗普赢得2020年大选可能性更大，而不是更小。”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投资者同时也在关注联储官员讲话。纽约联邦储备银行行长约翰-威廉姆斯(JohnWilliams)表示，美国的货币政策处于“良好状态”，但下行风险依然存在，他乐于看到失业率进一步下降，即使失业率已经处于50年低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威廉姆斯说道，“我的确认为我们制定的货币政策正确，它能支持经济增长，支持我们实现目标。全球地缘政治和贸易问题仍然存在很多不确定性，而且还存在一些重大下行风险。”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威廉姆斯预计明年美国经济增长率约为2%，失业率将保持稳定，其希望通胀率接近美联储2%的目标。他表示，“货币政策宽松，它在支持增长”，只有展望发生重大变化的情况下才支持对利率进行调整。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威廉姆斯还指出，美联储为平复回购市场局势而采取的措施“非常有效”，准备金充足，“市场运转良好”。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芝加哥联储行长查尔斯-埃文斯(CharlesEvans)表示，美国央行“已经到了我们暂停降低短期政策利率的地步”。他称当前的资金利率水平“可以很好地为我们服务”。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埃文斯称：“我个人担心通货膨胀率过低。我认为我们需要达到最高2%。我认为我们要保证2%，可以采取或许让通胀远远超过美联储目标的方法。”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众议院于当地时间周二通过了一项1.4万亿美元的支出法案以防止政府停摆，随后急速将其提交参议院表决。参议院需要在周五之前将新开支法案通过立法，而美国总统特朗普须签署该法案，以保持联邦政府部门的运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美联储前主席格林斯潘(AlanGreenspan)周二再度发出警告，随着美国预算赤字的不断攀升，通货膨胀将对经济构成更大的威胁。</w:t>
      </w: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国际货币基金组织(IMF)警告称，越来越多的人利用公司债来进行投机性金融赌博，这可能使得全球经济在下一次衰退中更加脆弱。</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据CNBC，IMF在周二发表的一篇研究中强调，如果企业违约或是企图通过削减投资或裁员来大幅减少债务，利用私人债务来为派息、股票回购或并购提供资金，可能会放大下一轮衰退对全球经济造成的冲击。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IMF财政事务部副部长Marialuz Moreno Badia和高级经济学家Paolo Dudine在报告中表示：“与之前的全球金融危机不同，现在的风险不仅集中在私营部门，也在公共部门。这在一定程度上反映了全球金融危机遗留下来的未解决问题。”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Moreno Badia和Dudine补充称：“若产出下降导致营收减少，或企业违约引发亏损，并抑制银行放贷，那么减少私营部门债务的举动可能反过来成为自身不堪重负的公共部门的负担。”</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根据IMF最新的数据显示，截至2018年年底，全球公共和私人债务总额为188万亿美元，全球平均债务与GDP之比微升至226%。近90%发达经济体公共债务占比高于2008年金融危机之前，有部分经济体可能在应对下一次衰退的准备工作上尚有不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IMF在报告中称：“近五分之一的国家公共债务占比超过70%。发展中国家的公共债务则稳定增长，其中五分之二的发展中国家面临或陷入债务困扰的高风险中。”</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59.18- 60.94美元/桶。布伦特原油价格在64.2- 66.34美元/桶震荡。周内国际油价格上涨趋势。美国原油库存报告整体利空令原油涨势显现疲态，获利了结暂时限制了油价的继续走高。美国WTI原油期货价格盘中最低触及60.32美元/桶，布伦特原油期货价格盘中最高触及66.43美元/桶。基本面利好因素：分析师指出，第一阶段的贸易协定已经完成，但具体的协议细节我们仍未得知。即便如此，随着第一阶段贸易协议的达成在一定程度上缓解了紧张的贸易局势，这令原油等风险资产持续获得提振。石油输出国组织(OPEC)周三(12月11日)公布月报显示，由于沙特等国努力推动减产，只要保持11月产量水平，明年全球原油供应将会出现3万桶/日的短缺。同时月报指出，之前对2020年可能出现供应过剩的预期或将改变，因美国页岩油产量增速开始放缓，这将放大OPEC和俄罗斯扩大减产带来的利好影响。美国能源信息署(EIA)周二(12月10日)发布短期能源展望报告显示，2019年美国原油产量增幅小于之前预期，同时下调了2020年美国原油产量预期。详细数据显示，EIA预计2019年美国原油产量将增加126万桶/日至1225万桶/日，低于之前130万桶/日的增幅预期。过去十年内页岩油生产技术的革新，已经帮助美国成为世界最大原油生产国。今日EIA将2020年美国原油产量预期从1329万桶/日下调至1318万桶/日，增速预期下降至93万桶/日。第17届OPEC与非OPEC产油国部长级监督委员会(JMMC)会议落下帷幕，双方已经就扩大减产达成一致，在2020年第一季度双方将合理额外减产50万桶/日，从而令减产规模扩大至170万桶/日。170万桶/日相当于全球原油总需求的1.7%，同时更值得注意的是，沙特能源大臣阿卜杜勒-阿齐兹随后表示，额外减产中沙特将承担16.7万桶/日，同时我们还将继续自愿减产40万桶/日，指出只要减产执行率得到改善，OPEC+的有效减产规模将高达210万桶/日。基本面利空因素：美国能源信息署(EIA)周三(12月18日)公布报告显示，截至12月13日当周，美国原油库存减少108.5万桶至4.468亿桶，市场预估为减少128.8万桶。美国精炼油库存增加150.9万桶，连续4周录得增长，市场预估为减少31.4万桶。美国汽油库存增加252.9万桶，连续6周录得增长，市场预估为增加190万桶。此外，上周美国国内原油产量持平于1280万桶/日。11月美国工业生产反弹，主要是因为通用汽车工人的罢工结束。货币市场并未反映出短期内降息的可能性。美元指数延续涨势，日内最高触及97.48。英国首相鲍里斯·约翰逊采取行动修改法律以确保英国脱欧过渡期不会延续到明年年底之后，从而让无协议脱欧风险重现。一位官员说，约翰逊计划立法内容将包括阻止政府推迟英国停止接受欧盟法律约束的最后期限，即便新的贸易安排没有及时敲定。美国油服公司贝克休斯(Baker Hughes)周五(12月13日)公布数据显示，截至12月13日当周，美国石油活跃钻井数增加4座至667座，连续七周录得下滑后再度增长。不过在过去的16周内，美国石油活跃钻井数累计减少了107座，而过去一年内则减少了206座。国际能源署(IEA)周四(12月12日)发布月报显示，虽然石油输出国组织(OPEC)和非OPEC产油国达成了扩大减产协议，同时美国以及其他非OPEC产油国的产量增幅料将放缓，但全球原油库存仍可能大幅攀升。虽然OPEC和俄罗斯等非OPEC产油国决定在明年第一季度额外减产50万桶/日，但他们并没有承诺在明年3月后采取什么样的行动。IEA指出，全球原油库存仍将在2020年第一季度增长70万桶/日。</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预测下周WTI油价将触及58-61美元/桶，布油在之后几个月触及63-67美元/桶。</w:t>
      </w:r>
    </w:p>
    <w:p>
      <w:pPr>
        <w:pStyle w:val="3"/>
        <w:spacing w:before="120" w:after="120" w:line="240" w:lineRule="auto"/>
      </w:pPr>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22" w:name="_GoBack" w:colFirst="0" w:colLast="3"/>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662.50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232.25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691.00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228.57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701.75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649.00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226.27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704.00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646.00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226.32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692.00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12月12日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222.83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687.50 </w:t>
            </w:r>
          </w:p>
        </w:tc>
      </w:tr>
      <w:bookmarkEnd w:id="22"/>
    </w:tbl>
    <w:p>
      <w:pPr>
        <w:pStyle w:val="2"/>
        <w:spacing w:before="120" w:after="0" w:line="240" w:lineRule="auto"/>
        <w:rPr>
          <w:rFonts w:hint="eastAsia"/>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p>
      <w:pPr>
        <w:rPr>
          <w:rFonts w:hint="eastAsia" w:ascii="宋体" w:hAnsi="宋体"/>
          <w:sz w:val="21"/>
          <w:szCs w:val="21"/>
          <w:highlight w:val="none"/>
        </w:rPr>
      </w:pP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2</w:t>
      </w:r>
      <w:r>
        <w:rPr>
          <w:rFonts w:hint="eastAsia" w:ascii="宋体" w:hAnsi="宋体"/>
          <w:sz w:val="28"/>
          <w:szCs w:val="28"/>
          <w:highlight w:val="none"/>
        </w:rPr>
        <w:t>）国内地方炼厂装置检修情况</w:t>
      </w:r>
    </w:p>
    <w:p>
      <w:pPr>
        <w:numPr>
          <w:ilvl w:val="0"/>
          <w:numId w:val="0"/>
        </w:numPr>
        <w:rPr>
          <w:rFonts w:hint="eastAsia" w:ascii="宋体" w:hAnsi="宋体"/>
          <w:sz w:val="21"/>
          <w:szCs w:val="21"/>
          <w:highlight w:val="none"/>
        </w:rPr>
      </w:pP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全厂检修</w:t>
            </w:r>
          </w:p>
        </w:tc>
        <w:tc>
          <w:tcPr>
            <w:tcW w:w="1854" w:type="dxa"/>
            <w:noWrap/>
          </w:tcPr>
          <w:p>
            <w:pPr>
              <w:jc w:val="center"/>
              <w:rPr>
                <w:rFonts w:hint="default" w:ascii="宋体" w:hAnsi="宋体" w:eastAsia="宋体"/>
                <w:szCs w:val="21"/>
                <w:lang w:val="en-US" w:eastAsia="zh-CN"/>
              </w:rPr>
            </w:pPr>
            <w:r>
              <w:rPr>
                <w:rFonts w:hint="eastAsia" w:ascii="宋体" w:hAnsi="宋体"/>
                <w:szCs w:val="21"/>
                <w:lang w:val="en-US" w:eastAsia="zh-CN"/>
              </w:rPr>
              <w:t>590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eastAsia"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6陆续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lang w:eastAsia="zh-CN"/>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8</w:t>
            </w:r>
            <w:r>
              <w:rPr>
                <w:rFonts w:hint="eastAsia" w:ascii="宋体" w:hAnsi="宋体"/>
                <w:szCs w:val="21"/>
              </w:rPr>
              <w:t>-1</w:t>
            </w:r>
            <w:r>
              <w:rPr>
                <w:rFonts w:hint="eastAsia" w:ascii="宋体" w:hAnsi="宋体"/>
                <w:szCs w:val="21"/>
                <w:lang w:val="en-US" w:eastAsia="zh-CN"/>
              </w:rPr>
              <w:t>0</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17</w:t>
            </w:r>
          </w:p>
        </w:tc>
      </w:tr>
    </w:tbl>
    <w:p>
      <w:pPr>
        <w:pStyle w:val="3"/>
        <w:spacing w:before="120" w:after="120" w:line="240" w:lineRule="auto"/>
        <w:rPr>
          <w:rFonts w:hint="eastAsia" w:ascii="宋体" w:hAnsi="宋体"/>
          <w:b/>
          <w:sz w:val="30"/>
          <w:szCs w:val="30"/>
          <w:highlight w:val="none"/>
        </w:rPr>
      </w:pPr>
      <w:bookmarkStart w:id="11" w:name="_Toc533771869"/>
      <w:r>
        <w:rPr>
          <w:rFonts w:hint="eastAsia" w:ascii="宋体" w:hAnsi="宋体"/>
          <w:b/>
          <w:sz w:val="30"/>
          <w:szCs w:val="30"/>
          <w:highlight w:val="none"/>
        </w:rPr>
        <w:t>3.2本周成品油市场行情</w:t>
      </w:r>
      <w:bookmarkEnd w:id="11"/>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bookmarkStart w:id="12" w:name="_Toc533771870"/>
      <w:r>
        <w:rPr>
          <w:rFonts w:hint="eastAsia" w:ascii="宋体" w:hAnsi="宋体" w:eastAsia="宋体" w:cs="宋体"/>
          <w:kern w:val="2"/>
          <w:sz w:val="28"/>
          <w:szCs w:val="28"/>
          <w:lang w:val="en-US" w:eastAsia="zh-CN" w:bidi="ar"/>
        </w:rPr>
        <w:t>本周，国际原油期货整体呈现上行趋势，第三个工作日参考原油变化率为4.77%。然而，国内成品油市场整体行情持续弱势，各地主营单位汽柴油销售保利为主。与此同时，山东地炼成品油行情弱势下行，各炼厂报价开始理性回调，且成交保持100元/吨左右优惠。具体来看出货方面：由于目前终端消费量不足，使得社会单位库存消化缓慢，因此原油上涨也难带动区内行情，中间商囤货操作甚少，仅少数下游用户按需采购，因此地炼整体出货表现欠佳，库存普遍有所升高。</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后市前瞻：进入下周，国际原油期价将处于震荡调整的过程。以WTI为例，主流运行区间在58-62(均值60)美元/桶之间，环比下跌0.27美元/桶或0.44%。在缺少消息面利好带动下，山东地炼成品油行情涨势难起，买卖双方保持理性操作，市场观望气氛浓厚。综上所述，预计山东地炼汽柴油价格稳中个别涨跌调整，幅度在100元/吨左右。</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(12月13日-12月19日)，华中地区利好支撑不足，区内油价稳中小涨。具体分析如下，本周，国际原油连续收涨，零售价调价窗口未能开启，不过新一轮变化率正向区间加深，消息面整体向好发展。加上区内多数主营陆续完成年度销量，且部分单位资源供应依然偏紧，故主营保利挺价意向强烈。不过近日来地炼价格不断回调，主营缺乏成本面支撑，价格推涨力度有限，个别欠量单位实盘仍存宽松优惠。下游对高价较为抵触，入市采购十分有限。后市来看，原油或存窄幅回调预期，不过本轮零售价仍存上调概率，消息面支撑或有减弱。不过区内主营为保利润，压价意向持低。故预计短期内华中地区汽柴油价格或维持窄幅盘整为主，下游刚需采购为主，市场成交难有提量。</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(12月13日-19日)，华东地区成品油行情转弱，市场购销气氛冷淡。具体来看，周内国际原油期价呈现上行走势，新一轮计价周期变化率正向发展，零售价上调预期明显，消息面形成利好指引。但进入深冬柴油下游需求不断萎缩，汽油需求亦表现平平，从而导致社会库存消耗缓慢，业者采购积极性低迷。与此同时，山东地炼成品油价格持续回落，主营外采成本下降。另外，浙石化已经对外销售标准品柴油，对市场形成一定冲击。综上来看，在基本面孱弱的打压下，区内局部价格有所松动。不过本月为年内最后一个销售月份，多数主营销售政策以保利润为主，故整体价格以稳为主。后市而言，后期国际原油或窄幅震荡，消息面指引趋于温和，需求不佳将继续拖累市场，且年前备货节点尚早，故预计下周华东汽柴行情维持弱势，成交难有提量。</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(12月13日-12月19日)，华南地区成品油行情略有上涨，市场购销气氛平淡。具体来看，国际原油期货连续上涨，周初零售价调整搁浅，而后变化率正向宽幅开端，本轮零售价上调预期显现，消息方面利好油市。然而山东地炼汽柴油价格持续下探，主营单位外采成本降低。但由于已完成销售任务，汽柴油价格整体较为坚挺，零星单位价格试探性小幅推涨。业者入市跟进意向不高，市场交投气氛偏淡。后市来看，国际原油期货或震荡小跌，零售价上调预期犹存。受此支撑，预计下周华南地区汽柴油行情波动有限，交投气氛改善不易。</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(12月13日-12月19日)，华北地区主营汽柴油行情稳中有跌，市场交投气氛平淡。分析来看，周初零售价调价遭遇搁浅，国际原油期价上行，新一轮变化率正向开端并不断拉宽运行，消息方面指引偏好。但山东地炼汽柴油行情持续下行，主营外采成本有所下降。随着天气进一步下降，汽柴油终端耗油降低，下游需求亦难寻利好。另外年底将近，部分单位已完成年度任务实行保利润政策，故主营单位多数趋稳运行，局部行情有所回落。下游业者心态谨慎观望，消化前期库存为主，入市操作有限。后市来看，国际原油或震荡整理，零售价上调预期明显，消息面对市场仍有支撑。预计下周华北地区主营汽柴油行情或波动有限，成交维持平淡。</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(12月13日-12月19日)，西南地区汽柴行情震荡上行，市场成交气氛平平。分析来看：周内国际油价涨幅明显，周一成品油调价搁浅，进入新一轮计价周期，变化率正向区间持续拉宽，消息面存一定利好指引。此外，年底主营单位年度任务多已完成，销售策略侧重于“保利润”，因此汽柴价格多维持高位。其中，汽油方面，元旦及春节假期临近，后期汽油需求存向好预期，主营单位多有推涨;柴油方面，工矿基建等行业陆续停工，柴油将逐步转淡。此外，主营前期价格已至高位，周内价格跌后反弹，整体行情波动有限。业者对高价较为抵触，入市补货有限，市场成交难有提升。就后市而言，国际油价或震荡回调，但变化率仍维持正向区间运行，上调预期仍有支撑。此外，主营单位挺价意愿强烈，预计近期西南地区汽柴行情维持高位坚挺。业者按需补货，市场成交一般。</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本周(12月13日-12月19日)，西北地炼汽柴行情维持平稳走势，市场成交氛围平淡。分析来看：周内国际原油期价维持上行趋势，进入新一轮计价周期，变化率正向区间延伸，消息面利好渐增。不过，从需求面上看，工矿基建等行业开工率维持低位，柴油需求疲软，业者入市补货稀少，市场成交清淡;汽油需求面平稳，后期备货需求将有提升。不过，业者前期库存消耗有限，业者补货心态仍显谨慎，大单采购有限，市场成交刚需为主。销售公司出货不畅，汽柴价格保持稳定。就后市而言，国际油价或有所回调，但变化率仍将维持正向运行，本轮零售价上调概率偏大，消息面利好仍有支撑。但需求面难有提振，业者仍按需补货为主，市场成交提升有限。预计短线西北地炼汽柴行情弱势走稳。</w:t>
      </w:r>
    </w:p>
    <w:p>
      <w:pPr>
        <w:keepNext w:val="0"/>
        <w:keepLines w:val="0"/>
        <w:widowControl/>
        <w:suppressLineNumbers w:val="0"/>
        <w:spacing w:before="0" w:beforeAutospacing="0" w:after="0" w:afterAutospacing="0"/>
        <w:ind w:left="0" w:right="0" w:firstLine="560" w:firstLineChars="200"/>
        <w:jc w:val="left"/>
        <w:rPr>
          <w:rFonts w:hint="eastAsia" w:ascii="宋体" w:hAnsi="宋体" w:eastAsia="宋体" w:cs="宋体"/>
          <w:kern w:val="2"/>
          <w:sz w:val="28"/>
          <w:szCs w:val="28"/>
          <w:lang w:val="en-US" w:eastAsia="zh-CN" w:bidi="ar"/>
        </w:rPr>
      </w:pP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9220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8710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bl>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2019/12/19</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2019/12/12</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bl>
    <w:p>
      <w:pPr>
        <w:rPr>
          <w:rFonts w:hint="eastAsia"/>
          <w:bCs/>
          <w:szCs w:val="21"/>
          <w:lang w:val="en-US" w:eastAsia="zh-CN"/>
        </w:rPr>
      </w:pPr>
    </w:p>
    <w:p>
      <w:pPr>
        <w:rPr>
          <w:rFonts w:hint="eastAsia"/>
          <w:bCs/>
          <w:szCs w:val="21"/>
          <w:lang w:val="en-US" w:eastAsia="zh-CN"/>
        </w:rPr>
      </w:pPr>
      <w:bookmarkStart w:id="14" w:name="_Toc533771872"/>
    </w:p>
    <w:p>
      <w:pPr>
        <w:rPr>
          <w:rFonts w:hint="eastAsia"/>
          <w:bCs/>
          <w:szCs w:val="21"/>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6794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2019/12/19</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2019/12/12</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lang w:val="en-US" w:eastAsia="zh-CN"/>
        </w:rPr>
      </w:pPr>
      <w:bookmarkStart w:id="16" w:name="_Toc533771874"/>
      <w:r>
        <w:rPr>
          <w:rFonts w:hint="eastAsia" w:ascii="宋体" w:hAnsi="宋体"/>
          <w:b/>
          <w:sz w:val="30"/>
          <w:szCs w:val="30"/>
          <w:lang w:val="en-US" w:eastAsia="zh-CN"/>
        </w:rPr>
        <w:t>四、2017年10月份进出口统计数据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2017年1</w:t>
      </w:r>
      <w:r>
        <w:rPr>
          <w:rFonts w:hint="eastAsia" w:ascii="宋体" w:hAnsi="宋体"/>
          <w:b/>
          <w:sz w:val="30"/>
          <w:szCs w:val="30"/>
          <w:lang w:val="en-US" w:eastAsia="zh-CN"/>
        </w:rPr>
        <w:t>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0</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0</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单位：千克，美元</w:t>
      </w:r>
    </w:p>
    <w:p>
      <w:pPr>
        <w:rPr>
          <w:rFonts w:hint="eastAsia"/>
          <w:bCs/>
          <w:szCs w:val="21"/>
        </w:rPr>
      </w:pPr>
    </w:p>
    <w:p>
      <w:pPr>
        <w:rPr>
          <w:rFonts w:hint="eastAsia"/>
          <w:bCs/>
          <w:szCs w:val="21"/>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0</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pStyle w:val="3"/>
        <w:spacing w:before="120" w:after="120" w:line="240" w:lineRule="auto"/>
        <w:rPr>
          <w:rFonts w:hint="eastAsia" w:ascii="宋体" w:hAnsi="宋体"/>
          <w:b/>
          <w:sz w:val="30"/>
          <w:szCs w:val="30"/>
        </w:rPr>
      </w:pPr>
      <w:bookmarkStart w:id="21" w:name="_Toc533771879"/>
    </w:p>
    <w:p>
      <w:pPr>
        <w:pStyle w:val="3"/>
        <w:spacing w:before="120" w:after="120" w:line="240" w:lineRule="auto"/>
        <w:rPr>
          <w:rFonts w:hint="eastAsia" w:ascii="宋体" w:hAnsi="宋体"/>
          <w:b/>
          <w:sz w:val="30"/>
          <w:szCs w:val="30"/>
        </w:rPr>
      </w:pPr>
      <w:r>
        <w:rPr>
          <w:rFonts w:hint="eastAsia" w:ascii="宋体" w:hAnsi="宋体"/>
          <w:b/>
          <w:sz w:val="30"/>
          <w:szCs w:val="30"/>
        </w:rPr>
        <w:t>4.5 2017年1</w:t>
      </w:r>
      <w:r>
        <w:rPr>
          <w:rFonts w:hint="eastAsia" w:ascii="宋体" w:hAnsi="宋体"/>
          <w:b/>
          <w:sz w:val="30"/>
          <w:szCs w:val="30"/>
          <w:lang w:val="en-US" w:eastAsia="zh-CN"/>
        </w:rPr>
        <w:t>0</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29F2908"/>
    <w:rsid w:val="03211A1D"/>
    <w:rsid w:val="034407FB"/>
    <w:rsid w:val="034F6246"/>
    <w:rsid w:val="03A57F11"/>
    <w:rsid w:val="044E5434"/>
    <w:rsid w:val="048101D3"/>
    <w:rsid w:val="048C7CAA"/>
    <w:rsid w:val="04BF7371"/>
    <w:rsid w:val="053B1A3D"/>
    <w:rsid w:val="06300679"/>
    <w:rsid w:val="067746D4"/>
    <w:rsid w:val="069C6A8D"/>
    <w:rsid w:val="06B9287B"/>
    <w:rsid w:val="06F31CB3"/>
    <w:rsid w:val="0718687A"/>
    <w:rsid w:val="076C6634"/>
    <w:rsid w:val="07820AB4"/>
    <w:rsid w:val="07D15C8A"/>
    <w:rsid w:val="07E76A1F"/>
    <w:rsid w:val="0820276D"/>
    <w:rsid w:val="08573B5A"/>
    <w:rsid w:val="086F6B65"/>
    <w:rsid w:val="09371EEF"/>
    <w:rsid w:val="093F6B95"/>
    <w:rsid w:val="095B63CA"/>
    <w:rsid w:val="098251C0"/>
    <w:rsid w:val="09F11ACB"/>
    <w:rsid w:val="09FB6243"/>
    <w:rsid w:val="0A29795D"/>
    <w:rsid w:val="0AA33DAF"/>
    <w:rsid w:val="0AC60296"/>
    <w:rsid w:val="0AD32487"/>
    <w:rsid w:val="0B421176"/>
    <w:rsid w:val="0BCE6861"/>
    <w:rsid w:val="0BDC4FBC"/>
    <w:rsid w:val="0C08318F"/>
    <w:rsid w:val="0C586B50"/>
    <w:rsid w:val="0CE32FB8"/>
    <w:rsid w:val="0D731CA1"/>
    <w:rsid w:val="0DD115AA"/>
    <w:rsid w:val="0E04318C"/>
    <w:rsid w:val="0E31785B"/>
    <w:rsid w:val="0E8B35C9"/>
    <w:rsid w:val="0EC1627E"/>
    <w:rsid w:val="0ED36950"/>
    <w:rsid w:val="0F034AA6"/>
    <w:rsid w:val="0F125E7D"/>
    <w:rsid w:val="0F26373F"/>
    <w:rsid w:val="0F7D42FE"/>
    <w:rsid w:val="1265739D"/>
    <w:rsid w:val="12662947"/>
    <w:rsid w:val="13267B35"/>
    <w:rsid w:val="134A6D86"/>
    <w:rsid w:val="13594CF7"/>
    <w:rsid w:val="135A728A"/>
    <w:rsid w:val="138744BB"/>
    <w:rsid w:val="13E7373B"/>
    <w:rsid w:val="144B6D3F"/>
    <w:rsid w:val="147759A4"/>
    <w:rsid w:val="154F205D"/>
    <w:rsid w:val="15615E0F"/>
    <w:rsid w:val="15D83B2E"/>
    <w:rsid w:val="16600954"/>
    <w:rsid w:val="16734EEE"/>
    <w:rsid w:val="16E22B33"/>
    <w:rsid w:val="17194D7A"/>
    <w:rsid w:val="173C1948"/>
    <w:rsid w:val="17464B66"/>
    <w:rsid w:val="17652D76"/>
    <w:rsid w:val="177778D5"/>
    <w:rsid w:val="177C4324"/>
    <w:rsid w:val="18CA4E8D"/>
    <w:rsid w:val="19850C75"/>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E2278F4"/>
    <w:rsid w:val="1E5542CC"/>
    <w:rsid w:val="1E6D6ABE"/>
    <w:rsid w:val="1E755624"/>
    <w:rsid w:val="1F092A2D"/>
    <w:rsid w:val="1F6B3A34"/>
    <w:rsid w:val="1F98363F"/>
    <w:rsid w:val="1FCD7675"/>
    <w:rsid w:val="1FFC155B"/>
    <w:rsid w:val="20261774"/>
    <w:rsid w:val="203A4D2E"/>
    <w:rsid w:val="205B78B2"/>
    <w:rsid w:val="206901B1"/>
    <w:rsid w:val="20C12FDC"/>
    <w:rsid w:val="211001E9"/>
    <w:rsid w:val="21147D43"/>
    <w:rsid w:val="21216F1B"/>
    <w:rsid w:val="224E7428"/>
    <w:rsid w:val="2261560B"/>
    <w:rsid w:val="22944164"/>
    <w:rsid w:val="22D174A6"/>
    <w:rsid w:val="23B946BE"/>
    <w:rsid w:val="24322A62"/>
    <w:rsid w:val="24554136"/>
    <w:rsid w:val="245C2B3F"/>
    <w:rsid w:val="24974A9D"/>
    <w:rsid w:val="24A21A55"/>
    <w:rsid w:val="24BC74B9"/>
    <w:rsid w:val="250D3E66"/>
    <w:rsid w:val="25955E96"/>
    <w:rsid w:val="259B6E31"/>
    <w:rsid w:val="25B904A8"/>
    <w:rsid w:val="27A7464B"/>
    <w:rsid w:val="28892109"/>
    <w:rsid w:val="28A325B7"/>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F13732E"/>
    <w:rsid w:val="2FD85581"/>
    <w:rsid w:val="2FE513F6"/>
    <w:rsid w:val="302909D7"/>
    <w:rsid w:val="30A00CB5"/>
    <w:rsid w:val="30E73B0D"/>
    <w:rsid w:val="30FC61C2"/>
    <w:rsid w:val="31363ABC"/>
    <w:rsid w:val="314614BA"/>
    <w:rsid w:val="31490B7D"/>
    <w:rsid w:val="3189708E"/>
    <w:rsid w:val="31B05A1F"/>
    <w:rsid w:val="31FC35FB"/>
    <w:rsid w:val="32010D04"/>
    <w:rsid w:val="32574FD8"/>
    <w:rsid w:val="33435E16"/>
    <w:rsid w:val="34005D95"/>
    <w:rsid w:val="34173060"/>
    <w:rsid w:val="34474FF1"/>
    <w:rsid w:val="34B63281"/>
    <w:rsid w:val="3572663B"/>
    <w:rsid w:val="357D4C50"/>
    <w:rsid w:val="364A7C84"/>
    <w:rsid w:val="36605016"/>
    <w:rsid w:val="366B7A53"/>
    <w:rsid w:val="36F44E23"/>
    <w:rsid w:val="371D2966"/>
    <w:rsid w:val="373062E8"/>
    <w:rsid w:val="37785098"/>
    <w:rsid w:val="37A6234C"/>
    <w:rsid w:val="37D337D1"/>
    <w:rsid w:val="38E95212"/>
    <w:rsid w:val="391C1C7A"/>
    <w:rsid w:val="39600E80"/>
    <w:rsid w:val="3A01261A"/>
    <w:rsid w:val="3A1A4CEB"/>
    <w:rsid w:val="3A481E25"/>
    <w:rsid w:val="3A6F255F"/>
    <w:rsid w:val="3A90237F"/>
    <w:rsid w:val="3B0A7991"/>
    <w:rsid w:val="3B100A85"/>
    <w:rsid w:val="3BD837A5"/>
    <w:rsid w:val="3C317DDD"/>
    <w:rsid w:val="3C742BEB"/>
    <w:rsid w:val="3CB004C5"/>
    <w:rsid w:val="3CB35047"/>
    <w:rsid w:val="3CB47F7E"/>
    <w:rsid w:val="3D8D1DDC"/>
    <w:rsid w:val="3E0F09D9"/>
    <w:rsid w:val="3E3D25F5"/>
    <w:rsid w:val="3E9953AC"/>
    <w:rsid w:val="3F310E2B"/>
    <w:rsid w:val="3F4D19AF"/>
    <w:rsid w:val="3F837DDF"/>
    <w:rsid w:val="3FA21405"/>
    <w:rsid w:val="40171145"/>
    <w:rsid w:val="40742438"/>
    <w:rsid w:val="41696F7F"/>
    <w:rsid w:val="419D7C05"/>
    <w:rsid w:val="41F604FA"/>
    <w:rsid w:val="424F02B6"/>
    <w:rsid w:val="427133C0"/>
    <w:rsid w:val="431F563A"/>
    <w:rsid w:val="432D0CD2"/>
    <w:rsid w:val="4348259E"/>
    <w:rsid w:val="434C0977"/>
    <w:rsid w:val="44615639"/>
    <w:rsid w:val="448F5706"/>
    <w:rsid w:val="44944331"/>
    <w:rsid w:val="44B05905"/>
    <w:rsid w:val="459B774E"/>
    <w:rsid w:val="47C254B8"/>
    <w:rsid w:val="47DF082A"/>
    <w:rsid w:val="47EB5003"/>
    <w:rsid w:val="483A31DC"/>
    <w:rsid w:val="48942C25"/>
    <w:rsid w:val="4898666C"/>
    <w:rsid w:val="489B75DE"/>
    <w:rsid w:val="48B5305A"/>
    <w:rsid w:val="490B579F"/>
    <w:rsid w:val="4969605D"/>
    <w:rsid w:val="498A3B85"/>
    <w:rsid w:val="49D021B0"/>
    <w:rsid w:val="4A3546EB"/>
    <w:rsid w:val="4A56215E"/>
    <w:rsid w:val="4A5D4A40"/>
    <w:rsid w:val="4A8561F1"/>
    <w:rsid w:val="4A943BC6"/>
    <w:rsid w:val="4AAF17A9"/>
    <w:rsid w:val="4BB317A2"/>
    <w:rsid w:val="4BC27F8D"/>
    <w:rsid w:val="4BCC6CCE"/>
    <w:rsid w:val="4BE44E6C"/>
    <w:rsid w:val="4BF446B8"/>
    <w:rsid w:val="4C061338"/>
    <w:rsid w:val="4C5E08E0"/>
    <w:rsid w:val="4CBF4AE9"/>
    <w:rsid w:val="4D0A349B"/>
    <w:rsid w:val="4D427C91"/>
    <w:rsid w:val="4DBE12C2"/>
    <w:rsid w:val="4DCE6ED3"/>
    <w:rsid w:val="4E333BBB"/>
    <w:rsid w:val="4EC951FF"/>
    <w:rsid w:val="4ED04B02"/>
    <w:rsid w:val="4F566ACF"/>
    <w:rsid w:val="4FAD0DF7"/>
    <w:rsid w:val="4FC15F00"/>
    <w:rsid w:val="51147068"/>
    <w:rsid w:val="51952A88"/>
    <w:rsid w:val="51EE27E3"/>
    <w:rsid w:val="5234477C"/>
    <w:rsid w:val="52515077"/>
    <w:rsid w:val="52CB6EC0"/>
    <w:rsid w:val="52D061DA"/>
    <w:rsid w:val="5341530E"/>
    <w:rsid w:val="53434396"/>
    <w:rsid w:val="5393301A"/>
    <w:rsid w:val="53971518"/>
    <w:rsid w:val="53B91D8C"/>
    <w:rsid w:val="53E56E6E"/>
    <w:rsid w:val="54010C17"/>
    <w:rsid w:val="546C3F2D"/>
    <w:rsid w:val="547F46DA"/>
    <w:rsid w:val="549F75FE"/>
    <w:rsid w:val="556D2811"/>
    <w:rsid w:val="55F04C52"/>
    <w:rsid w:val="55F35D23"/>
    <w:rsid w:val="56A332D5"/>
    <w:rsid w:val="56C325A5"/>
    <w:rsid w:val="572D602C"/>
    <w:rsid w:val="57B937A9"/>
    <w:rsid w:val="58E94F10"/>
    <w:rsid w:val="58FA15B8"/>
    <w:rsid w:val="58FF06B6"/>
    <w:rsid w:val="593E6CC6"/>
    <w:rsid w:val="59591BB8"/>
    <w:rsid w:val="59820786"/>
    <w:rsid w:val="59A774F2"/>
    <w:rsid w:val="59AD15AB"/>
    <w:rsid w:val="59E474BD"/>
    <w:rsid w:val="59FC6B89"/>
    <w:rsid w:val="5A261D0E"/>
    <w:rsid w:val="5A9311E7"/>
    <w:rsid w:val="5AF86253"/>
    <w:rsid w:val="5B081862"/>
    <w:rsid w:val="5B340596"/>
    <w:rsid w:val="5BB41290"/>
    <w:rsid w:val="5C9E10E9"/>
    <w:rsid w:val="5CDA6371"/>
    <w:rsid w:val="5D1516BF"/>
    <w:rsid w:val="5D1569ED"/>
    <w:rsid w:val="5D1B2A4F"/>
    <w:rsid w:val="5DC477E0"/>
    <w:rsid w:val="5DD05318"/>
    <w:rsid w:val="5DEF6C2B"/>
    <w:rsid w:val="5E5F4BD4"/>
    <w:rsid w:val="5ED20F44"/>
    <w:rsid w:val="5F123BC6"/>
    <w:rsid w:val="5F1A7A37"/>
    <w:rsid w:val="5F63419E"/>
    <w:rsid w:val="5F880842"/>
    <w:rsid w:val="5FFC4765"/>
    <w:rsid w:val="60046C0F"/>
    <w:rsid w:val="602C01A9"/>
    <w:rsid w:val="603B1B21"/>
    <w:rsid w:val="607F2EF2"/>
    <w:rsid w:val="610D2A7D"/>
    <w:rsid w:val="61175A9A"/>
    <w:rsid w:val="61BC217C"/>
    <w:rsid w:val="61D9772A"/>
    <w:rsid w:val="61F2327B"/>
    <w:rsid w:val="625E2011"/>
    <w:rsid w:val="62EF16C5"/>
    <w:rsid w:val="63F34E27"/>
    <w:rsid w:val="642E2D6E"/>
    <w:rsid w:val="6439179D"/>
    <w:rsid w:val="643A7D3D"/>
    <w:rsid w:val="645E071A"/>
    <w:rsid w:val="652A5D21"/>
    <w:rsid w:val="65480BBE"/>
    <w:rsid w:val="65B955CA"/>
    <w:rsid w:val="661A0E12"/>
    <w:rsid w:val="66B56D61"/>
    <w:rsid w:val="67056631"/>
    <w:rsid w:val="6789047F"/>
    <w:rsid w:val="68382592"/>
    <w:rsid w:val="68A742AD"/>
    <w:rsid w:val="691052CA"/>
    <w:rsid w:val="69194464"/>
    <w:rsid w:val="6A7A60F7"/>
    <w:rsid w:val="6AEE1969"/>
    <w:rsid w:val="6BA2498F"/>
    <w:rsid w:val="6BDE4DDD"/>
    <w:rsid w:val="6BE972DB"/>
    <w:rsid w:val="6C0F2440"/>
    <w:rsid w:val="6C176418"/>
    <w:rsid w:val="6C392A9F"/>
    <w:rsid w:val="6C762792"/>
    <w:rsid w:val="6C801375"/>
    <w:rsid w:val="6CEF6EBD"/>
    <w:rsid w:val="6CF01C95"/>
    <w:rsid w:val="6D206AE2"/>
    <w:rsid w:val="6DD23F1E"/>
    <w:rsid w:val="6DEE2081"/>
    <w:rsid w:val="6E336938"/>
    <w:rsid w:val="6E5D68D3"/>
    <w:rsid w:val="6E757524"/>
    <w:rsid w:val="6E7934F3"/>
    <w:rsid w:val="6EAD6286"/>
    <w:rsid w:val="6EB24C59"/>
    <w:rsid w:val="6F591B5D"/>
    <w:rsid w:val="6F7E65DB"/>
    <w:rsid w:val="705F37D3"/>
    <w:rsid w:val="709143C4"/>
    <w:rsid w:val="70930271"/>
    <w:rsid w:val="70DB5146"/>
    <w:rsid w:val="7181738B"/>
    <w:rsid w:val="71820038"/>
    <w:rsid w:val="71990145"/>
    <w:rsid w:val="71C90ED8"/>
    <w:rsid w:val="71E12038"/>
    <w:rsid w:val="72112B83"/>
    <w:rsid w:val="72910320"/>
    <w:rsid w:val="73092FAA"/>
    <w:rsid w:val="734608F5"/>
    <w:rsid w:val="736D4BAC"/>
    <w:rsid w:val="74090510"/>
    <w:rsid w:val="746B6757"/>
    <w:rsid w:val="752A3F7B"/>
    <w:rsid w:val="766C7968"/>
    <w:rsid w:val="76936F16"/>
    <w:rsid w:val="76A64EB2"/>
    <w:rsid w:val="76BC1014"/>
    <w:rsid w:val="77025DC3"/>
    <w:rsid w:val="77B92312"/>
    <w:rsid w:val="7827423F"/>
    <w:rsid w:val="7850391E"/>
    <w:rsid w:val="78703EBE"/>
    <w:rsid w:val="78805A36"/>
    <w:rsid w:val="78AE0946"/>
    <w:rsid w:val="79331EC1"/>
    <w:rsid w:val="79404911"/>
    <w:rsid w:val="7986601A"/>
    <w:rsid w:val="79AE14B2"/>
    <w:rsid w:val="79CE4B72"/>
    <w:rsid w:val="7A5F22B4"/>
    <w:rsid w:val="7A680094"/>
    <w:rsid w:val="7A81102C"/>
    <w:rsid w:val="7AB16073"/>
    <w:rsid w:val="7ADE3222"/>
    <w:rsid w:val="7AF04DB0"/>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2019-12-19T07:17:13Z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2052-11.1.0.9305</vt:lpwstr>
  </property>
</Properties>
</file>