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-724535</wp:posOffset>
            </wp:positionH>
            <wp:positionV relativeFrom="paragraph">
              <wp:posOffset>-915035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1.16</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w:t>
      </w:r>
      <w:r>
        <w:rPr>
          <w:rStyle w:val="31"/>
          <w:rFonts w:hint="eastAsia"/>
          <w:color w:val="auto"/>
          <w:sz w:val="24"/>
          <w:szCs w:val="24"/>
          <w:lang w:val="en-US" w:eastAsia="zh-CN"/>
        </w:rPr>
        <w:t>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9882" w:type="dxa"/>
        <w:tblInd w:w="0" w:type="dxa"/>
        <w:tblLayout w:type="fixed"/>
        <w:tblCellMar>
          <w:top w:w="15" w:type="dxa"/>
          <w:left w:w="15" w:type="dxa"/>
          <w:bottom w:w="15" w:type="dxa"/>
          <w:right w:w="15" w:type="dxa"/>
        </w:tblCellMar>
      </w:tblPr>
      <w:tblGrid>
        <w:gridCol w:w="1291"/>
        <w:gridCol w:w="821"/>
        <w:gridCol w:w="750"/>
        <w:gridCol w:w="7020"/>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bookmarkStart w:id="2" w:name="_Toc533771863"/>
            <w:r>
              <w:rPr>
                <w:rFonts w:hint="eastAsia" w:asciiTheme="minorEastAsia" w:hAnsiTheme="minorEastAsia" w:eastAsiaTheme="minorEastAsia" w:cstheme="minorEastAsia"/>
                <w:color w:val="333335"/>
                <w:sz w:val="24"/>
                <w:szCs w:val="24"/>
                <w:shd w:val="clear" w:color="auto" w:fill="FFFFFF"/>
              </w:rPr>
              <w:t>日期</w:t>
            </w:r>
          </w:p>
        </w:tc>
        <w:tc>
          <w:tcPr>
            <w:tcW w:w="82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75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702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2020/1/15</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57.81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64</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虽然EIA原油库存下降，但库存数据整体利空，此外美国原油产量再创新高也令油价承压。</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2020/1/14</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58.23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64.49</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EIA能源展望报告上调2020年油价预期提振市场，原油价格五日连跌后小幅反弹。</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2020/1/13</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58.08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64.2</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中美贸易乐观情绪未能改善美伊局势降温的利空影响,油价延续跌势。</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2020/1/10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59.04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64.98</w:t>
            </w:r>
          </w:p>
        </w:tc>
        <w:tc>
          <w:tcPr>
            <w:tcW w:w="702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伊朗经济无法承受进一步的军事冲突升级，市场忧虑情绪进一步缓解。此外，近期库存增加带来的压力，原油需求也不乐观，油价下行压力加大。</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2020/1/9</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59.56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65.37</w:t>
            </w:r>
          </w:p>
        </w:tc>
        <w:tc>
          <w:tcPr>
            <w:tcW w:w="702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中东局势缓和以及EIA库存数据利空两大因素仍旧令油价承压。</w:t>
            </w:r>
          </w:p>
        </w:tc>
      </w:tr>
    </w:tbl>
    <w:p>
      <w:pPr>
        <w:pStyle w:val="3"/>
        <w:spacing w:before="120" w:after="120" w:line="240" w:lineRule="auto"/>
        <w:rPr>
          <w:rFonts w:hint="eastAsia" w:ascii="宋体" w:hAnsi="宋体"/>
          <w:b/>
          <w:sz w:val="30"/>
          <w:szCs w:val="30"/>
        </w:rPr>
      </w:pPr>
    </w:p>
    <w:p>
      <w:pPr>
        <w:pStyle w:val="3"/>
        <w:spacing w:before="120" w:after="120" w:line="240" w:lineRule="auto"/>
        <w:rPr>
          <w:rFonts w:ascii="宋体" w:hAnsi="宋体"/>
          <w:b/>
          <w:sz w:val="30"/>
          <w:szCs w:val="30"/>
        </w:rPr>
      </w:pPr>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4191000" cy="403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191000" cy="4038600"/>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三(1月8日)公布报告显示，截至1月3日当周，美国除却战略储备的商业原油库存意外增幅超预期，精炼油库存和汽油库存意外大幅度增长，且超预期。具体数据显示，美国EIA原油库存增加116.40万桶，预期减少318.5万桶，前值减少1146.3万桶，连续2周下跌后录得增加，增幅创2019年11月22日以来新高。此外，美国EIA汽油库存增加913.70万桶，预期增加270.1万桶，前值增加321.2万桶，连续9周录得增加，增幅创2016年1月1日当周以来最大;美国EIA精炼油库存增加533万桶，预期增加395.7万桶，前值增加877.6万桶。俄克拉荷马州库欣原油库存减少82.1万桶。美国石油协会(API)公布的数据显示，美国截至1月3日当周API原油库存减少595万桶，预期减少406.4万桶;汽油库存增加670万桶;精炼油库存增加640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本周北京时间16日凌晨，美股周三尾盘高位跳水，三大指数小幅收涨。投资者关注国际贸易局势的最新进展，美联储公布的最新经济褐皮书及多名美联储官员发表的讲话。</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道指收盘上涨90.55点，或0.31%，报29030.22点，刷新收盘历史高位;纳指涨7.37点，或0.08%，报9258.70点;标普500指数涨6.14点，或0.19%，报3289.29点。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国际贸易局势的发展是今天市场的焦点。据新华社报道，当地时间1月15日上午，中美第一阶段经贸协议签署仪式在美国白宫东厅举行。中共中央政治局委员、国务院副总理、中美全面经济对话中方牵头人刘鹤与美国总统特朗普共同签署协议文本并致辞。</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同时，美国参议院拨款委员会以29比2的投票结果批准推进美墨加贸易协议。美国参议员布伦特预计参议院将在周四早上对美墨加协定进行投票。特朗普表示，下周应该能完成美墨加贸易协定。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周三公布的美国12月PPI数据不及预期。美国12月份核心PPI升幅为2016年8月份以来最慢，表明通胀压力温和。这是美国通胀压力有所下降的最新迹象，或能令美联储有理由在今年维持利率在当前水平不变。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周一的CPI数据表现没有给市场惊喜，结合上周非农数据的不利表现，这在一定程度上加深投资者对美联储今年还将降息的看法，当然还需要之后的数据来进行验证，明晚的零售销售数据更加重要。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美国总统唐纳德·特朗普的弹劾案最新进展。美国国会众议院有足够的票数通过一项决定，内容包括将弹劾特朗普的的指控提交至参议院，以及通过任命7名众议院民主党人执行检控工作。</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凌晨3时公布的最新经济褐皮书显示，美国经济在2019年最后六周温和扩张，制造业就业的恶化掩盖了就业市场的紧俏状况。根据周三发布的报告，“许多辖区都报告了制造商裁员或减少招聘的情况，交通运输和能源行业也出现零星裁员报道。”美联储的褐皮书报告基于截至1月6日对12家地区联储银行的调查，该报告也显示出消费者和生产者价格“继续以温和速度上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与此同时，多位美联储官员发表讲话。费城联储主席帕特里克·哈克(PatrickHarker)表示，年底安抚货币市场的措施显然奏效，但9月份出现的资金压力引发了许多问题，包括央行是否应扩大其工具包。“正在讨论的一种可能性是常设回购工具。我们正评估潜在的成本和收益，并探索可能的设计和替代方案，因此它仍然处于讨论阶段，而不是决策阶段，”哈克说道。</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达拉斯联储主席罗伯特-卡普兰(RobertKaplan)表示，美联储的低利率、认为未来加息门槛高以及资产负债表扩大在助力抬高资产价格。“这三项举动全都促使风险资产估值高企，”卡普兰周三接受采访时表示。“我认为我们应对此保持敏感。”卡普兰今年在联邦公开市场委员会拥有货币政策投票权，他呼吁美联储对扩大资产负债表保持谨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卡普兰还表示，负利率并没有帮助那些已经尝试过的市场增长，如果在美国使用，则会适得其反。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美国旧金山联储主席玛丽-戴利(MaryDaly)表示，她预计通胀率将逐步升至央行设定的2%目标，并预计在2021年可持续实现该目标。戴利称，在2019年三次降息之后，美联储和经济都处于“良好位置”。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明尼阿波利斯联储主席尼尔·卡什卡利(NeelKashkari)表示，美国经济总体表现良好，就业市场强劲。美联储降息一定程度降低了经济衰退的风险。同时，他指出“不太可能实施负利率，这是最后才会动用的工具之一。”</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此外，华尔街密切关注着上市公司财报。迄今为止，约有30家标准普尔500指数成份股公司公布了它们的季度业绩。FactSet的数据显示，在这些公司中，82%的公司的利润好于预期。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在全球股市节节攀升之际，盛宝银行警告美股可能即将出现大幅回调。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该行股票策略主管PeterGarnry称，股市正因轧空和科技股加速上涨的势头而出现泡沫。市场出现不稳定性，脆弱性也加剧。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整体而言，盛宝银行对股市的长期展望仍为正面，但警告股市大幅上涨后通常会迅速下跌。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其它市场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WTI2月原油期货收跌0.42美元，跌幅0.72%，报57.81美元/桶。布伦特3月原油期货收跌0.49美元，跌幅0.76%，报64.00美元/桶。</w:t>
      </w:r>
    </w:p>
    <w:p>
      <w:pPr>
        <w:pStyle w:val="23"/>
        <w:spacing w:line="360" w:lineRule="auto"/>
        <w:ind w:firstLine="562" w:firstLineChars="200"/>
        <w:jc w:val="both"/>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1月15日报道 西班牙皇家埃尔卡诺研究所网站1月13日刊载题为《2020年的世界经济》的文章称，世界经济在2020年应该会继续增长，由于英国脱欧局面混乱、中美贸易战升级等困扰过去一年的部分重要不确定因素减少，2020年世界经济衰退的可能性降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文章称，然而，令人担忧的因素依然存在：例如特朗普的外交政策可能导致美国与伊朗的紧张关系日益加剧，对欧洲汽车业的关税提高，或者国际经济治理多边机构状况恶化。此外，还有其他一些问题：例如拉丁美洲的抗议活动日趋激烈，或者在不平等日益加剧和技术变革进一步发展的背景下，欧洲仇外的本土主义政党势力加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无论如何，抛开这些疑问，文章认为2020年世界经济很可能保持适度增长。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文章表示，2019年全球经济增速为过去十年来的最低水平。国际货币基金组织预测2020年世界经济将反弹，增速重新回到3%以上。投资的小幅增长和国际贸易复苏都将助推这种改善。国际贸易将在2020年增长大约3%。</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但是，全球经济增速加快，首先要归功于去年表现特别糟糕的一些新兴经济体——如阿根廷、土耳其、沙特阿拉伯、墨西哥、俄罗斯和巴西——的加速发展。</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按照最近几年的模式，发达经济体的增速将继续略有放缓。美国在选举年的经济增长将超过2%，在意识到经济放缓将阻碍自己连任后，特朗普会竭尽所能来加快经济增长。而欧元区、英国和日本等地将保持疲软的增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文章称，整个2020年期间，世界经济不稳定的主要风险与美国外交政策的影响脱不了干系。今年与去年的实质性差异可能是美国与伊朗冲突的升级，这不仅可能引发某种战争并让世界上形势最复杂的中东地区失去稳定，还会导致石油价格出现危险的上涨，拉低全球经济增速，对石油严重依赖进口的国家尤其不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文章介绍，特朗普将继续实行贸易保护主义政策。一方面，他可能会以保护国家安全的勉强理由在今年对进口汽车加征关税，欧元区国家、尤其是德国将受到严重影响。一切都表明，欧盟需要严肃对待来自美国的威胁，因此应做好准备面对紧张局势升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另一方面，对欧盟来说更令人担忧的是，美国将继续阻挠世界贸易组织的运转和改革。由于数月来美国拒绝为世贸组织解决冲突的上诉机构提名法官，该机构于去年12月停止运转。尽管欧盟正在努力建设一个并行的临时系统，但不能保证该系统有效。因此我们所熟悉的世贸组织可能由于美国抵制而就此终止使命。</w:t>
      </w: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8" w:name="_Toc533771866"/>
      <w:r>
        <w:rPr>
          <w:rFonts w:hint="eastAsia" w:ascii="宋体" w:hAnsi="宋体" w:eastAsia="宋体" w:cs="宋体"/>
          <w:color w:val="333335"/>
          <w:kern w:val="2"/>
          <w:sz w:val="28"/>
          <w:szCs w:val="28"/>
          <w:shd w:val="clear" w:color="auto" w:fill="FFFFFF"/>
        </w:rPr>
        <w:t>本周美国WTI原油原油价格在57.81- 59.56美元/桶。布伦特原油价格在64- 65.37美元/桶震荡。周内国际油价格弱势下滑。中美贸易协议的签署令市场情绪继续受到提振，但供应过剩忧虑不断升温令油价承压下挫。美国WTI原油期货价格盘中最低触及57.36美元/桶，布伦特原油期货价格盘中最低触及63.55美元/桶。基本面利好因素：中美双方在美国白宫举行第一阶段经贸协议签署仪式。美国总统特朗普在讲话中表示，中美双方将很快开始第二阶段贸易谈判。如达成二阶段协议，所有关税将马上取消。美国能源信息署(EIA)周三(1月15日)公布报告显示，截至1月10日当周，美国原油库存减少254.9万桶至4.285亿桶，市场预估为减少34.3万桶。美国油服公司贝克休斯(Baker Hughes)周五(1月10日)公布数据显示，截至1月10日当周，美国石油活跃钻井数减少11座至659座，连续三周录得下滑且触及2017年3月来最低水平。去年同期为873座。2019年录得2016年以来的首次年度降幅。根据周一(1月6日)发布的最新调查报告显示，由于尼日利亚和伊拉克更加严格地遵守了减产协议，且主要出口国沙特在新的限产协议达成之前进一步削减了原油产量，12月石油输出国组织(OPEC)的原油产量录得下降。调查显示，上个月OPEC原油产量为2950万桶/日。与11月的修正数字相比下降了5万桶/日。之前一直未能履行减产承诺的尼日利亚和伊拉克出现改善，这帮助减产执行率从11月的153%上升到12月的158%。基本面利空因素：美国能源信息署(EIA)周三(1月15日)公布报告显示，截至1月10日当周，上周俄克拉荷马州库欣原油库存增加34.2万桶，之前已经连续9周下降。美国精炼油库存增加817.1万桶，连续3周录得增长，市场预估为增加247.7万桶。美国汽油库存增加667.8万桶，连续10周录得增长，市场预估为增加364.2万桶。此外，上周美国国内原油产量增加10万桶至1300万桶/日，再创纪录新高。石油输出国组织(OPEC)周三(1月15日)表示，尽管全球需求增加，但OPEC预计2020年该组织的原油市场需求将减少，因为竞争对手产量增长将抢占市场份额，美国有望创下另一个产量纪录。OPEC在其市场报告中预测，近年来，在页岩气的推动下，美国的原油产量猛增，美国的原油总产量料将首次突破2000万桶/日的里程碑。同时OPEC表示，2020年第四季度美国原油及液体燃料的总产量将达到2021万桶/日，几乎满足美国2134万桶/日的需求。另一方面，OPEC上调了对2020年非OPEC产油国供应增长的预测，预计将从2019年的186万桶/日增加18万桶/日至235万桶/日。美国能源信息署(EIA)在短期能源报告中指出，预计美国2020年原油产量将增加106万桶/日至1330万桶/日，高于此前预期的1318万桶/日。而美国2021年原油产量料将进一步上升41万桶/日至1371万桶/日。美国总统特朗普在讲话中表态，只要我是美国总统，伊朗就不会被允许拥有核武器。其对外公布，美国士兵很安全，在这次的攻击中没有伤亡产生。此外，特朗普重申了美国的能源安全性已经大幅提高，已经不需要中东的原油供应。特朗普认为，伊朗似乎没有进一步行动的准备，但会对其实施额外的制裁，指出严厉的制裁将会一直持续至伊朗改变做法。这表明双方可能会重归谈判桌解决问题，中东紧张局势对原油供应的威胁已经大幅下降。俄罗斯能源部周四(1月2日)数据显示，2019年该国原油和凝析油合计日均产量为1125万桶/日，高于2018年的1116万桶/日，创后苏联时代纪录新高。该数据表明作为石油输出国组织(OPEC)+的关键合作产油国之一，在2019年的大部分时间内都没有达成之前的减产承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预测下周WTI油价将触及56-60美元/桶，布油在之后几个月触及63-66美元/桶。</w:t>
      </w:r>
    </w:p>
    <w:p>
      <w:pPr>
        <w:pStyle w:val="3"/>
        <w:spacing w:before="120" w:after="120" w:line="240" w:lineRule="auto"/>
        <w:rPr>
          <w:rFonts w:hint="eastAsia" w:ascii="宋体" w:hAnsi="宋体"/>
          <w:b/>
          <w:sz w:val="30"/>
          <w:szCs w:val="30"/>
          <w:highlight w:val="none"/>
        </w:rPr>
      </w:pPr>
    </w:p>
    <w:p>
      <w:pPr>
        <w:rPr>
          <w:rFonts w:hint="eastAsia" w:ascii="宋体" w:hAnsi="宋体"/>
          <w:b/>
          <w:sz w:val="30"/>
          <w:szCs w:val="30"/>
          <w:highlight w:val="none"/>
        </w:rPr>
      </w:pPr>
    </w:p>
    <w:p>
      <w:pPr>
        <w:rPr>
          <w:rFonts w:hint="eastAsia" w:ascii="宋体" w:hAnsi="宋体"/>
          <w:b/>
          <w:sz w:val="30"/>
          <w:szCs w:val="30"/>
          <w:highlight w:val="none"/>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1月15日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653.00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221.50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715.00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1月14日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669.00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219.99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715.00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676.00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220.10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713.25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679.00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220.33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714.25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219.64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702.00 </w:t>
            </w:r>
          </w:p>
        </w:tc>
      </w:tr>
    </w:tbl>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p>
      <w:pPr>
        <w:rPr>
          <w:rFonts w:hint="eastAsia" w:ascii="宋体" w:hAnsi="宋体"/>
          <w:sz w:val="21"/>
          <w:szCs w:val="21"/>
          <w:highlight w:val="none"/>
        </w:rPr>
      </w:pP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-4-</w:t>
            </w:r>
            <w:r>
              <w:rPr>
                <w:rFonts w:hint="eastAsia" w:ascii="宋体" w:hAnsi="宋体"/>
                <w:szCs w:val="21"/>
                <w:lang w:val="en-US" w:eastAsia="zh-CN"/>
              </w:rPr>
              <w:t>9</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rPr>
              <w:t>2019-5-</w:t>
            </w:r>
            <w:r>
              <w:rPr>
                <w:rFonts w:hint="eastAsia" w:ascii="宋体" w:hAnsi="宋体"/>
                <w:color w:val="auto"/>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rPr>
              <w:t>2019-</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-3-</w:t>
            </w:r>
            <w:r>
              <w:rPr>
                <w:rFonts w:hint="eastAsia" w:ascii="宋体" w:hAnsi="宋体"/>
                <w:szCs w:val="21"/>
                <w:lang w:val="en-US" w:eastAsia="zh-CN"/>
              </w:rPr>
              <w:t>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13</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hint="eastAsia" w:ascii="宋体" w:hAnsi="宋体" w:eastAsia="宋体"/>
                <w:szCs w:val="21"/>
                <w:lang w:eastAsia="zh-CN"/>
              </w:rPr>
            </w:pPr>
            <w:r>
              <w:rPr>
                <w:rFonts w:hint="eastAsia" w:ascii="宋体" w:hAnsi="宋体"/>
                <w:szCs w:val="21"/>
                <w:lang w:val="en-US" w:eastAsia="zh-CN"/>
              </w:rPr>
              <w:t>4</w:t>
            </w:r>
            <w:r>
              <w:rPr>
                <w:rFonts w:hint="eastAsia" w:ascii="宋体" w:hAnsi="宋体"/>
                <w:szCs w:val="21"/>
              </w:rPr>
              <w:t>#</w:t>
            </w:r>
            <w:r>
              <w:rPr>
                <w:rFonts w:hint="eastAsia" w:ascii="宋体" w:hAnsi="宋体"/>
                <w:szCs w:val="21"/>
                <w:lang w:eastAsia="zh-CN"/>
              </w:rPr>
              <w:t>常减压</w:t>
            </w:r>
          </w:p>
        </w:tc>
        <w:tc>
          <w:tcPr>
            <w:tcW w:w="1774" w:type="dxa"/>
            <w:tcBorders>
              <w:top w:val="single" w:color="auto" w:sz="4" w:space="0"/>
              <w:left w:val="nil"/>
              <w:bottom w:val="single" w:color="auto" w:sz="4" w:space="0"/>
              <w:right w:val="single" w:color="auto" w:sz="4" w:space="0"/>
            </w:tcBorders>
          </w:tcPr>
          <w:p>
            <w:pPr>
              <w:jc w:val="center"/>
              <w:rPr>
                <w:rFonts w:hint="default" w:ascii="宋体" w:hAnsi="宋体" w:eastAsia="宋体"/>
                <w:szCs w:val="21"/>
                <w:lang w:val="en-US" w:eastAsia="zh-CN"/>
              </w:rPr>
            </w:pPr>
            <w:r>
              <w:rPr>
                <w:rFonts w:hint="eastAsia" w:ascii="宋体" w:hAnsi="宋体"/>
                <w:szCs w:val="21"/>
                <w:lang w:val="en-US" w:eastAsia="zh-CN"/>
              </w:rPr>
              <w:t>300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16</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2</w:t>
      </w:r>
      <w:r>
        <w:rPr>
          <w:rFonts w:hint="eastAsia" w:ascii="宋体" w:hAnsi="宋体"/>
          <w:sz w:val="28"/>
          <w:szCs w:val="28"/>
          <w:highlight w:val="none"/>
        </w:rPr>
        <w:t>）国内地方炼厂装置检修情况</w:t>
      </w:r>
    </w:p>
    <w:p>
      <w:pPr>
        <w:numPr>
          <w:ilvl w:val="0"/>
          <w:numId w:val="0"/>
        </w:numPr>
        <w:rPr>
          <w:rFonts w:hint="eastAsia" w:ascii="宋体" w:hAnsi="宋体"/>
          <w:sz w:val="21"/>
          <w:szCs w:val="21"/>
          <w:highlight w:val="none"/>
        </w:rPr>
      </w:pP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炼厂名称</w:t>
            </w:r>
          </w:p>
        </w:tc>
        <w:tc>
          <w:tcPr>
            <w:tcW w:w="1260"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检修产能（万吨）</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hint="eastAsia" w:ascii="宋体" w:hAnsi="宋体" w:eastAsia="宋体"/>
                <w:szCs w:val="21"/>
                <w:lang w:eastAsia="zh-CN"/>
              </w:rPr>
            </w:pPr>
            <w:r>
              <w:rPr>
                <w:rFonts w:hint="eastAsia" w:ascii="宋体" w:hAnsi="宋体"/>
                <w:szCs w:val="21"/>
                <w:lang w:eastAsia="zh-CN"/>
              </w:rPr>
              <w:t>全厂检修</w:t>
            </w:r>
          </w:p>
        </w:tc>
        <w:tc>
          <w:tcPr>
            <w:tcW w:w="1854" w:type="dxa"/>
            <w:noWrap/>
          </w:tcPr>
          <w:p>
            <w:pPr>
              <w:jc w:val="center"/>
              <w:rPr>
                <w:rFonts w:hint="default" w:ascii="宋体" w:hAnsi="宋体" w:eastAsia="宋体"/>
                <w:szCs w:val="21"/>
                <w:lang w:val="en-US" w:eastAsia="zh-CN"/>
              </w:rPr>
            </w:pPr>
            <w:r>
              <w:rPr>
                <w:rFonts w:hint="eastAsia" w:ascii="宋体" w:hAnsi="宋体"/>
                <w:szCs w:val="21"/>
                <w:lang w:val="en-US" w:eastAsia="zh-CN"/>
              </w:rPr>
              <w:t>590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eastAsia"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6陆续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lang w:eastAsia="zh-CN"/>
              </w:rPr>
              <w:t>全厂检修</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hint="default"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p>
        </w:tc>
        <w:tc>
          <w:tcPr>
            <w:tcW w:w="2523" w:type="dxa"/>
            <w:noWrap/>
          </w:tcPr>
          <w:p>
            <w:pPr>
              <w:jc w:val="center"/>
              <w:rPr>
                <w:rFonts w:hint="eastAsia" w:ascii="宋体" w:hAnsi="宋体" w:eastAsia="宋体"/>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17</w:t>
            </w:r>
          </w:p>
        </w:tc>
      </w:tr>
    </w:tbl>
    <w:p>
      <w:pPr>
        <w:pStyle w:val="3"/>
        <w:spacing w:before="120" w:after="120" w:line="240" w:lineRule="auto"/>
        <w:rPr>
          <w:rFonts w:hint="eastAsia" w:ascii="宋体" w:hAnsi="宋体"/>
          <w:b/>
          <w:sz w:val="30"/>
          <w:szCs w:val="30"/>
          <w:highlight w:val="none"/>
        </w:rPr>
      </w:pPr>
      <w:bookmarkStart w:id="11" w:name="_Toc533771869"/>
    </w:p>
    <w:p>
      <w:pPr>
        <w:rPr>
          <w:rFonts w:hint="eastAsia"/>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3.2本周成品油市场行情</w:t>
      </w:r>
      <w:bookmarkEnd w:id="11"/>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12" w:name="_Toc533771870"/>
      <w:r>
        <w:rPr>
          <w:rFonts w:hint="eastAsia" w:ascii="宋体" w:hAnsi="宋体" w:eastAsia="宋体" w:cs="宋体"/>
          <w:color w:val="333335"/>
          <w:kern w:val="2"/>
          <w:sz w:val="28"/>
          <w:szCs w:val="28"/>
          <w:shd w:val="clear" w:color="auto" w:fill="FFFFFF"/>
        </w:rPr>
        <w:t>本周，国际原油期货震荡下行，第七个工作日参考原油变化率为1.74%。受此影响，国内成品油市场购销氛围持淡，各地主营单位汽柴油价格下调。与此同时，山东地炼成品油行情持续弱势，各炼厂报价频频走低，且成交保持100元/吨左右优惠。具体来看出货方面：外盘油价连续收跌打压业者心态，区内油市看跌情绪浓重，中间商囤货意向淡薄，仅少数下游用户逢低买入，使得地炼整体出货表现欠佳，库存普遍处于中低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后市前瞻：进入下周，由于美伊战事并未进一步扩大，国际原油期价承受较大压力，但中美签订第一阶段贸易协定，将有助于油价企稳。以WTI为例，主流运行区间在56-60(均值58)美元/桶之间，环比下跌1.96美元/桶或3.16%。在缺少消息面利好刺激下，山东地区成品油行情恐难有作为。加上春节假期临近，油市业者陆续离市休假，市场交投气氛转淡。综上所述，预计山东地炼汽柴油价格维持低位震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本周(1月10日-1月16日)，消息面持续施压 区内油价弱势下探 具体分析如下，本周，国际原油接连下挫，零售价最终搁浅，且新一轮变化率维持负向宽幅运行，消息面不断利空施压。加上区内近期雨雪天气较为频繁，市场需求疲软，主营临近春节，出货压力较大,各单位积极降价促销，汽柴油价格稳中下探，且实盘成交按量均存较大商谈空间。下游用户观望消库之余，择低小单购进为主，市场购销气氛整体欠佳。后市而言，国际原油或偏弱震荡，本轮零售价下调概率增加，消息面维持利空指向。春节渐近，下游备货基本完成，主营销售政策或变化有限。故预计短期内区内汽柴油报价或以稳为主，各单位销售政策仍较为灵活，市场购销气氛维持低迷。</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月10日-1月16日)，华东地区成品油行情回落，交投气氛冷淡。具体来看，国际原油大幅下滑，消息面指引明显转空。与此同时，近期山东地炼成品油价格承压下挫，主营外采成本随之降低。再者，随着春节假期渐近，户外工矿、基建等行业基本全面停工，柴油刚性需求降至冰点，汽油方面需求稳定，但由于市场充斥低价资源，导致业者看空情绪浓郁，故采购积极性持续低迷。受诸多利空拖累，上海及江苏地区成品油价格整体回调，浙江省对外报价稳定，但实际成交优惠放宽。然市场缺乏需求，加之市场对后市多持看空心态，故降价后市场反应依旧十分有限。后市而言，下周国际原油或弱势震荡，零售价下调预期明显，消息面难有利好指引，加之春节假期逼近，市场业者陆续退市，故预计下周华东地区成品油行情横盘整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月10日-1月16日)，华南地区成品油行情低迷下滑，市场购销气氛平淡。具体来看，国际原油期货明显下跌，零售价调整搁浅，新一轮变化率负向宽幅开端，消息方面利空油市。受此影响，山东地炼汽柴油价格持续弱势下跌，主营单位外采成本不断降低。基于买涨杀跌心态，业者观望情绪浓郁，入市补仓意愿淡薄，主营单位出货迟缓，汽柴油价格承压不断下跌，市场交投气氛维持清淡。后市来看，国际原油期货或震荡下跌，本轮零售价下调预期增大，消息方面指引偏空。与此同时，临近春节，业者陆续休假离市，市场交投氛围愈加清淡。预计下周华南地区汽柴油行情不乏继续下跌可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月10日-1月16日)，华北地区主营汽柴油行情弱势下行，交投气氛清淡。分析来看，周内国际原油震荡下行，零售价最终兑现搁浅，新一轮变化率大幅负向开端，消息面对市场指引偏空为主。山东地炼汽柴油行情维持弱势，成本面亦难寻支撑。与此同时临近春节，柴油需求愈加清淡，而汽油受节日利好影响，下游备货略有支撑。鉴于本月销售周期较短，主营方面积极出货心态为主，部分主营单位降价促销，成交优惠政策宽松。但业者心态较为谨慎，市场整体交投气氛一般。后市来看，国际原油或震荡下行,零售价存下调预期，消息面指引偏空。加之下游需求难有明显起色，故预计短期华北地区柴油或承压弱势运行，交投气氛清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月10日-1月16日)，西南地区汽柴行情高位回落，市场成交仍显平淡。分析来看：周内，国际油价下行为主，本周二成品油零售价搁浅，进入新一轮计价周期，变化率负向区间加深，消息面利空难以消散。主营单位销售压力渐增，汽柴价格纷纷回落，且加大成交优惠。但春节假期临近，工矿基建等行业陆续停工，柴油需求继续萎缩，业者多无心采购，市场成交稀少;汽油方面，私家车出行增多，终端用油量增加，不过，业者前期基本补货到位，大单采购有限，市场成交亦维持平淡。就后市而言，国际油价继续承压，变化率负向较大区间运行，消息面对市场难有指引。再者，春节假期将至，市场进入去库存阶段，购销气氛延续清淡。预计近期西南地区汽柴行情弱势运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22" w:name="_GoBack"/>
      <w:r>
        <w:rPr>
          <w:rFonts w:hint="eastAsia" w:ascii="宋体" w:hAnsi="宋体" w:eastAsia="宋体" w:cs="宋体"/>
          <w:color w:val="333335"/>
          <w:kern w:val="2"/>
          <w:sz w:val="28"/>
          <w:szCs w:val="28"/>
          <w:shd w:val="clear" w:color="auto" w:fill="FFFFFF"/>
        </w:rPr>
        <w:t>本周(1月10日-1月16日)，西北地炼汽油行情小幅走高，柴油行情维持淡稳。分析来看：本周二成品油调价搁浅，消息面难有支撑。不过，受春节假期提振，业者前期积极采购汽油，整体行情略有支撑，周内价格仍有所推涨。而柴油随着春节临近，下游需求低迷，整体行情维持淡稳。之后，国际油价仍下行为主，进入新一轮计价周期，变化率负向区间加深，消息面利空持增。此外，节前下游补货基本到位，市场逐步进入去库存阶段，成交气氛持续转淡。就后市而言，国际油价区间震荡，变化率负向区间波动，消息面对市场难有指引。此外，春节前后，业者消库存为主，市场购销两淡。预计短线西北地炼汽柴行情弱势走稳。</w:t>
      </w:r>
    </w:p>
    <w:bookmarkEnd w:id="22"/>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2020/1/16</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2020/1/9</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6580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2020/1/16</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2020/1/9</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6310</w:t>
            </w:r>
          </w:p>
        </w:tc>
      </w:tr>
    </w:tbl>
    <w:p>
      <w:pPr>
        <w:pStyle w:val="3"/>
        <w:spacing w:before="120" w:after="120" w:line="240" w:lineRule="auto"/>
        <w:rPr>
          <w:rFonts w:hint="eastAsia" w:ascii="宋体" w:hAnsi="宋体"/>
          <w:b/>
          <w:sz w:val="30"/>
          <w:szCs w:val="30"/>
          <w:lang w:val="en-US" w:eastAsia="zh-CN"/>
        </w:rPr>
      </w:pPr>
      <w:bookmarkStart w:id="14" w:name="_Toc533771872"/>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2020/1/16</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2020/1/9</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2020/1/16</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2020/1/9</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lang w:val="en-US" w:eastAsia="zh-CN"/>
        </w:rPr>
      </w:pPr>
      <w:bookmarkStart w:id="16" w:name="_Toc533771874"/>
      <w:r>
        <w:rPr>
          <w:rFonts w:hint="eastAsia" w:ascii="宋体" w:hAnsi="宋体"/>
          <w:b/>
          <w:sz w:val="30"/>
          <w:szCs w:val="30"/>
          <w:lang w:val="en-US" w:eastAsia="zh-CN"/>
        </w:rPr>
        <w:t>四、2017年10月份进出口统计数据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2017年1</w:t>
      </w:r>
      <w:r>
        <w:rPr>
          <w:rFonts w:hint="eastAsia" w:ascii="宋体" w:hAnsi="宋体"/>
          <w:b/>
          <w:sz w:val="30"/>
          <w:szCs w:val="30"/>
          <w:lang w:val="en-US" w:eastAsia="zh-CN"/>
        </w:rPr>
        <w:t>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pStyle w:val="3"/>
        <w:spacing w:before="120" w:after="120" w:line="240" w:lineRule="auto"/>
        <w:rPr>
          <w:rFonts w:hint="eastAsia" w:ascii="宋体" w:hAnsi="宋体"/>
          <w:b/>
          <w:sz w:val="30"/>
          <w:szCs w:val="30"/>
        </w:rPr>
      </w:pPr>
      <w:bookmarkStart w:id="18" w:name="_Toc533771876"/>
      <w:r>
        <w:rPr>
          <w:rFonts w:hint="eastAsia" w:ascii="宋体" w:hAnsi="宋体"/>
          <w:b/>
          <w:sz w:val="30"/>
          <w:szCs w:val="30"/>
        </w:rPr>
        <w:t>4.2 2017年1</w:t>
      </w:r>
      <w:r>
        <w:rPr>
          <w:rFonts w:hint="eastAsia" w:ascii="宋体" w:hAnsi="宋体"/>
          <w:b/>
          <w:sz w:val="30"/>
          <w:szCs w:val="30"/>
          <w:lang w:val="en-US" w:eastAsia="zh-CN"/>
        </w:rPr>
        <w:t>0</w:t>
      </w:r>
      <w:r>
        <w:rPr>
          <w:rFonts w:hint="eastAsia" w:ascii="宋体" w:hAnsi="宋体"/>
          <w:b/>
          <w:sz w:val="30"/>
          <w:szCs w:val="30"/>
        </w:rPr>
        <w:t>月份全国轻柴油进出口统计数据</w:t>
      </w:r>
      <w:bookmarkEnd w:id="18"/>
    </w:p>
    <w:p>
      <w:pPr>
        <w:rPr>
          <w:bCs/>
          <w:szCs w:val="21"/>
        </w:rPr>
      </w:pPr>
      <w:r>
        <w:rPr>
          <w:rFonts w:hint="eastAsia"/>
          <w:bCs/>
          <w:szCs w:val="21"/>
        </w:rPr>
        <w:t>单位：千克，美元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2017年1</w:t>
      </w:r>
      <w:r>
        <w:rPr>
          <w:rFonts w:hint="eastAsia" w:ascii="宋体" w:hAnsi="宋体"/>
          <w:b/>
          <w:sz w:val="30"/>
          <w:szCs w:val="30"/>
          <w:lang w:val="en-US" w:eastAsia="zh-CN"/>
        </w:rPr>
        <w:t>0</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单位：千克，美元</w:t>
      </w:r>
    </w:p>
    <w:p>
      <w:pPr>
        <w:rPr>
          <w:rFonts w:hint="eastAsia"/>
          <w:bCs/>
          <w:szCs w:val="21"/>
        </w:rPr>
      </w:pPr>
    </w:p>
    <w:p>
      <w:pPr>
        <w:rPr>
          <w:rFonts w:hint="eastAsia"/>
          <w:bCs/>
          <w:szCs w:val="21"/>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2017年1</w:t>
      </w:r>
      <w:r>
        <w:rPr>
          <w:rFonts w:hint="eastAsia" w:ascii="宋体" w:hAnsi="宋体"/>
          <w:b/>
          <w:sz w:val="30"/>
          <w:szCs w:val="30"/>
          <w:lang w:val="en-US" w:eastAsia="zh-CN"/>
        </w:rPr>
        <w:t>0</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单位：千克，美元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pStyle w:val="3"/>
        <w:spacing w:before="120" w:after="120" w:line="240" w:lineRule="auto"/>
        <w:rPr>
          <w:rFonts w:hint="eastAsia" w:ascii="宋体" w:hAnsi="宋体"/>
          <w:b/>
          <w:sz w:val="30"/>
          <w:szCs w:val="30"/>
        </w:rPr>
      </w:pPr>
      <w:bookmarkStart w:id="21" w:name="_Toc533771879"/>
    </w:p>
    <w:p>
      <w:pPr>
        <w:pStyle w:val="3"/>
        <w:spacing w:before="120" w:after="120" w:line="240" w:lineRule="auto"/>
        <w:rPr>
          <w:rFonts w:hint="eastAsia" w:ascii="宋体" w:hAnsi="宋体"/>
          <w:b/>
          <w:sz w:val="30"/>
          <w:szCs w:val="30"/>
        </w:rPr>
      </w:pPr>
      <w:r>
        <w:rPr>
          <w:rFonts w:hint="eastAsia" w:ascii="宋体" w:hAnsi="宋体"/>
          <w:b/>
          <w:sz w:val="30"/>
          <w:szCs w:val="30"/>
        </w:rPr>
        <w:t>4.5 2017年1</w:t>
      </w:r>
      <w:r>
        <w:rPr>
          <w:rFonts w:hint="eastAsia" w:ascii="宋体" w:hAnsi="宋体"/>
          <w:b/>
          <w:sz w:val="30"/>
          <w:szCs w:val="30"/>
          <w:lang w:val="en-US" w:eastAsia="zh-CN"/>
        </w:rPr>
        <w:t>0</w:t>
      </w:r>
      <w:r>
        <w:rPr>
          <w:rFonts w:hint="eastAsia" w:ascii="宋体" w:hAnsi="宋体"/>
          <w:b/>
          <w:sz w:val="30"/>
          <w:szCs w:val="30"/>
        </w:rPr>
        <w:t>月份全国其他煤油进出口统计数据</w:t>
      </w:r>
      <w:bookmarkEnd w:id="21"/>
    </w:p>
    <w:p>
      <w:pPr>
        <w:jc w:val="left"/>
      </w:pPr>
      <w:r>
        <w:rPr>
          <w:rFonts w:hint="eastAsia" w:ascii="宋体" w:hAnsi="宋体"/>
        </w:rPr>
        <w:t>单位：千克,美元</w:t>
      </w:r>
    </w:p>
    <w:tbl>
      <w:tblPr>
        <w:tblStyle w:val="24"/>
        <w:tblpPr w:leftFromText="180" w:rightFromText="180" w:vertAnchor="text" w:horzAnchor="page" w:tblpX="1500" w:tblpY="30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1BD1D63"/>
    <w:rsid w:val="01FE2CFE"/>
    <w:rsid w:val="029F2908"/>
    <w:rsid w:val="03211A1D"/>
    <w:rsid w:val="034407FB"/>
    <w:rsid w:val="034F6246"/>
    <w:rsid w:val="036D5E24"/>
    <w:rsid w:val="03A57F11"/>
    <w:rsid w:val="044E5434"/>
    <w:rsid w:val="048101D3"/>
    <w:rsid w:val="048C7CAA"/>
    <w:rsid w:val="04BF7371"/>
    <w:rsid w:val="053B1A3D"/>
    <w:rsid w:val="06300679"/>
    <w:rsid w:val="067746D4"/>
    <w:rsid w:val="069C6A8D"/>
    <w:rsid w:val="06B9287B"/>
    <w:rsid w:val="06DA3028"/>
    <w:rsid w:val="06F31CB3"/>
    <w:rsid w:val="0718687A"/>
    <w:rsid w:val="076C6634"/>
    <w:rsid w:val="07820AB4"/>
    <w:rsid w:val="07D15C8A"/>
    <w:rsid w:val="07E76A1F"/>
    <w:rsid w:val="0820276D"/>
    <w:rsid w:val="08573B5A"/>
    <w:rsid w:val="086F6B65"/>
    <w:rsid w:val="09371EEF"/>
    <w:rsid w:val="093F6B95"/>
    <w:rsid w:val="095B63CA"/>
    <w:rsid w:val="098251C0"/>
    <w:rsid w:val="09F11ACB"/>
    <w:rsid w:val="09FB6243"/>
    <w:rsid w:val="0A29795D"/>
    <w:rsid w:val="0AA33DAF"/>
    <w:rsid w:val="0AC60296"/>
    <w:rsid w:val="0AD32487"/>
    <w:rsid w:val="0B421176"/>
    <w:rsid w:val="0BCE6861"/>
    <w:rsid w:val="0BDC4FBC"/>
    <w:rsid w:val="0C08318F"/>
    <w:rsid w:val="0C586B50"/>
    <w:rsid w:val="0CE32FB8"/>
    <w:rsid w:val="0D731CA1"/>
    <w:rsid w:val="0DD115AA"/>
    <w:rsid w:val="0E04318C"/>
    <w:rsid w:val="0E31785B"/>
    <w:rsid w:val="0E8B35C9"/>
    <w:rsid w:val="0EAF107B"/>
    <w:rsid w:val="0EC1627E"/>
    <w:rsid w:val="0ED36950"/>
    <w:rsid w:val="0F034AA6"/>
    <w:rsid w:val="0F125E7D"/>
    <w:rsid w:val="0F26373F"/>
    <w:rsid w:val="0F7D42FE"/>
    <w:rsid w:val="1265739D"/>
    <w:rsid w:val="12662947"/>
    <w:rsid w:val="13267B35"/>
    <w:rsid w:val="134A6D86"/>
    <w:rsid w:val="13594CF7"/>
    <w:rsid w:val="135A728A"/>
    <w:rsid w:val="138744BB"/>
    <w:rsid w:val="13E7373B"/>
    <w:rsid w:val="144B6D3F"/>
    <w:rsid w:val="147759A4"/>
    <w:rsid w:val="154F205D"/>
    <w:rsid w:val="15615E0F"/>
    <w:rsid w:val="15D83B2E"/>
    <w:rsid w:val="16600954"/>
    <w:rsid w:val="16734EEE"/>
    <w:rsid w:val="16E22B33"/>
    <w:rsid w:val="17194D7A"/>
    <w:rsid w:val="173C1948"/>
    <w:rsid w:val="17464B66"/>
    <w:rsid w:val="17652D76"/>
    <w:rsid w:val="177778D5"/>
    <w:rsid w:val="177C4324"/>
    <w:rsid w:val="18CA4E8D"/>
    <w:rsid w:val="195D29F2"/>
    <w:rsid w:val="19850C75"/>
    <w:rsid w:val="198F27F8"/>
    <w:rsid w:val="1A555BDB"/>
    <w:rsid w:val="1ACC4B7F"/>
    <w:rsid w:val="1B816F9A"/>
    <w:rsid w:val="1B9C1B61"/>
    <w:rsid w:val="1BFE2971"/>
    <w:rsid w:val="1C01336C"/>
    <w:rsid w:val="1C1669BA"/>
    <w:rsid w:val="1C2230E8"/>
    <w:rsid w:val="1C2E2C8D"/>
    <w:rsid w:val="1D2B7B9F"/>
    <w:rsid w:val="1D3F5714"/>
    <w:rsid w:val="1D466011"/>
    <w:rsid w:val="1D547E28"/>
    <w:rsid w:val="1D655DB6"/>
    <w:rsid w:val="1D980258"/>
    <w:rsid w:val="1E2278F4"/>
    <w:rsid w:val="1E5542CC"/>
    <w:rsid w:val="1E6D6ABE"/>
    <w:rsid w:val="1E755624"/>
    <w:rsid w:val="1F092A2D"/>
    <w:rsid w:val="1F6B3A34"/>
    <w:rsid w:val="1F98363F"/>
    <w:rsid w:val="1FCD7675"/>
    <w:rsid w:val="1FFC155B"/>
    <w:rsid w:val="20261774"/>
    <w:rsid w:val="203A4D2E"/>
    <w:rsid w:val="205B78B2"/>
    <w:rsid w:val="206901B1"/>
    <w:rsid w:val="20C12FDC"/>
    <w:rsid w:val="211001E9"/>
    <w:rsid w:val="21147D43"/>
    <w:rsid w:val="21216F1B"/>
    <w:rsid w:val="224E7428"/>
    <w:rsid w:val="2261560B"/>
    <w:rsid w:val="22944164"/>
    <w:rsid w:val="22D174A6"/>
    <w:rsid w:val="23B946BE"/>
    <w:rsid w:val="24322A62"/>
    <w:rsid w:val="24554136"/>
    <w:rsid w:val="245C2B3F"/>
    <w:rsid w:val="24974A9D"/>
    <w:rsid w:val="24A21A55"/>
    <w:rsid w:val="24BC74B9"/>
    <w:rsid w:val="250D3E66"/>
    <w:rsid w:val="25955E96"/>
    <w:rsid w:val="259B6E31"/>
    <w:rsid w:val="25B904A8"/>
    <w:rsid w:val="261447E7"/>
    <w:rsid w:val="270D21C6"/>
    <w:rsid w:val="27A7464B"/>
    <w:rsid w:val="28892109"/>
    <w:rsid w:val="28A325B7"/>
    <w:rsid w:val="28B71571"/>
    <w:rsid w:val="29D84ABC"/>
    <w:rsid w:val="2A252C4C"/>
    <w:rsid w:val="2AC063B7"/>
    <w:rsid w:val="2ACD0874"/>
    <w:rsid w:val="2B0F004D"/>
    <w:rsid w:val="2B6638DE"/>
    <w:rsid w:val="2BED5A7C"/>
    <w:rsid w:val="2BF858F4"/>
    <w:rsid w:val="2BFC6315"/>
    <w:rsid w:val="2BFD5564"/>
    <w:rsid w:val="2CAD067B"/>
    <w:rsid w:val="2D4D17E5"/>
    <w:rsid w:val="2DF5641D"/>
    <w:rsid w:val="2E2F56E6"/>
    <w:rsid w:val="2E4A7323"/>
    <w:rsid w:val="2EA56E95"/>
    <w:rsid w:val="2ED4404D"/>
    <w:rsid w:val="2F13732E"/>
    <w:rsid w:val="2FD85581"/>
    <w:rsid w:val="2FE513F6"/>
    <w:rsid w:val="302909D7"/>
    <w:rsid w:val="30A00CB5"/>
    <w:rsid w:val="30E73B0D"/>
    <w:rsid w:val="30FC61C2"/>
    <w:rsid w:val="31363ABC"/>
    <w:rsid w:val="314614BA"/>
    <w:rsid w:val="31490B7D"/>
    <w:rsid w:val="3189708E"/>
    <w:rsid w:val="31B05A1F"/>
    <w:rsid w:val="31FC35FB"/>
    <w:rsid w:val="32010D04"/>
    <w:rsid w:val="32574FD8"/>
    <w:rsid w:val="32CE45BC"/>
    <w:rsid w:val="33435E16"/>
    <w:rsid w:val="34005D95"/>
    <w:rsid w:val="34173060"/>
    <w:rsid w:val="34474FF1"/>
    <w:rsid w:val="34B63281"/>
    <w:rsid w:val="3572663B"/>
    <w:rsid w:val="357D4C50"/>
    <w:rsid w:val="364A7C84"/>
    <w:rsid w:val="36605016"/>
    <w:rsid w:val="366B7A53"/>
    <w:rsid w:val="36F44E23"/>
    <w:rsid w:val="371D2966"/>
    <w:rsid w:val="373062E8"/>
    <w:rsid w:val="37785098"/>
    <w:rsid w:val="37A6234C"/>
    <w:rsid w:val="37D337D1"/>
    <w:rsid w:val="38781C56"/>
    <w:rsid w:val="38E95212"/>
    <w:rsid w:val="391C1C7A"/>
    <w:rsid w:val="39600E80"/>
    <w:rsid w:val="3A01261A"/>
    <w:rsid w:val="3A1A4CEB"/>
    <w:rsid w:val="3A481E25"/>
    <w:rsid w:val="3A6F255F"/>
    <w:rsid w:val="3A90237F"/>
    <w:rsid w:val="3B0A7991"/>
    <w:rsid w:val="3B100A85"/>
    <w:rsid w:val="3BD837A5"/>
    <w:rsid w:val="3C317DDD"/>
    <w:rsid w:val="3C742BEB"/>
    <w:rsid w:val="3CB004C5"/>
    <w:rsid w:val="3CB35047"/>
    <w:rsid w:val="3CB47F7E"/>
    <w:rsid w:val="3D8D1DDC"/>
    <w:rsid w:val="3E0F09D9"/>
    <w:rsid w:val="3E3D25F5"/>
    <w:rsid w:val="3E752011"/>
    <w:rsid w:val="3E8E2505"/>
    <w:rsid w:val="3E9953AC"/>
    <w:rsid w:val="3F310E2B"/>
    <w:rsid w:val="3F4D19AF"/>
    <w:rsid w:val="3F837DDF"/>
    <w:rsid w:val="3FA21405"/>
    <w:rsid w:val="3FCB012B"/>
    <w:rsid w:val="40171145"/>
    <w:rsid w:val="40742438"/>
    <w:rsid w:val="41696F7F"/>
    <w:rsid w:val="419D7C05"/>
    <w:rsid w:val="41F604FA"/>
    <w:rsid w:val="424F02B6"/>
    <w:rsid w:val="427133C0"/>
    <w:rsid w:val="431F563A"/>
    <w:rsid w:val="432D0CD2"/>
    <w:rsid w:val="4348259E"/>
    <w:rsid w:val="434C0977"/>
    <w:rsid w:val="44615639"/>
    <w:rsid w:val="448F5706"/>
    <w:rsid w:val="44944331"/>
    <w:rsid w:val="44B05905"/>
    <w:rsid w:val="459B774E"/>
    <w:rsid w:val="47C254B8"/>
    <w:rsid w:val="47DF082A"/>
    <w:rsid w:val="47EB5003"/>
    <w:rsid w:val="483A31DC"/>
    <w:rsid w:val="48942C25"/>
    <w:rsid w:val="4898666C"/>
    <w:rsid w:val="489B75DE"/>
    <w:rsid w:val="48B5305A"/>
    <w:rsid w:val="490B579F"/>
    <w:rsid w:val="4969605D"/>
    <w:rsid w:val="498A3B85"/>
    <w:rsid w:val="49D021B0"/>
    <w:rsid w:val="4A3546EB"/>
    <w:rsid w:val="4A526073"/>
    <w:rsid w:val="4A56215E"/>
    <w:rsid w:val="4A5D4A40"/>
    <w:rsid w:val="4A8561F1"/>
    <w:rsid w:val="4A943BC6"/>
    <w:rsid w:val="4AAF17A9"/>
    <w:rsid w:val="4BB317A2"/>
    <w:rsid w:val="4BC27F8D"/>
    <w:rsid w:val="4BCC6CCE"/>
    <w:rsid w:val="4BE44E6C"/>
    <w:rsid w:val="4BF446B8"/>
    <w:rsid w:val="4C061338"/>
    <w:rsid w:val="4C5E08E0"/>
    <w:rsid w:val="4CBF4AE9"/>
    <w:rsid w:val="4D0A349B"/>
    <w:rsid w:val="4D427C91"/>
    <w:rsid w:val="4DBE12C2"/>
    <w:rsid w:val="4DCE6ED3"/>
    <w:rsid w:val="4E333BBB"/>
    <w:rsid w:val="4EC951FF"/>
    <w:rsid w:val="4ED04B02"/>
    <w:rsid w:val="4F566ACF"/>
    <w:rsid w:val="4FAD0DF7"/>
    <w:rsid w:val="4FC15F00"/>
    <w:rsid w:val="51147068"/>
    <w:rsid w:val="51952A88"/>
    <w:rsid w:val="51EE27E3"/>
    <w:rsid w:val="5234477C"/>
    <w:rsid w:val="52515077"/>
    <w:rsid w:val="52CB6EC0"/>
    <w:rsid w:val="52D061DA"/>
    <w:rsid w:val="5341530E"/>
    <w:rsid w:val="53434396"/>
    <w:rsid w:val="534D112E"/>
    <w:rsid w:val="5393301A"/>
    <w:rsid w:val="53971518"/>
    <w:rsid w:val="53B91D8C"/>
    <w:rsid w:val="53E56E6E"/>
    <w:rsid w:val="54010C17"/>
    <w:rsid w:val="546C3F2D"/>
    <w:rsid w:val="547F46DA"/>
    <w:rsid w:val="549F75FE"/>
    <w:rsid w:val="556D2811"/>
    <w:rsid w:val="55F04C52"/>
    <w:rsid w:val="55F35D23"/>
    <w:rsid w:val="56A332D5"/>
    <w:rsid w:val="56C325A5"/>
    <w:rsid w:val="572D602C"/>
    <w:rsid w:val="57B937A9"/>
    <w:rsid w:val="58E94F10"/>
    <w:rsid w:val="58FA15B8"/>
    <w:rsid w:val="58FF06B6"/>
    <w:rsid w:val="593E6CC6"/>
    <w:rsid w:val="59591BB8"/>
    <w:rsid w:val="59820786"/>
    <w:rsid w:val="59A774F2"/>
    <w:rsid w:val="59AD15AB"/>
    <w:rsid w:val="59E474BD"/>
    <w:rsid w:val="59FC6B89"/>
    <w:rsid w:val="5A261D0E"/>
    <w:rsid w:val="5A9311E7"/>
    <w:rsid w:val="5AF86253"/>
    <w:rsid w:val="5B081862"/>
    <w:rsid w:val="5B340596"/>
    <w:rsid w:val="5BB41290"/>
    <w:rsid w:val="5C9E10E9"/>
    <w:rsid w:val="5CDA6371"/>
    <w:rsid w:val="5D1516BF"/>
    <w:rsid w:val="5D1569ED"/>
    <w:rsid w:val="5D1B2A4F"/>
    <w:rsid w:val="5DC477E0"/>
    <w:rsid w:val="5DD05318"/>
    <w:rsid w:val="5DEF6C2B"/>
    <w:rsid w:val="5E5F4BD4"/>
    <w:rsid w:val="5ED20F44"/>
    <w:rsid w:val="5F123BC6"/>
    <w:rsid w:val="5F1A7A37"/>
    <w:rsid w:val="5F63419E"/>
    <w:rsid w:val="5F880842"/>
    <w:rsid w:val="5FFC4765"/>
    <w:rsid w:val="60046C0F"/>
    <w:rsid w:val="602C01A9"/>
    <w:rsid w:val="603B1B21"/>
    <w:rsid w:val="607F2EF2"/>
    <w:rsid w:val="610D2A7D"/>
    <w:rsid w:val="61175A9A"/>
    <w:rsid w:val="61BC217C"/>
    <w:rsid w:val="61D9772A"/>
    <w:rsid w:val="61EF0933"/>
    <w:rsid w:val="61F2327B"/>
    <w:rsid w:val="625E2011"/>
    <w:rsid w:val="62EF16C5"/>
    <w:rsid w:val="63F34E27"/>
    <w:rsid w:val="642E2D6E"/>
    <w:rsid w:val="642F141D"/>
    <w:rsid w:val="6439179D"/>
    <w:rsid w:val="643A7D3D"/>
    <w:rsid w:val="645E071A"/>
    <w:rsid w:val="652A5D21"/>
    <w:rsid w:val="65480BBE"/>
    <w:rsid w:val="65B955CA"/>
    <w:rsid w:val="661A0E12"/>
    <w:rsid w:val="66B56D61"/>
    <w:rsid w:val="67056631"/>
    <w:rsid w:val="6789047F"/>
    <w:rsid w:val="68382592"/>
    <w:rsid w:val="68A742AD"/>
    <w:rsid w:val="691052CA"/>
    <w:rsid w:val="69194464"/>
    <w:rsid w:val="698B1B24"/>
    <w:rsid w:val="6A7A60F7"/>
    <w:rsid w:val="6AEE1969"/>
    <w:rsid w:val="6BA2498F"/>
    <w:rsid w:val="6BDE4DDD"/>
    <w:rsid w:val="6BE972DB"/>
    <w:rsid w:val="6C0F2440"/>
    <w:rsid w:val="6C176418"/>
    <w:rsid w:val="6C392A9F"/>
    <w:rsid w:val="6C762792"/>
    <w:rsid w:val="6C801375"/>
    <w:rsid w:val="6CEF6EBD"/>
    <w:rsid w:val="6CF01C95"/>
    <w:rsid w:val="6D206AE2"/>
    <w:rsid w:val="6DD23F1E"/>
    <w:rsid w:val="6DEE2081"/>
    <w:rsid w:val="6E336938"/>
    <w:rsid w:val="6E5D68D3"/>
    <w:rsid w:val="6E757524"/>
    <w:rsid w:val="6E7934F3"/>
    <w:rsid w:val="6EAD6286"/>
    <w:rsid w:val="6EB24C59"/>
    <w:rsid w:val="6F2428C0"/>
    <w:rsid w:val="6F591B5D"/>
    <w:rsid w:val="6F7E65DB"/>
    <w:rsid w:val="705F37D3"/>
    <w:rsid w:val="709143C4"/>
    <w:rsid w:val="70930271"/>
    <w:rsid w:val="70DB5146"/>
    <w:rsid w:val="7181738B"/>
    <w:rsid w:val="71820038"/>
    <w:rsid w:val="71990145"/>
    <w:rsid w:val="71C90ED8"/>
    <w:rsid w:val="71E12038"/>
    <w:rsid w:val="72112B83"/>
    <w:rsid w:val="72910320"/>
    <w:rsid w:val="73092FAA"/>
    <w:rsid w:val="734608F5"/>
    <w:rsid w:val="736D4BAC"/>
    <w:rsid w:val="74090510"/>
    <w:rsid w:val="746B6757"/>
    <w:rsid w:val="752A3F7B"/>
    <w:rsid w:val="766C7968"/>
    <w:rsid w:val="76936F16"/>
    <w:rsid w:val="76A64EB2"/>
    <w:rsid w:val="76BC1014"/>
    <w:rsid w:val="77025DC3"/>
    <w:rsid w:val="77B92312"/>
    <w:rsid w:val="7827423F"/>
    <w:rsid w:val="7850391E"/>
    <w:rsid w:val="78703EBE"/>
    <w:rsid w:val="78805A36"/>
    <w:rsid w:val="78AE0946"/>
    <w:rsid w:val="79331EC1"/>
    <w:rsid w:val="79404911"/>
    <w:rsid w:val="7986601A"/>
    <w:rsid w:val="79AE14B2"/>
    <w:rsid w:val="79CE4B72"/>
    <w:rsid w:val="7A292C38"/>
    <w:rsid w:val="7A5F22B4"/>
    <w:rsid w:val="7A680094"/>
    <w:rsid w:val="7A81102C"/>
    <w:rsid w:val="7AB16073"/>
    <w:rsid w:val="7ADE3222"/>
    <w:rsid w:val="7AF04DB0"/>
    <w:rsid w:val="7B3C2640"/>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TotalTime>
  <ScaleCrop>false</ScaleCrop>
  <LinksUpToDate>false</LinksUpToDate>
  <CharactersWithSpaces>26786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2020-01-17T00:23:08Z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2052-11.1.0.9339</vt:lpwstr>
  </property>
</Properties>
</file>