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-1395730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黑体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828984"/>
                  <w:bookmarkStart w:id="477" w:name="_Toc485981320"/>
                  <w:bookmarkStart w:id="478" w:name="_Toc13217629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</w:rPr>
                    <w:t>20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</w:t>
                  </w:r>
                  <w:r>
                    <w:rPr>
                      <w:rStyle w:val="16"/>
                      <w:rFonts w:hint="eastAsia"/>
                    </w:rPr>
                    <w:t>20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21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8991653"/>
      <w:bookmarkStart w:id="2" w:name="_Toc525912526"/>
      <w:bookmarkStart w:id="3" w:name="_Toc532564063"/>
      <w:bookmarkStart w:id="4" w:name="_Toc515610373"/>
      <w:bookmarkStart w:id="5" w:name="_Toc527705000"/>
      <w:bookmarkStart w:id="6" w:name="_Toc522870745"/>
      <w:bookmarkStart w:id="7" w:name="_Toc533149330"/>
      <w:bookmarkStart w:id="8" w:name="_Toc536541137"/>
      <w:bookmarkStart w:id="9" w:name="_Toc531954272"/>
      <w:bookmarkStart w:id="10" w:name="_Toc516839084"/>
      <w:bookmarkStart w:id="11" w:name="_Toc522870769"/>
      <w:bookmarkStart w:id="12" w:name="_Toc525289546"/>
      <w:bookmarkStart w:id="13" w:name="_Toc8378815"/>
      <w:bookmarkStart w:id="14" w:name="_Toc528930993"/>
      <w:bookmarkStart w:id="15" w:name="_Toc520465076"/>
      <w:bookmarkStart w:id="16" w:name="_Toc516234897"/>
      <w:bookmarkStart w:id="17" w:name="_Toc522259764"/>
      <w:bookmarkStart w:id="18" w:name="_Toc519848557"/>
      <w:bookmarkStart w:id="19" w:name="_Toc524701464"/>
      <w:bookmarkStart w:id="20" w:name="_Toc522280054"/>
      <w:bookmarkStart w:id="21" w:name="_Toc13217631"/>
      <w:bookmarkStart w:id="22" w:name="_Toc532564260"/>
      <w:bookmarkStart w:id="23" w:name="_Toc522870760"/>
      <w:bookmarkStart w:id="24" w:name="_Toc534915165"/>
      <w:bookmarkStart w:id="25" w:name="_Toc518638259"/>
      <w:bookmarkStart w:id="26" w:name="_Toc4767063"/>
      <w:bookmarkStart w:id="27" w:name="_Toc513127190"/>
      <w:bookmarkStart w:id="28" w:name="_Toc528919986"/>
      <w:bookmarkStart w:id="29" w:name="_Toc12609903"/>
      <w:bookmarkStart w:id="30" w:name="_Toc1035930"/>
      <w:bookmarkStart w:id="31" w:name="_Toc530128349"/>
      <w:bookmarkStart w:id="32" w:name="_Toc8313133"/>
      <w:bookmarkStart w:id="33" w:name="_Toc536198167"/>
      <w:bookmarkStart w:id="34" w:name="_Toc1139285"/>
      <w:bookmarkStart w:id="35" w:name="_Toc4596891"/>
      <w:bookmarkStart w:id="36" w:name="_Toc535588708"/>
      <w:bookmarkStart w:id="37" w:name="_Toc525306474"/>
      <w:bookmarkStart w:id="38" w:name="_Toc534378400"/>
      <w:bookmarkStart w:id="39" w:name="_Toc532564037"/>
      <w:bookmarkStart w:id="40" w:name="_Toc517425038"/>
      <w:bookmarkStart w:id="41" w:name="_Toc1739294"/>
      <w:bookmarkStart w:id="42" w:name="_Toc522870751"/>
      <w:bookmarkStart w:id="43" w:name="_Toc524091681"/>
      <w:bookmarkStart w:id="44" w:name="_Toc529526325"/>
      <w:bookmarkStart w:id="45" w:name="_Toc528329956"/>
      <w:bookmarkStart w:id="46" w:name="_Toc527101790"/>
      <w:bookmarkStart w:id="47" w:name="_Toc511390005"/>
      <w:bookmarkStart w:id="48" w:name="_Toc518031999"/>
      <w:bookmarkStart w:id="49" w:name="_Toc9583952"/>
      <w:bookmarkStart w:id="50" w:name="_Toc516234891"/>
      <w:bookmarkStart w:id="51" w:name="_Toc530750139"/>
      <w:bookmarkStart w:id="52" w:name="_Toc525306463"/>
      <w:bookmarkStart w:id="53" w:name="_Toc485981321"/>
      <w:bookmarkStart w:id="54" w:name="_Toc521660547"/>
      <w:bookmarkStart w:id="55" w:name="_Toc9597659"/>
      <w:bookmarkStart w:id="56" w:name="_Toc536789785"/>
      <w:bookmarkStart w:id="57" w:name="_Toc4654028"/>
      <w:bookmarkStart w:id="58" w:name="_Toc521057601"/>
      <w:bookmarkStart w:id="59" w:name="_Toc392240276"/>
      <w:bookmarkStart w:id="60" w:name="_Toc4139106"/>
      <w:bookmarkStart w:id="61" w:name="_Toc10202308"/>
      <w:bookmarkStart w:id="62" w:name="_Toc536540307"/>
      <w:bookmarkStart w:id="63" w:name="_Toc1394100"/>
      <w:bookmarkStart w:id="64" w:name="_Toc300238840"/>
    </w:p>
    <w:p>
      <w:pPr>
        <w:pStyle w:val="2"/>
        <w:spacing w:line="400" w:lineRule="exact"/>
        <w:jc w:val="center"/>
        <w:rPr>
          <w:rStyle w:val="24"/>
          <w:rFonts w:ascii="黑体" w:hAnsi="黑体" w:cs="黑体"/>
          <w:sz w:val="30"/>
          <w:szCs w:val="30"/>
        </w:rPr>
      </w:pPr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1739295"/>
      <w:bookmarkStart w:id="66" w:name="_Toc532564064"/>
      <w:bookmarkStart w:id="67" w:name="_Toc516234898"/>
      <w:bookmarkStart w:id="68" w:name="_Toc524701465"/>
      <w:bookmarkStart w:id="69" w:name="_Toc522259765"/>
      <w:bookmarkStart w:id="70" w:name="_Toc536789786"/>
      <w:bookmarkStart w:id="71" w:name="_Toc525306475"/>
      <w:bookmarkStart w:id="72" w:name="_Toc532564261"/>
      <w:bookmarkStart w:id="73" w:name="_Toc521660548"/>
      <w:bookmarkStart w:id="74" w:name="_Toc518032000"/>
      <w:bookmarkStart w:id="75" w:name="_Toc530750140"/>
      <w:bookmarkStart w:id="76" w:name="_Toc536540308"/>
      <w:bookmarkStart w:id="77" w:name="_Toc528930994"/>
      <w:bookmarkStart w:id="78" w:name="_Toc533149331"/>
      <w:bookmarkStart w:id="79" w:name="_Toc522870746"/>
      <w:bookmarkStart w:id="80" w:name="_Toc529526326"/>
      <w:bookmarkStart w:id="81" w:name="_Toc524091682"/>
      <w:bookmarkStart w:id="82" w:name="_Toc1035931"/>
      <w:bookmarkStart w:id="83" w:name="_Toc536198168"/>
      <w:bookmarkStart w:id="84" w:name="_Toc1139286"/>
      <w:bookmarkStart w:id="85" w:name="_Toc525289547"/>
      <w:bookmarkStart w:id="86" w:name="_Toc517425039"/>
      <w:bookmarkStart w:id="87" w:name="_Toc516234892"/>
      <w:bookmarkStart w:id="88" w:name="_Toc522870752"/>
      <w:bookmarkStart w:id="89" w:name="_Toc520465077"/>
      <w:bookmarkStart w:id="90" w:name="_Toc519848558"/>
      <w:bookmarkStart w:id="91" w:name="_Toc528919987"/>
      <w:bookmarkStart w:id="92" w:name="_Toc4139107"/>
      <w:bookmarkStart w:id="93" w:name="_Toc525306464"/>
      <w:bookmarkStart w:id="94" w:name="_Toc515610374"/>
      <w:bookmarkStart w:id="95" w:name="_Toc522870770"/>
      <w:bookmarkStart w:id="96" w:name="_Toc513127191"/>
      <w:bookmarkStart w:id="97" w:name="_Toc522280055"/>
      <w:bookmarkStart w:id="98" w:name="_Toc535588709"/>
      <w:bookmarkStart w:id="99" w:name="_Toc527705001"/>
      <w:bookmarkStart w:id="100" w:name="_Toc522870761"/>
      <w:bookmarkStart w:id="101" w:name="_Toc4596892"/>
      <w:bookmarkStart w:id="102" w:name="_Toc516839085"/>
      <w:bookmarkStart w:id="103" w:name="_Toc536541138"/>
      <w:bookmarkStart w:id="104" w:name="_Toc1394101"/>
      <w:bookmarkStart w:id="105" w:name="_Toc521057602"/>
      <w:bookmarkStart w:id="106" w:name="_Toc534915166"/>
      <w:bookmarkStart w:id="107" w:name="_Toc527101791"/>
      <w:bookmarkStart w:id="108" w:name="_Toc531954273"/>
      <w:bookmarkStart w:id="109" w:name="_Toc518638260"/>
      <w:bookmarkStart w:id="110" w:name="_Toc485981322"/>
      <w:bookmarkStart w:id="111" w:name="_Toc532564038"/>
      <w:bookmarkStart w:id="112" w:name="_Toc392240277"/>
      <w:bookmarkStart w:id="113" w:name="_Toc525912527"/>
      <w:bookmarkStart w:id="114" w:name="_Toc511390006"/>
      <w:bookmarkStart w:id="115" w:name="_Toc4654029"/>
      <w:bookmarkStart w:id="116" w:name="_Toc530128350"/>
      <w:bookmarkStart w:id="117" w:name="_Toc534378401"/>
      <w:bookmarkStart w:id="118" w:name="_Toc528329957"/>
    </w:p>
    <w:p>
      <w:pPr>
        <w:pStyle w:val="3"/>
        <w:snapToGrid w:val="0"/>
        <w:spacing w:before="0" w:after="0" w:line="400" w:lineRule="exact"/>
        <w:ind w:right="-145" w:rightChars="-69" w:firstLine="602" w:firstLineChars="200"/>
      </w:pPr>
      <w:bookmarkStart w:id="119" w:name="_Toc8313134"/>
      <w:bookmarkStart w:id="120" w:name="_Toc13217632"/>
      <w:bookmarkStart w:id="121" w:name="_Toc9583953"/>
      <w:bookmarkStart w:id="122" w:name="_Toc8378816"/>
      <w:bookmarkStart w:id="123" w:name="_Toc12609904"/>
      <w:bookmarkStart w:id="124" w:name="_Toc9597660"/>
      <w:bookmarkStart w:id="125" w:name="_Toc8991654"/>
      <w:bookmarkStart w:id="126" w:name="_Toc4767064"/>
      <w:bookmarkStart w:id="127" w:name="_Toc10202309"/>
      <w:r>
        <w:rPr>
          <w:rStyle w:val="24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黑体"/>
          <w:kern w:val="0"/>
          <w:sz w:val="30"/>
          <w:szCs w:val="30"/>
        </w:rPr>
      </w:pPr>
      <w:bookmarkStart w:id="128" w:name="_Toc9597661"/>
      <w:bookmarkStart w:id="129" w:name="_Toc10202310"/>
      <w:bookmarkStart w:id="130" w:name="_Toc8991655"/>
      <w:bookmarkStart w:id="131" w:name="_Toc13217633"/>
      <w:bookmarkStart w:id="132" w:name="_Toc8378817"/>
      <w:bookmarkStart w:id="133" w:name="_Toc9583954"/>
      <w:bookmarkStart w:id="134" w:name="_Toc8313135"/>
      <w:bookmarkStart w:id="135" w:name="_Toc4596893"/>
      <w:bookmarkStart w:id="136" w:name="_Toc12609905"/>
      <w:bookmarkStart w:id="137" w:name="_Toc4654030"/>
      <w:bookmarkStart w:id="138" w:name="_Toc4767065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纯碱市场西北局部现货价格提涨50-100元/吨，实际交投表现较为缓和，行情多延续走稳运行为主。就本次涨价而言，从业者就汽运复苏情况，以及汽运运输免费政策方面有乐观看法，认为下游行业在运费减免情况下采购纯碱让利丰厚，而纯碱本身现价已低于成本线价，故而进行一次价格拉升，进一步缓解自身成本压力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纯碱供应较上周有增加表现。生产上，其中中盐昆山及南方碱业逐步复产，而四川及云南区域近期因库存高升也有继续降低开工表现，综合整体开工负荷仍处于75%水平波动。出货方面，本周汽运运输局部政府有灵活放开，货源到货情况开始有转好迹象，进一步加大走货量，企业库存堆叠情况分区域表现不同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从需求面了解，疫情致使部分中小型企业开工复产推后，另外较大用户例如玻璃行业减产也对纯碱投料有减量影响，随着影响加深，上下游企业间存在货源变现，资金流运转不畅问题，进一步对于纯碱采购量加大造成阻力影响。综合以上，我们从下游部分厂方了解，基于自身储备，多数用户仍在观望阶段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本期2月20日轻碱指数1455，较上期2月14日指数变化幅度持稳； 本期2月20日重碱指数1585，较上期2月14日指数变化幅度持稳。</w:t>
      </w: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三、供应端：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40" w:name="_Toc8991656"/>
      <w:bookmarkStart w:id="141" w:name="_Toc13217634"/>
      <w:bookmarkStart w:id="142" w:name="_Toc8313136"/>
      <w:bookmarkStart w:id="143" w:name="_Toc12609906"/>
      <w:bookmarkStart w:id="144" w:name="_Toc9583955"/>
      <w:bookmarkStart w:id="145" w:name="_Toc4654031"/>
      <w:bookmarkStart w:id="146" w:name="_Toc8378818"/>
      <w:bookmarkStart w:id="147" w:name="_Toc10202311"/>
      <w:bookmarkStart w:id="148" w:name="_Toc9597662"/>
      <w:bookmarkStart w:id="149" w:name="_Toc4596894"/>
      <w:bookmarkStart w:id="150" w:name="_Toc4767066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轻碱主流含税出厂价格：辽宁地区现阶段本地贸易出货含税出价在1500-1600元/吨，终端到货1550-1650元/吨左右；河北地区含税出价1500-1600元/吨；山东地区含税出价1500-1600元/吨；江苏地区主流含税出价1400-1450元/吨，部分高价以1450-1550元/吨；杭州地区含税出价1550-1600元/吨；福建地区含税出价1450-1500元/吨；广东地区含税出价1570-1650元/吨；华中地区主流含税出价1300-1450元/吨，部分低价在1280元/吨左右；青海地区含税出价1150-1300元/吨；川渝区域含税出价1500-1550元/吨；云贵地区含税出价1550-1600元/吨；江西区域含税出价1550-1600元/吨左右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重碱主流含税送到价格：目前华北地区重碱含税送到1600-1700元/吨左右，沙河区域含税送达1600-1650元/吨（现汇价格）；华中区域含税送到价格在1550-1650元/吨；青海区域含税出厂价1200-1350元/吨；西南区域含税送到1600-1700元/吨左右；东北区域重碱主流含税送到1650-1700元/吨；广东重碱含税送到价格1650-1750元/吨；华东片区主流含税送到1600-1700元/吨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ind w:firstLine="560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51" w:name="_Toc4654032"/>
      <w:bookmarkStart w:id="152" w:name="_Toc8313137"/>
      <w:bookmarkStart w:id="153" w:name="_Toc8378819"/>
      <w:bookmarkStart w:id="154" w:name="_Toc9583956"/>
      <w:bookmarkStart w:id="155" w:name="_Toc13217635"/>
      <w:bookmarkStart w:id="156" w:name="_Toc4767067"/>
      <w:bookmarkStart w:id="157" w:name="_Toc10202312"/>
      <w:bookmarkStart w:id="158" w:name="_Toc4596895"/>
      <w:bookmarkStart w:id="159" w:name="_Toc12609907"/>
      <w:bookmarkStart w:id="160" w:name="_Toc9597663"/>
      <w:bookmarkStart w:id="161" w:name="_Toc899165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供应方面：行业开工负荷降至74%，由于联碱氯化铵产品持续堆库，企业库存压力增加存在胀库风险，减产可能较大；库存方面，纯碱现货发运在汽运不佳，订单不足影响下，持续有堆叠表现；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需求方面：中小型企业复工等待政府政策的放开，纯碱需求有待提升。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综上，目前国内供需双双弱行，上游纯碱企业间竞争力大大减弱，企业挺价意愿增强。一方面，纯碱现货供应宽松表现对于后市价格支撑较弱；另外，运输成本的降低对于下游采购形成较大利好。下游方面或考虑运力恢复与现货低价利好，由于资金运转赋予原料订购空间有限，预计纯碱下周陆续有积极签单表现，价格方面或向好运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1830</w:t>
            </w:r>
          </w:p>
        </w:tc>
      </w:tr>
    </w:tbl>
    <w:p>
      <w:pPr>
        <w:rPr>
          <w:rFonts w:cs="黑体"/>
        </w:rPr>
      </w:pPr>
      <w:bookmarkStart w:id="162" w:name="_Toc536541139"/>
      <w:bookmarkStart w:id="163" w:name="_Toc533149332"/>
      <w:bookmarkStart w:id="164" w:name="_Toc534915167"/>
      <w:bookmarkStart w:id="165" w:name="_Toc525306465"/>
      <w:bookmarkStart w:id="166" w:name="_Toc522870762"/>
      <w:bookmarkStart w:id="167" w:name="_Toc4654033"/>
      <w:bookmarkStart w:id="168" w:name="_Toc532564039"/>
      <w:bookmarkStart w:id="169" w:name="_Toc532564262"/>
      <w:bookmarkStart w:id="170" w:name="_Toc531954274"/>
      <w:bookmarkStart w:id="171" w:name="_Toc525306476"/>
      <w:bookmarkStart w:id="172" w:name="_Toc532564065"/>
      <w:bookmarkStart w:id="173" w:name="_Toc513127192"/>
      <w:bookmarkStart w:id="174" w:name="_Toc524701466"/>
      <w:bookmarkStart w:id="175" w:name="_Toc515610375"/>
      <w:bookmarkStart w:id="176" w:name="_Toc511390007"/>
      <w:bookmarkStart w:id="177" w:name="_Toc517425040"/>
      <w:bookmarkStart w:id="178" w:name="_Toc527101792"/>
      <w:bookmarkStart w:id="179" w:name="_Toc518032001"/>
      <w:bookmarkStart w:id="180" w:name="_Toc522870771"/>
      <w:bookmarkStart w:id="181" w:name="_Toc519848559"/>
      <w:bookmarkStart w:id="182" w:name="_Toc534378402"/>
      <w:bookmarkStart w:id="183" w:name="_Toc536198169"/>
      <w:bookmarkStart w:id="184" w:name="_Toc522259766"/>
      <w:bookmarkStart w:id="185" w:name="_Toc13217636"/>
      <w:bookmarkStart w:id="186" w:name="_Toc516234899"/>
      <w:bookmarkStart w:id="187" w:name="_Toc518638261"/>
      <w:bookmarkStart w:id="188" w:name="_Toc520465078"/>
      <w:bookmarkStart w:id="189" w:name="_Toc521660549"/>
      <w:bookmarkStart w:id="190" w:name="_Toc535588710"/>
      <w:bookmarkStart w:id="191" w:name="_Toc528329958"/>
      <w:bookmarkStart w:id="192" w:name="_Toc516839086"/>
      <w:bookmarkStart w:id="193" w:name="_Toc4596896"/>
      <w:bookmarkStart w:id="194" w:name="_Toc530128351"/>
      <w:bookmarkStart w:id="195" w:name="_Toc521057603"/>
      <w:bookmarkStart w:id="196" w:name="_Toc528919988"/>
      <w:bookmarkStart w:id="197" w:name="_Toc392240279"/>
      <w:bookmarkStart w:id="198" w:name="_Toc522870747"/>
      <w:bookmarkStart w:id="199" w:name="_Toc530750141"/>
      <w:bookmarkStart w:id="200" w:name="_Toc524091683"/>
      <w:bookmarkStart w:id="201" w:name="_Toc525912528"/>
      <w:bookmarkStart w:id="202" w:name="_Toc528930995"/>
      <w:bookmarkStart w:id="203" w:name="_Toc1394102"/>
      <w:bookmarkStart w:id="204" w:name="_Toc529526327"/>
      <w:bookmarkStart w:id="205" w:name="_Toc525289548"/>
      <w:bookmarkStart w:id="206" w:name="_Toc522280056"/>
      <w:bookmarkStart w:id="207" w:name="_Toc527705002"/>
      <w:bookmarkStart w:id="208" w:name="_Toc522870753"/>
      <w:bookmarkStart w:id="209" w:name="_Toc1739296"/>
      <w:bookmarkStart w:id="210" w:name="_Toc8991658"/>
      <w:bookmarkStart w:id="211" w:name="_Toc9597664"/>
      <w:bookmarkStart w:id="212" w:name="_Toc9583957"/>
      <w:bookmarkStart w:id="213" w:name="_Toc536789787"/>
      <w:bookmarkStart w:id="214" w:name="_Toc1139287"/>
      <w:bookmarkStart w:id="215" w:name="_Toc4139108"/>
      <w:bookmarkStart w:id="216" w:name="_Toc536540309"/>
      <w:bookmarkStart w:id="217" w:name="_Toc10202313"/>
      <w:bookmarkStart w:id="218" w:name="_Toc8378820"/>
      <w:bookmarkStart w:id="219" w:name="_Toc4767068"/>
      <w:bookmarkStart w:id="220" w:name="_Toc12609908"/>
      <w:bookmarkStart w:id="221" w:name="_Toc8313138"/>
      <w:bookmarkStart w:id="222" w:name="_Toc516234893"/>
      <w:bookmarkStart w:id="223" w:name="_Toc485981323"/>
      <w:bookmarkStart w:id="224" w:name="_Toc1035932"/>
    </w:p>
    <w:p>
      <w:pPr>
        <w:pStyle w:val="2"/>
        <w:spacing w:line="400" w:lineRule="exact"/>
        <w:ind w:left="3830" w:leftChars="1824" w:firstLine="0" w:firstLineChars="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cs="黑体"/>
        </w:rPr>
        <w:br w:type="textWrapping"/>
      </w: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52539754"/>
      <w:bookmarkStart w:id="226" w:name="_Toc300238848"/>
      <w:bookmarkStart w:id="227" w:name="_Toc4596897"/>
      <w:bookmarkStart w:id="228" w:name="_Toc4654034"/>
      <w:bookmarkStart w:id="229" w:name="_Toc295403449"/>
      <w:bookmarkStart w:id="230" w:name="_Toc250731925"/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  <w:r>
        <w:rPr>
          <w:rFonts w:ascii="黑体" w:hAnsi="黑体" w:eastAsia="黑体" w:cs="黑体"/>
          <w:b/>
          <w:bCs/>
          <w:sz w:val="30"/>
          <w:szCs w:val="30"/>
        </w:rPr>
        <w:br w:type="textWrapping"/>
      </w:r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300238850"/>
      <w:bookmarkStart w:id="241" w:name="_Toc392240280"/>
      <w:bookmarkStart w:id="242" w:name="_Toc295403451"/>
      <w:bookmarkStart w:id="243" w:name="_Toc264643747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400" w:lineRule="exact"/>
        <w:outlineLvl w:val="1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0202315"/>
      <w:bookmarkStart w:id="245" w:name="_Toc13217638"/>
      <w:bookmarkStart w:id="246" w:name="_Toc8991660"/>
      <w:bookmarkStart w:id="247" w:name="_Toc9583959"/>
      <w:bookmarkStart w:id="248" w:name="_Toc4654035"/>
      <w:bookmarkStart w:id="249" w:name="_Toc4596898"/>
      <w:bookmarkStart w:id="250" w:name="_Toc8313140"/>
      <w:bookmarkStart w:id="251" w:name="_Toc4767070"/>
      <w:bookmarkStart w:id="252" w:name="_Toc9597666"/>
      <w:bookmarkStart w:id="253" w:name="_Toc8378822"/>
      <w:bookmarkStart w:id="254" w:name="_Toc12609910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本周中国液体烧碱市场涨跌同现，西北地区液碱价格回落较为明显，华东局部地区液碱报价试探性调涨。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北方地区当下首要问题仍旧是运输不顺畅，上游氯碱企业库存水平多持续升温，各地区氯碱企业承压出货。本周山东省内液碱市场成交重心大稳小动为主，区域内前期停工企业暂未恢复，一方面因库存水平压力较大，另一方面因运输管控严格，原料到货不足。河北沧州地区因前期山东液碱价格上调，液碱出货价格随之灵活调整，省内其他地区液碱市场持稳运行为主。西北地区液碱价格再度下调100元/吨（折百），主要因区域内消化能力有限，运输不畅发往外围市场困难，且区域内氯碱装置整体开工水平较高，液碱市场供过于求，上游企业下调价格促进走货。东北地区区域内液碱市场盘整运行为主，区域内运输情况尚可，但下游用碱企业开工水平较低，上游氯碱企业积极出货为主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本周华东江苏地区个别氯碱企业报价试探性上调，主要因氯碱厂家整体负荷不高，供应减量明显，且部分地区受个别碱厂停车利好，供应趋紧。目前运输管制方面有所放宽，下游企业亦在逐步复工，运输及需求面均有好转，碱厂出货价格顺势上调。南方其他地区仍旧维持弱稳运行为主，当下交投价格与春节前差异不大，因疫情影响，部分道路封路，液碱出货稍有压力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跟踪数据，2月20日中国32%离子膜液碱市场价格指数677，较2月13日数据相比↑0.59%；2月20日中国50%离子膜液碱市场平均出厂价格在1208.6元/吨，较2月13日数据相比稳。</w:t>
      </w: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b/>
          <w:bCs/>
          <w:sz w:val="30"/>
          <w:szCs w:val="30"/>
        </w:rPr>
      </w:pPr>
      <w:bookmarkStart w:id="255" w:name="_Toc9583960"/>
      <w:bookmarkStart w:id="256" w:name="_Toc8991661"/>
      <w:bookmarkStart w:id="257" w:name="_Toc10202316"/>
      <w:bookmarkStart w:id="258" w:name="_Toc9597667"/>
      <w:bookmarkStart w:id="259" w:name="_Toc4767071"/>
      <w:bookmarkStart w:id="260" w:name="_Toc8378823"/>
      <w:bookmarkStart w:id="261" w:name="_Toc8313141"/>
      <w:bookmarkStart w:id="262" w:name="_Toc13217639"/>
      <w:bookmarkStart w:id="263" w:name="_Toc12609911"/>
      <w:bookmarkStart w:id="264" w:name="_Toc4654036"/>
      <w:bookmarkStart w:id="265" w:name="_Toc4596899"/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767072"/>
      <w:bookmarkStart w:id="267" w:name="_Toc4596900"/>
      <w:bookmarkStart w:id="268" w:name="_Toc4654037"/>
    </w:p>
    <w:p>
      <w:pPr>
        <w:pStyle w:val="12"/>
        <w:spacing w:before="0" w:beforeAutospacing="0" w:after="0" w:afterAutospacing="0" w:line="400" w:lineRule="exact"/>
        <w:ind w:left="601"/>
        <w:outlineLvl w:val="1"/>
        <w:rPr>
          <w:b/>
          <w:bCs/>
          <w:sz w:val="30"/>
          <w:szCs w:val="3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截止2月20日各地区液碱价格（文中价格为现汇，承兑低浓度水碱加15元/吨，高浓度碱加30元/吨）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32%离子膜液碱主流出厂价格：自1月5日起山东供给氧化铝行业现汇出厂价格执行550元/吨，供其他客户主流现汇出厂价格590-640元/吨；河北570-675元/吨；天津1950-2000元/吨（折百）；浙江送到萧绍经销商800-820元/吨；江苏710-750元/吨；安徽670-750元/吨；江西地区680-730元/吨；福建省内送到830-900元/吨；广西740-790元/吨；湖北720-770元/吨；河南1900-2000元/吨（折百）；内蒙古1250-1350元/吨（折百）；辽宁800-840元/吨，个别企业价格略高；四川2600-2750元/吨（折百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高浓碱主流出厂价格：山东48%离子膜液碱出厂920-970元/吨，50%离子膜液碱出厂950-990元/吨。天津49%离子膜碱出厂价格2000-2050元/吨（折百），福建50%离子膜液碱省内送到1300-1400元/吨左右；广西50%离子膜液碱出厂价格1230-1280元/吨；内蒙古48-50%离子膜液碱出厂价格1350-1450元/吨（折百）左右；江苏地区48%离子膜液碱出厂价格1120-1200元/吨；辽宁地区45-50%离子膜液碱出厂报价在1210-1330元/吨；四川地区50%离子膜液碱主流出厂价格2750-2900元/吨（折百）。</w:t>
      </w:r>
    </w:p>
    <w:p>
      <w:pPr>
        <w:widowControl/>
        <w:numPr>
          <w:ilvl w:val="0"/>
          <w:numId w:val="2"/>
        </w:numPr>
        <w:ind w:left="1321"/>
        <w:jc w:val="left"/>
        <w:outlineLvl w:val="2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widowControl/>
        <w:ind w:firstLine="560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271" w:name="_Toc13217640"/>
      <w:bookmarkStart w:id="272" w:name="_Toc9583961"/>
      <w:bookmarkStart w:id="273" w:name="_Toc10202317"/>
      <w:bookmarkStart w:id="274" w:name="_Toc8313142"/>
      <w:bookmarkStart w:id="275" w:name="_Toc4767073"/>
      <w:bookmarkStart w:id="276" w:name="_Toc12609912"/>
      <w:bookmarkStart w:id="277" w:name="_Toc9597668"/>
      <w:bookmarkStart w:id="278" w:name="_Toc8378824"/>
      <w:bookmarkStart w:id="279" w:name="_Toc899166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 现阶段受节日及疫情影响液碱出货困难，上游库存水平升温，整体氯碱装置开工水平低位，后期液碱市场走势需关注运输恢复情况及下游开工情况。</w:t>
      </w:r>
    </w:p>
    <w:p>
      <w:pPr>
        <w:widowControl/>
        <w:ind w:firstLine="602" w:firstLineChars="200"/>
        <w:jc w:val="left"/>
        <w:outlineLvl w:val="2"/>
        <w:rPr>
          <w:rStyle w:val="24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rPr>
          <w:rFonts w:cs="黑体"/>
        </w:rPr>
      </w:pPr>
      <w:bookmarkStart w:id="280" w:name="_Toc515610376"/>
      <w:bookmarkStart w:id="281" w:name="_Toc518638262"/>
      <w:bookmarkStart w:id="282" w:name="_Toc525912529"/>
      <w:bookmarkStart w:id="283" w:name="_Toc528930996"/>
      <w:bookmarkStart w:id="284" w:name="_Toc518032002"/>
      <w:bookmarkStart w:id="285" w:name="_Toc516234894"/>
      <w:bookmarkStart w:id="286" w:name="_Toc10202318"/>
      <w:bookmarkStart w:id="287" w:name="_Toc520465079"/>
      <w:bookmarkStart w:id="288" w:name="_Toc528919989"/>
      <w:bookmarkStart w:id="289" w:name="_Toc532564040"/>
      <w:bookmarkStart w:id="290" w:name="_Toc530128352"/>
      <w:bookmarkStart w:id="291" w:name="_Toc12609913"/>
      <w:bookmarkStart w:id="292" w:name="_Toc13217641"/>
      <w:bookmarkStart w:id="293" w:name="_Toc532564066"/>
      <w:bookmarkStart w:id="294" w:name="_Toc528329959"/>
      <w:bookmarkStart w:id="295" w:name="_Toc9597669"/>
      <w:bookmarkStart w:id="296" w:name="_Toc511390008"/>
      <w:bookmarkStart w:id="297" w:name="_Toc517425041"/>
      <w:bookmarkStart w:id="298" w:name="_Toc527101793"/>
      <w:bookmarkStart w:id="299" w:name="_Toc522870763"/>
      <w:bookmarkStart w:id="300" w:name="_Toc521057604"/>
      <w:bookmarkStart w:id="301" w:name="_Toc300238851"/>
      <w:bookmarkStart w:id="302" w:name="_Toc4596902"/>
      <w:bookmarkStart w:id="303" w:name="_Toc250731929"/>
      <w:bookmarkStart w:id="304" w:name="_Toc1394103"/>
      <w:bookmarkStart w:id="305" w:name="_Toc392240282"/>
      <w:bookmarkStart w:id="306" w:name="_Toc4139109"/>
      <w:bookmarkStart w:id="307" w:name="_Toc233795930"/>
      <w:bookmarkStart w:id="308" w:name="_Toc516234900"/>
      <w:bookmarkStart w:id="309" w:name="_Toc295403452"/>
      <w:bookmarkStart w:id="310" w:name="_Toc527705003"/>
      <w:bookmarkStart w:id="311" w:name="_Toc525306466"/>
      <w:bookmarkStart w:id="312" w:name="_Toc532564263"/>
      <w:bookmarkStart w:id="313" w:name="_Toc525289549"/>
      <w:bookmarkStart w:id="314" w:name="_Toc534378403"/>
      <w:bookmarkStart w:id="315" w:name="_Toc524701467"/>
      <w:bookmarkStart w:id="316" w:name="_Toc534915168"/>
      <w:bookmarkStart w:id="317" w:name="_Toc535588711"/>
      <w:bookmarkStart w:id="318" w:name="_Toc1739297"/>
      <w:bookmarkStart w:id="319" w:name="_Toc533149333"/>
      <w:bookmarkStart w:id="320" w:name="_Toc536540310"/>
      <w:bookmarkStart w:id="321" w:name="_Toc1139288"/>
      <w:bookmarkStart w:id="322" w:name="_Toc536198170"/>
      <w:bookmarkStart w:id="323" w:name="_Toc8991663"/>
      <w:bookmarkStart w:id="324" w:name="_Toc9583962"/>
      <w:bookmarkStart w:id="325" w:name="_Toc8378825"/>
      <w:bookmarkStart w:id="326" w:name="_Toc4654039"/>
      <w:bookmarkStart w:id="327" w:name="_Toc8313143"/>
      <w:bookmarkStart w:id="328" w:name="_Toc4767074"/>
      <w:bookmarkStart w:id="329" w:name="_Toc522870748"/>
      <w:bookmarkStart w:id="330" w:name="_Toc524091684"/>
      <w:bookmarkStart w:id="331" w:name="_Toc513127193"/>
      <w:bookmarkStart w:id="332" w:name="_Toc522870772"/>
      <w:bookmarkStart w:id="333" w:name="_Toc519848560"/>
      <w:bookmarkStart w:id="334" w:name="_Toc516839087"/>
      <w:bookmarkStart w:id="335" w:name="_Toc522870754"/>
      <w:bookmarkStart w:id="336" w:name="_Toc521660550"/>
      <w:bookmarkStart w:id="337" w:name="_Toc525306477"/>
      <w:bookmarkStart w:id="338" w:name="_Toc522280057"/>
      <w:bookmarkStart w:id="339" w:name="_Toc522259767"/>
      <w:bookmarkStart w:id="340" w:name="_Toc529526328"/>
      <w:bookmarkStart w:id="341" w:name="_Toc536789788"/>
      <w:bookmarkStart w:id="342" w:name="_Toc485981325"/>
      <w:bookmarkStart w:id="343" w:name="_Toc531954275"/>
      <w:bookmarkStart w:id="344" w:name="_Toc252539758"/>
      <w:bookmarkStart w:id="345" w:name="_Toc1035933"/>
      <w:bookmarkStart w:id="346" w:name="_Toc530750142"/>
      <w:bookmarkStart w:id="347" w:name="_Toc536541140"/>
    </w:p>
    <w:p>
      <w:pPr>
        <w:rPr>
          <w:rFonts w:cs="黑体"/>
        </w:rPr>
      </w:pPr>
    </w:p>
    <w:p>
      <w:pPr>
        <w:pStyle w:val="2"/>
        <w:spacing w:line="400" w:lineRule="exact"/>
        <w:jc w:val="center"/>
        <w:rPr>
          <w:rFonts w:ascii="黑体" w:hAnsi="黑体" w:cs="黑体"/>
          <w:sz w:val="30"/>
          <w:szCs w:val="30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533149334"/>
      <w:bookmarkStart w:id="350" w:name="_Toc532564264"/>
      <w:bookmarkStart w:id="351" w:name="_Toc535588712"/>
      <w:bookmarkStart w:id="352" w:name="_Toc534915169"/>
      <w:bookmarkStart w:id="353" w:name="_Toc517425042"/>
      <w:bookmarkStart w:id="354" w:name="_Toc516839088"/>
      <w:bookmarkStart w:id="355" w:name="_Toc516234901"/>
      <w:bookmarkStart w:id="356" w:name="_Toc516234895"/>
      <w:bookmarkStart w:id="357" w:name="_Toc515610377"/>
      <w:bookmarkStart w:id="358" w:name="_Toc1739298"/>
      <w:bookmarkStart w:id="359" w:name="_Toc513127194"/>
      <w:bookmarkStart w:id="360" w:name="_Toc511390009"/>
      <w:bookmarkStart w:id="361" w:name="_Toc1394104"/>
      <w:bookmarkStart w:id="362" w:name="_Toc1139289"/>
      <w:bookmarkStart w:id="363" w:name="_Toc1035934"/>
      <w:bookmarkStart w:id="364" w:name="_Toc536789789"/>
      <w:bookmarkStart w:id="365" w:name="_Toc536541141"/>
      <w:bookmarkStart w:id="366" w:name="_Toc536540311"/>
      <w:bookmarkStart w:id="367" w:name="_Toc536198171"/>
      <w:bookmarkStart w:id="368" w:name="_Toc532564067"/>
      <w:bookmarkStart w:id="369" w:name="_Toc532564041"/>
      <w:bookmarkStart w:id="370" w:name="_Toc531954276"/>
      <w:bookmarkStart w:id="371" w:name="_Toc530750143"/>
      <w:bookmarkStart w:id="372" w:name="_Toc4596903"/>
      <w:bookmarkStart w:id="373" w:name="_Toc4139110"/>
      <w:bookmarkStart w:id="374" w:name="_Toc4654040"/>
      <w:bookmarkStart w:id="375" w:name="_Toc295403453"/>
      <w:bookmarkStart w:id="376" w:name="_Toc252539759"/>
      <w:bookmarkStart w:id="377" w:name="_Toc392240283"/>
      <w:bookmarkStart w:id="378" w:name="_Toc485981326"/>
      <w:bookmarkStart w:id="379" w:name="_Toc300238852"/>
      <w:bookmarkStart w:id="380" w:name="_Toc185611021"/>
      <w:bookmarkStart w:id="381" w:name="_Toc250731930"/>
      <w:bookmarkStart w:id="382" w:name="_Toc528919990"/>
      <w:bookmarkStart w:id="383" w:name="_Toc529526329"/>
      <w:bookmarkStart w:id="384" w:name="_Toc528930997"/>
      <w:bookmarkStart w:id="385" w:name="_Toc528329960"/>
      <w:bookmarkStart w:id="386" w:name="_Toc527705004"/>
      <w:bookmarkStart w:id="387" w:name="_Toc527101794"/>
      <w:bookmarkStart w:id="388" w:name="_Toc525912530"/>
      <w:bookmarkStart w:id="389" w:name="_Toc525306478"/>
      <w:bookmarkStart w:id="390" w:name="_Toc525306467"/>
      <w:bookmarkStart w:id="391" w:name="_Toc524091685"/>
      <w:bookmarkStart w:id="392" w:name="_Toc524701468"/>
      <w:bookmarkStart w:id="393" w:name="_Toc525289550"/>
      <w:bookmarkStart w:id="394" w:name="_Toc522870773"/>
      <w:bookmarkStart w:id="395" w:name="_Toc522870764"/>
      <w:bookmarkStart w:id="396" w:name="_Toc522870755"/>
      <w:bookmarkStart w:id="397" w:name="_Toc522870749"/>
      <w:bookmarkStart w:id="398" w:name="_Toc522280058"/>
      <w:bookmarkStart w:id="399" w:name="_Toc522259768"/>
      <w:bookmarkStart w:id="400" w:name="_Toc521660551"/>
      <w:bookmarkStart w:id="401" w:name="_Toc519848561"/>
      <w:bookmarkStart w:id="402" w:name="_Toc521057605"/>
      <w:bookmarkStart w:id="403" w:name="_Toc530128353"/>
      <w:bookmarkStart w:id="404" w:name="_Toc534378404"/>
      <w:bookmarkStart w:id="405" w:name="_Toc518638263"/>
      <w:bookmarkStart w:id="406" w:name="_Toc520465080"/>
      <w:bookmarkStart w:id="407" w:name="_Toc518032003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8378826"/>
      <w:bookmarkStart w:id="409" w:name="_Toc10202319"/>
      <w:bookmarkStart w:id="410" w:name="_Toc8313144"/>
      <w:bookmarkStart w:id="411" w:name="_Toc9583963"/>
      <w:bookmarkStart w:id="412" w:name="_Toc8991664"/>
      <w:bookmarkStart w:id="413" w:name="_Toc9597670"/>
      <w:bookmarkStart w:id="414" w:name="_Toc4767075"/>
      <w:bookmarkStart w:id="415" w:name="_Toc12609914"/>
      <w:bookmarkStart w:id="416" w:name="_Toc13217642"/>
      <w:r>
        <w:rPr>
          <w:rFonts w:hint="eastAsia" w:ascii="黑体" w:hAnsi="黑体" w:eastAsia="黑体" w:cs="黑体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</w:rPr>
        <w:br w:type="textWrapping"/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黑体"/>
          <w:sz w:val="30"/>
          <w:szCs w:val="30"/>
        </w:rPr>
      </w:pPr>
      <w:bookmarkStart w:id="419" w:name="_Toc8313145"/>
      <w:bookmarkStart w:id="420" w:name="_Toc4767076"/>
      <w:bookmarkStart w:id="421" w:name="_Toc8991665"/>
      <w:bookmarkStart w:id="422" w:name="_Toc4654041"/>
      <w:bookmarkStart w:id="423" w:name="_Toc4596904"/>
      <w:bookmarkStart w:id="424" w:name="_Toc8378827"/>
      <w:bookmarkStart w:id="425" w:name="_Toc9583964"/>
      <w:bookmarkStart w:id="426" w:name="_Toc9597671"/>
      <w:bookmarkStart w:id="427" w:name="_Toc13217643"/>
      <w:bookmarkStart w:id="428" w:name="_Toc10202320"/>
      <w:bookmarkStart w:id="429" w:name="_Toc12609915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黑体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 本周山东地区液氯价格上调，全国氯碱装置开工依旧较低，出货普遍承压，部分地区运输管制有所放宽。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北方山东地区本周液氯市场上涨，近日高速开始免费，场内运输情况稍有转好，省内液氯价格上调50-100元/吨。周初山东东营地区由于运输严管，导致原盐到货不足，原料紧缺，对当地氯碱企业开工有一定影响；整体看本周山东地区上游碱厂开工维持低负荷运行，运输和下游开工情况仍是主要矛盾，整体下游开工仍较为弱势，东部耗氯大户本周收货价格上调100元/吨，整体收货较上周有增量。河北地区周初受大雪天气影响，发往省外的道路运输受阻，液氯多在省内消化，下游开工恢复缓慢，液氯出货承压，且部分地区原盐到货不足，氯碱厂家多根据自身情况灵活下调负荷，本周价格弱稳运行。辽宁地区液氯市场稳定运行，省内氯碱装置开工水平维持在8-9成。内蒙地区液氯市场持稳出货，上游氯碱装置开工稍降，区域内下游开工不佳，液氯出货不畅，本地槽车出厂价格在1元/吨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本周华中河南地区液氯市场出货一般，液氯市场成交重心回落，主要因外围液氯市场成交价格低位，对省内市场有一定影响，目前省内氯碱装置整体开工水平在5-6成左右，液氯供应量不多。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本周华东江苏地区液氯市场窄幅整理，目前道路运输管制压力逐步缓解，但下游耗氯行业开工情况依旧不理想，省内上游氯碱企业整体开工下调明显，液氯供应减量，个别厂家报价有提升。安徽地区液氯市场弱势延续，目前省内华星暂未复工，其余碱厂整体负荷不高，供应端虽有减量，但耗氯下游开工更是低迷，且运输仍存在一定压力。浙江地区液氯市场出货情况一般，省内氯碱装置整体开工低位，受疫情影响液氯运输受阻，且下游行业开工水平亦较为低迷，多以自产自用为主，市场成交不多。江西地区液氯市场维持清淡，省内碱厂负荷较上周有提升，有机硅及九二盐业均恢复正常运行，目前运输方面问题不大，但下游耗氯企业复工缓慢，液氯出货不佳，价格未有调整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华南四川地区液氯市场稳定为主，省内氯碱整体负荷较高，下游开工略有不足，运输方面问题不大，液氯以省内消化为主。重庆、福建地区地区液氯市场稳定延续，整体氯碱负荷不高，受疫情影响，省内液氯供应量不高，区域内消化足矣。 </w:t>
      </w:r>
    </w:p>
    <w:p>
      <w:pPr>
        <w:widowControl/>
        <w:numPr>
          <w:ilvl w:val="0"/>
          <w:numId w:val="3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</w:rPr>
      </w:pPr>
      <w:bookmarkStart w:id="430" w:name="_Toc12609916"/>
      <w:bookmarkStart w:id="431" w:name="_Toc10202321"/>
      <w:bookmarkStart w:id="432" w:name="_Toc13217644"/>
      <w:bookmarkStart w:id="433" w:name="_Toc9583965"/>
      <w:bookmarkStart w:id="434" w:name="_Toc8991666"/>
      <w:bookmarkStart w:id="435" w:name="_Toc9597672"/>
      <w:bookmarkStart w:id="436" w:name="_Toc8378828"/>
      <w:bookmarkStart w:id="437" w:name="_Toc4767077"/>
      <w:bookmarkStart w:id="438" w:name="_Toc8313146"/>
      <w:bookmarkStart w:id="439" w:name="_Toc4654042"/>
      <w:bookmarkStart w:id="440" w:name="_Toc4596905"/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8991667"/>
      <w:bookmarkStart w:id="442" w:name="_Toc9597673"/>
      <w:bookmarkStart w:id="443" w:name="_Toc9583966"/>
      <w:bookmarkStart w:id="444" w:name="_Toc10202322"/>
      <w:bookmarkStart w:id="445" w:name="_Toc13217645"/>
      <w:bookmarkStart w:id="446" w:name="_Toc12609917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  截止2020年2月20日各地区液氯槽车主流出厂价格：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山东省内主流槽车执行150-250元/吨，河北省内主流槽车执行100-400元/吨；河南省槽车主流出货价格在300-400元/吨均有，钢瓶槽车同价；辽宁省内槽车出货价格在1-100元/吨，钢瓶暂不报价；山西地区槽车出货主流在1-50元/吨；浙江地区当前槽车出货价格为400-550元/吨；江苏地区槽车出货主流250-350；江西地区主流槽车价格450-500元/吨；安徽地区槽车出厂价格300元/吨；内蒙液氯槽车出厂价格1元/吨；湖北地区少量槽车出厂价格在500-600元/吨；湖南地区槽车无货；四川地区150-200元/吨，当地高价成交有限。 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596906"/>
      <w:bookmarkStart w:id="449" w:name="_Toc4767078"/>
      <w:bookmarkStart w:id="450" w:name="_Toc8378829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53" w:name="_Toc8991668"/>
      <w:bookmarkStart w:id="454" w:name="_Toc8378830"/>
      <w:bookmarkStart w:id="455" w:name="_Toc8313148"/>
      <w:bookmarkStart w:id="456" w:name="_Toc9583967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kern w:val="2"/>
          <w:sz w:val="28"/>
          <w:szCs w:val="28"/>
        </w:rPr>
        <w:t>山东省内主流槽车执行150-250元/吨，河北省内主流槽车执行100-400元/吨；河南省槽车主流出货价格在300-400元/吨均有，钢瓶槽车同价；辽宁省内槽车出货价格在1-100元/吨，钢瓶暂不报价；山西地区槽车出货主流在1-50元/吨；浙江地区当前槽车出货价格为400-550元/吨；江苏地区槽车出货主流250-350；江西地区主流槽车价格450-500元/吨；安徽地区槽车出厂价格300元/吨；内蒙液氯槽车出厂价格1元/吨；湖北地区少量槽车出厂价格在500-600元/吨；湖南地区槽车无货；四川地区150-200元/吨，当地高价成交有限。  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ascii="仿宋" w:hAnsi="仿宋" w:eastAsia="仿宋" w:cs="仿宋"/>
          <w:kern w:val="2"/>
          <w:sz w:val="28"/>
          <w:szCs w:val="28"/>
        </w:rPr>
        <w:br w:type="textWrapping"/>
      </w:r>
    </w:p>
    <w:p>
      <w:pPr>
        <w:pStyle w:val="12"/>
        <w:spacing w:before="0" w:beforeAutospacing="0" w:after="0" w:afterAutospacing="0" w:line="400" w:lineRule="exact"/>
        <w:ind w:firstLine="420" w:firstLineChars="200"/>
        <w:outlineLvl w:val="1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ascii="Arial" w:hAnsi="Arial" w:cs="Arial"/>
          <w:color w:val="191919"/>
          <w:sz w:val="21"/>
          <w:szCs w:val="21"/>
          <w:shd w:val="clear" w:color="auto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>
        <w:rPr>
          <w:rFonts w:hint="eastAsia" w:ascii="黑体" w:hAnsi="黑体" w:eastAsia="黑体" w:cs="黑体"/>
          <w:sz w:val="30"/>
          <w:szCs w:val="30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   目前全国部分地区运输管制有所放宽，但下游开工恢复缓慢，山东地区液氯价格小幅上调，其他地区弱稳运行为主。后市预测：预计后市道路运输情况将逐步恢复，液氯出货情况将有所转好，后市仍需重点关注道路运输及上下游开工影响情况。</w:t>
      </w:r>
    </w:p>
    <w:p>
      <w:pPr>
        <w:pStyle w:val="12"/>
        <w:ind w:firstLine="602" w:firstLineChars="200"/>
        <w:rPr>
          <w:b/>
          <w:bCs/>
          <w:sz w:val="30"/>
          <w:szCs w:val="30"/>
        </w:rPr>
      </w:pPr>
      <w:bookmarkStart w:id="464" w:name="_Toc8313149"/>
      <w:bookmarkStart w:id="465" w:name="_Toc8991669"/>
      <w:bookmarkStart w:id="466" w:name="_Toc8378831"/>
      <w:bookmarkStart w:id="467" w:name="_Toc9597675"/>
      <w:bookmarkStart w:id="468" w:name="_Toc9583968"/>
      <w:bookmarkStart w:id="469" w:name="_Toc12609919"/>
      <w:bookmarkStart w:id="470" w:name="_Toc13217647"/>
      <w:bookmarkStart w:id="471" w:name="_Toc10202324"/>
      <w:bookmarkStart w:id="472" w:name="_Toc4596908"/>
      <w:bookmarkStart w:id="473" w:name="_Toc4654045"/>
      <w:bookmarkStart w:id="474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  <w:bookmarkStart w:id="480" w:name="_GoBack"/>
            <w:bookmarkEnd w:id="48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278E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CFA"/>
    <w:rsid w:val="00E83A76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D93776"/>
    <w:rsid w:val="01EC6D31"/>
    <w:rsid w:val="01F577B9"/>
    <w:rsid w:val="02176BD3"/>
    <w:rsid w:val="022167D2"/>
    <w:rsid w:val="023545E6"/>
    <w:rsid w:val="02483CA8"/>
    <w:rsid w:val="0259405D"/>
    <w:rsid w:val="02674E0B"/>
    <w:rsid w:val="02A87A41"/>
    <w:rsid w:val="02C35F1A"/>
    <w:rsid w:val="03F74F5B"/>
    <w:rsid w:val="045D4337"/>
    <w:rsid w:val="0543483B"/>
    <w:rsid w:val="054826E6"/>
    <w:rsid w:val="05486BF5"/>
    <w:rsid w:val="05527BDA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0240DB"/>
    <w:rsid w:val="08A903BD"/>
    <w:rsid w:val="08BC3F7D"/>
    <w:rsid w:val="08D0436B"/>
    <w:rsid w:val="09410D16"/>
    <w:rsid w:val="09593BE6"/>
    <w:rsid w:val="097B6FF1"/>
    <w:rsid w:val="09DF4FD2"/>
    <w:rsid w:val="0A1366BF"/>
    <w:rsid w:val="0A152E7E"/>
    <w:rsid w:val="0A2D1211"/>
    <w:rsid w:val="0A66188B"/>
    <w:rsid w:val="0A841691"/>
    <w:rsid w:val="0BD71EE3"/>
    <w:rsid w:val="0BEE0FE3"/>
    <w:rsid w:val="0C695DCD"/>
    <w:rsid w:val="0CA66CC1"/>
    <w:rsid w:val="0CE73CE2"/>
    <w:rsid w:val="0D6F211C"/>
    <w:rsid w:val="0D8E74B5"/>
    <w:rsid w:val="0E037EF0"/>
    <w:rsid w:val="0E1378E5"/>
    <w:rsid w:val="0E2813BC"/>
    <w:rsid w:val="0E330069"/>
    <w:rsid w:val="0E9A42BB"/>
    <w:rsid w:val="0FAD679A"/>
    <w:rsid w:val="0FC9079A"/>
    <w:rsid w:val="0FF22D75"/>
    <w:rsid w:val="101007C5"/>
    <w:rsid w:val="101B49EE"/>
    <w:rsid w:val="104760F9"/>
    <w:rsid w:val="10C922FB"/>
    <w:rsid w:val="116C0DA5"/>
    <w:rsid w:val="12DD29B7"/>
    <w:rsid w:val="12E74761"/>
    <w:rsid w:val="12F91650"/>
    <w:rsid w:val="136F5708"/>
    <w:rsid w:val="138C04F1"/>
    <w:rsid w:val="139F4C26"/>
    <w:rsid w:val="13EF32B1"/>
    <w:rsid w:val="140677C1"/>
    <w:rsid w:val="14494DA0"/>
    <w:rsid w:val="146F074D"/>
    <w:rsid w:val="14784453"/>
    <w:rsid w:val="147C5C40"/>
    <w:rsid w:val="148C6287"/>
    <w:rsid w:val="15030BEA"/>
    <w:rsid w:val="152016D6"/>
    <w:rsid w:val="15951836"/>
    <w:rsid w:val="159E1414"/>
    <w:rsid w:val="15C13076"/>
    <w:rsid w:val="16001B5A"/>
    <w:rsid w:val="16142C2C"/>
    <w:rsid w:val="164160AE"/>
    <w:rsid w:val="16E82364"/>
    <w:rsid w:val="16F54AFF"/>
    <w:rsid w:val="17C12A54"/>
    <w:rsid w:val="180F2A86"/>
    <w:rsid w:val="1911312B"/>
    <w:rsid w:val="1978453B"/>
    <w:rsid w:val="199961DA"/>
    <w:rsid w:val="1A552047"/>
    <w:rsid w:val="1A6E6D3E"/>
    <w:rsid w:val="1AB0474F"/>
    <w:rsid w:val="1AB766D3"/>
    <w:rsid w:val="1B1E5671"/>
    <w:rsid w:val="1B3E20F2"/>
    <w:rsid w:val="1BF251FB"/>
    <w:rsid w:val="1C1E7791"/>
    <w:rsid w:val="1C2C1439"/>
    <w:rsid w:val="1C4C0DD0"/>
    <w:rsid w:val="1C530D68"/>
    <w:rsid w:val="1C953F06"/>
    <w:rsid w:val="1CBA0992"/>
    <w:rsid w:val="1CDE5D67"/>
    <w:rsid w:val="1D7338A6"/>
    <w:rsid w:val="1DD7185B"/>
    <w:rsid w:val="1E4F567E"/>
    <w:rsid w:val="1E5429AD"/>
    <w:rsid w:val="1F43662E"/>
    <w:rsid w:val="1F85078D"/>
    <w:rsid w:val="203175DD"/>
    <w:rsid w:val="20645B40"/>
    <w:rsid w:val="20C22B0F"/>
    <w:rsid w:val="212577C9"/>
    <w:rsid w:val="2129013A"/>
    <w:rsid w:val="21E309CC"/>
    <w:rsid w:val="21F062E3"/>
    <w:rsid w:val="22781FE1"/>
    <w:rsid w:val="228C1924"/>
    <w:rsid w:val="231321D1"/>
    <w:rsid w:val="244D7E8B"/>
    <w:rsid w:val="248017D2"/>
    <w:rsid w:val="248C0836"/>
    <w:rsid w:val="255A3A3C"/>
    <w:rsid w:val="25A726E9"/>
    <w:rsid w:val="26C2123A"/>
    <w:rsid w:val="26D85F28"/>
    <w:rsid w:val="27192C51"/>
    <w:rsid w:val="27DD580C"/>
    <w:rsid w:val="285F0DD4"/>
    <w:rsid w:val="28B71259"/>
    <w:rsid w:val="294F6A51"/>
    <w:rsid w:val="299E51AB"/>
    <w:rsid w:val="29ED7A0D"/>
    <w:rsid w:val="2A513500"/>
    <w:rsid w:val="2B0B0E1A"/>
    <w:rsid w:val="2B185B0D"/>
    <w:rsid w:val="2B28757D"/>
    <w:rsid w:val="2C4347F7"/>
    <w:rsid w:val="2C794137"/>
    <w:rsid w:val="2CAF0D94"/>
    <w:rsid w:val="2CBE60B3"/>
    <w:rsid w:val="2CC422A3"/>
    <w:rsid w:val="2CFA7183"/>
    <w:rsid w:val="2D3F3099"/>
    <w:rsid w:val="2D5C7090"/>
    <w:rsid w:val="2D926C97"/>
    <w:rsid w:val="2DBE47DC"/>
    <w:rsid w:val="2E4658C1"/>
    <w:rsid w:val="2E5D760A"/>
    <w:rsid w:val="2E997E89"/>
    <w:rsid w:val="2EA02B25"/>
    <w:rsid w:val="2EBB4636"/>
    <w:rsid w:val="30443666"/>
    <w:rsid w:val="304478B7"/>
    <w:rsid w:val="31054673"/>
    <w:rsid w:val="31373757"/>
    <w:rsid w:val="317871ED"/>
    <w:rsid w:val="318800B8"/>
    <w:rsid w:val="31A67991"/>
    <w:rsid w:val="327169B3"/>
    <w:rsid w:val="32B413B0"/>
    <w:rsid w:val="32BD5199"/>
    <w:rsid w:val="32DA04F5"/>
    <w:rsid w:val="33525A0A"/>
    <w:rsid w:val="3386387A"/>
    <w:rsid w:val="33984B88"/>
    <w:rsid w:val="33C62097"/>
    <w:rsid w:val="33F6199A"/>
    <w:rsid w:val="34BE693E"/>
    <w:rsid w:val="34C23899"/>
    <w:rsid w:val="34DF2DE7"/>
    <w:rsid w:val="34E50B27"/>
    <w:rsid w:val="3588299B"/>
    <w:rsid w:val="3606082A"/>
    <w:rsid w:val="36607940"/>
    <w:rsid w:val="3679122E"/>
    <w:rsid w:val="369F6B64"/>
    <w:rsid w:val="36E22959"/>
    <w:rsid w:val="37C67B3A"/>
    <w:rsid w:val="3801773F"/>
    <w:rsid w:val="38352242"/>
    <w:rsid w:val="38B7769F"/>
    <w:rsid w:val="38E24762"/>
    <w:rsid w:val="38FB076B"/>
    <w:rsid w:val="396C2796"/>
    <w:rsid w:val="399223FA"/>
    <w:rsid w:val="3A65734A"/>
    <w:rsid w:val="3AA77AD9"/>
    <w:rsid w:val="3C791086"/>
    <w:rsid w:val="3CCF420F"/>
    <w:rsid w:val="3D010241"/>
    <w:rsid w:val="3D6019E2"/>
    <w:rsid w:val="3DC64DA2"/>
    <w:rsid w:val="3DFB79C8"/>
    <w:rsid w:val="3E1F20D1"/>
    <w:rsid w:val="3E3F15FA"/>
    <w:rsid w:val="3E996D0A"/>
    <w:rsid w:val="3EA83A40"/>
    <w:rsid w:val="3EBE0E18"/>
    <w:rsid w:val="3F150C00"/>
    <w:rsid w:val="3F263F12"/>
    <w:rsid w:val="3F6B4D22"/>
    <w:rsid w:val="3F972198"/>
    <w:rsid w:val="3FCA2DCB"/>
    <w:rsid w:val="3FEA1764"/>
    <w:rsid w:val="404919BE"/>
    <w:rsid w:val="407812DD"/>
    <w:rsid w:val="40865790"/>
    <w:rsid w:val="40BE43E7"/>
    <w:rsid w:val="41BD2E20"/>
    <w:rsid w:val="423C58E6"/>
    <w:rsid w:val="424A6830"/>
    <w:rsid w:val="42643689"/>
    <w:rsid w:val="427F06AC"/>
    <w:rsid w:val="42ED2564"/>
    <w:rsid w:val="42F04B90"/>
    <w:rsid w:val="43BC78EC"/>
    <w:rsid w:val="44574BE4"/>
    <w:rsid w:val="44AC2A64"/>
    <w:rsid w:val="458512A6"/>
    <w:rsid w:val="45EA14EE"/>
    <w:rsid w:val="45F4257A"/>
    <w:rsid w:val="463B1AAA"/>
    <w:rsid w:val="463F04DF"/>
    <w:rsid w:val="46851492"/>
    <w:rsid w:val="46975AF3"/>
    <w:rsid w:val="46E6270B"/>
    <w:rsid w:val="47174E47"/>
    <w:rsid w:val="474F32D6"/>
    <w:rsid w:val="47657879"/>
    <w:rsid w:val="47772291"/>
    <w:rsid w:val="478949E3"/>
    <w:rsid w:val="47C03AAC"/>
    <w:rsid w:val="485263FC"/>
    <w:rsid w:val="486C7629"/>
    <w:rsid w:val="48DC2BE3"/>
    <w:rsid w:val="48F51468"/>
    <w:rsid w:val="493577ED"/>
    <w:rsid w:val="493B4C8E"/>
    <w:rsid w:val="49415DBF"/>
    <w:rsid w:val="49553CAC"/>
    <w:rsid w:val="49632188"/>
    <w:rsid w:val="498F735A"/>
    <w:rsid w:val="49971004"/>
    <w:rsid w:val="49A54C78"/>
    <w:rsid w:val="4A705D29"/>
    <w:rsid w:val="4AC026BD"/>
    <w:rsid w:val="4B392FD5"/>
    <w:rsid w:val="4BA14D45"/>
    <w:rsid w:val="4BCD0145"/>
    <w:rsid w:val="4CE47A3E"/>
    <w:rsid w:val="4CEB2A43"/>
    <w:rsid w:val="4D2852AE"/>
    <w:rsid w:val="4DAF2B52"/>
    <w:rsid w:val="4DD26988"/>
    <w:rsid w:val="4E41582A"/>
    <w:rsid w:val="4E432385"/>
    <w:rsid w:val="4EB77DE7"/>
    <w:rsid w:val="4F2D38A3"/>
    <w:rsid w:val="4FBD68F8"/>
    <w:rsid w:val="502A390E"/>
    <w:rsid w:val="505121FE"/>
    <w:rsid w:val="5084796D"/>
    <w:rsid w:val="50B97677"/>
    <w:rsid w:val="51560155"/>
    <w:rsid w:val="51863E1B"/>
    <w:rsid w:val="519B1BA0"/>
    <w:rsid w:val="51DE5599"/>
    <w:rsid w:val="51EA7D0E"/>
    <w:rsid w:val="51F77181"/>
    <w:rsid w:val="52621F83"/>
    <w:rsid w:val="52656504"/>
    <w:rsid w:val="532B50F8"/>
    <w:rsid w:val="535D6073"/>
    <w:rsid w:val="53F372ED"/>
    <w:rsid w:val="543F4416"/>
    <w:rsid w:val="54A41DDC"/>
    <w:rsid w:val="54C70160"/>
    <w:rsid w:val="54CD7148"/>
    <w:rsid w:val="54F619AF"/>
    <w:rsid w:val="54FC014A"/>
    <w:rsid w:val="55233E35"/>
    <w:rsid w:val="5535505F"/>
    <w:rsid w:val="55495A6C"/>
    <w:rsid w:val="55597748"/>
    <w:rsid w:val="555C3769"/>
    <w:rsid w:val="55CF5877"/>
    <w:rsid w:val="56885A23"/>
    <w:rsid w:val="572D0997"/>
    <w:rsid w:val="5751077E"/>
    <w:rsid w:val="57A17572"/>
    <w:rsid w:val="57E56DE8"/>
    <w:rsid w:val="58210661"/>
    <w:rsid w:val="58B55086"/>
    <w:rsid w:val="58B94825"/>
    <w:rsid w:val="58EB2CF3"/>
    <w:rsid w:val="591C3E8D"/>
    <w:rsid w:val="5948587F"/>
    <w:rsid w:val="597A0CF9"/>
    <w:rsid w:val="5A992B2C"/>
    <w:rsid w:val="5AFB1B92"/>
    <w:rsid w:val="5B047FE2"/>
    <w:rsid w:val="5B501BC4"/>
    <w:rsid w:val="5B5271CD"/>
    <w:rsid w:val="5C54349C"/>
    <w:rsid w:val="5C7239E0"/>
    <w:rsid w:val="5C9725E4"/>
    <w:rsid w:val="5CE94F9D"/>
    <w:rsid w:val="5CF46AC5"/>
    <w:rsid w:val="5D365FD4"/>
    <w:rsid w:val="5D491E3A"/>
    <w:rsid w:val="5D94403E"/>
    <w:rsid w:val="5DF83CD8"/>
    <w:rsid w:val="5E180D90"/>
    <w:rsid w:val="5E1E0ACC"/>
    <w:rsid w:val="5E492213"/>
    <w:rsid w:val="5E527EC3"/>
    <w:rsid w:val="5E665441"/>
    <w:rsid w:val="5F296C2A"/>
    <w:rsid w:val="5FB64157"/>
    <w:rsid w:val="5FEC0957"/>
    <w:rsid w:val="60145E67"/>
    <w:rsid w:val="614B4BC0"/>
    <w:rsid w:val="61557EEB"/>
    <w:rsid w:val="616D01B4"/>
    <w:rsid w:val="61B131C8"/>
    <w:rsid w:val="62674E7A"/>
    <w:rsid w:val="628711C7"/>
    <w:rsid w:val="629B181D"/>
    <w:rsid w:val="62A5476F"/>
    <w:rsid w:val="62B3538F"/>
    <w:rsid w:val="62B40821"/>
    <w:rsid w:val="63251CCE"/>
    <w:rsid w:val="632E67C9"/>
    <w:rsid w:val="6347127C"/>
    <w:rsid w:val="63711198"/>
    <w:rsid w:val="63D66457"/>
    <w:rsid w:val="6409526A"/>
    <w:rsid w:val="645D6907"/>
    <w:rsid w:val="649D217D"/>
    <w:rsid w:val="64DA4F14"/>
    <w:rsid w:val="65142B50"/>
    <w:rsid w:val="65233802"/>
    <w:rsid w:val="65B637F2"/>
    <w:rsid w:val="65BC2C98"/>
    <w:rsid w:val="66A1426F"/>
    <w:rsid w:val="66BA23F6"/>
    <w:rsid w:val="672512E6"/>
    <w:rsid w:val="672D4C66"/>
    <w:rsid w:val="677231B7"/>
    <w:rsid w:val="67EF32BF"/>
    <w:rsid w:val="687B1AC6"/>
    <w:rsid w:val="689451EC"/>
    <w:rsid w:val="689F0630"/>
    <w:rsid w:val="69332E26"/>
    <w:rsid w:val="693F425F"/>
    <w:rsid w:val="699A6EAB"/>
    <w:rsid w:val="699E3128"/>
    <w:rsid w:val="69AB3883"/>
    <w:rsid w:val="69E960EE"/>
    <w:rsid w:val="6A511A1B"/>
    <w:rsid w:val="6A5942E5"/>
    <w:rsid w:val="6B242E96"/>
    <w:rsid w:val="6B33144F"/>
    <w:rsid w:val="6B391AB4"/>
    <w:rsid w:val="6B6443A0"/>
    <w:rsid w:val="6BC46FCF"/>
    <w:rsid w:val="6BE03119"/>
    <w:rsid w:val="6D394FFA"/>
    <w:rsid w:val="6D5C3B68"/>
    <w:rsid w:val="6E4861B3"/>
    <w:rsid w:val="6EC2522B"/>
    <w:rsid w:val="6ED40A7D"/>
    <w:rsid w:val="6F0408C9"/>
    <w:rsid w:val="6F9F5752"/>
    <w:rsid w:val="6FEA13A8"/>
    <w:rsid w:val="6FF4258B"/>
    <w:rsid w:val="70225701"/>
    <w:rsid w:val="702F63A9"/>
    <w:rsid w:val="705B7E7B"/>
    <w:rsid w:val="70A43BB4"/>
    <w:rsid w:val="70DA78F6"/>
    <w:rsid w:val="70E24EF9"/>
    <w:rsid w:val="718B49CA"/>
    <w:rsid w:val="71CF1479"/>
    <w:rsid w:val="71FE3A25"/>
    <w:rsid w:val="72176D98"/>
    <w:rsid w:val="72484353"/>
    <w:rsid w:val="729F7BB7"/>
    <w:rsid w:val="72AA7E6B"/>
    <w:rsid w:val="72C65AEF"/>
    <w:rsid w:val="734E035F"/>
    <w:rsid w:val="73E2393B"/>
    <w:rsid w:val="73EC233E"/>
    <w:rsid w:val="740D406E"/>
    <w:rsid w:val="74394A4C"/>
    <w:rsid w:val="74E6353F"/>
    <w:rsid w:val="74FB1FDB"/>
    <w:rsid w:val="75F44536"/>
    <w:rsid w:val="75FC515E"/>
    <w:rsid w:val="76DF0481"/>
    <w:rsid w:val="776C4D39"/>
    <w:rsid w:val="778B6DD4"/>
    <w:rsid w:val="77AB311E"/>
    <w:rsid w:val="77FB607A"/>
    <w:rsid w:val="780A2C9F"/>
    <w:rsid w:val="78364F56"/>
    <w:rsid w:val="783D79A3"/>
    <w:rsid w:val="78664122"/>
    <w:rsid w:val="791B706C"/>
    <w:rsid w:val="79B31ED1"/>
    <w:rsid w:val="79B96A83"/>
    <w:rsid w:val="79C66977"/>
    <w:rsid w:val="79D8107D"/>
    <w:rsid w:val="79EA39E0"/>
    <w:rsid w:val="7A7F3D81"/>
    <w:rsid w:val="7ADE77A7"/>
    <w:rsid w:val="7B5E4B72"/>
    <w:rsid w:val="7B5F5E64"/>
    <w:rsid w:val="7B8C3430"/>
    <w:rsid w:val="7BB74F57"/>
    <w:rsid w:val="7C1A111F"/>
    <w:rsid w:val="7C3D0B95"/>
    <w:rsid w:val="7CCE4378"/>
    <w:rsid w:val="7CD27F73"/>
    <w:rsid w:val="7CF466D4"/>
    <w:rsid w:val="7D1D2F8B"/>
    <w:rsid w:val="7D670B73"/>
    <w:rsid w:val="7D6A7849"/>
    <w:rsid w:val="7D785784"/>
    <w:rsid w:val="7D9A3483"/>
    <w:rsid w:val="7DA63861"/>
    <w:rsid w:val="7DD37D92"/>
    <w:rsid w:val="7E1A5D65"/>
    <w:rsid w:val="7E3E49D2"/>
    <w:rsid w:val="7E415179"/>
    <w:rsid w:val="7E7E2A4A"/>
    <w:rsid w:val="7FF477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744</Words>
  <Characters>4245</Characters>
  <Lines>35</Lines>
  <Paragraphs>9</Paragraphs>
  <TotalTime>17</TotalTime>
  <ScaleCrop>false</ScaleCrop>
  <LinksUpToDate>false</LinksUpToDate>
  <CharactersWithSpaces>4980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2020-02-21T02:47:14Z</dcterms:modified>
  <cp:revision>398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