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-705485</wp:posOffset>
            </wp:positionH>
            <wp:positionV relativeFrom="paragraph">
              <wp:posOffset>-915035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3.19</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702" w:type="dxa"/>
        <w:tblInd w:w="0" w:type="dxa"/>
        <w:tblLayout w:type="fixed"/>
        <w:tblCellMar>
          <w:top w:w="15" w:type="dxa"/>
          <w:left w:w="15" w:type="dxa"/>
          <w:bottom w:w="15" w:type="dxa"/>
          <w:right w:w="15" w:type="dxa"/>
        </w:tblCellMar>
      </w:tblPr>
      <w:tblGrid>
        <w:gridCol w:w="1291"/>
        <w:gridCol w:w="965"/>
        <w:gridCol w:w="885"/>
        <w:gridCol w:w="6561"/>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日期</w:t>
            </w:r>
          </w:p>
        </w:tc>
        <w:tc>
          <w:tcPr>
            <w:tcW w:w="96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88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656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2020/3/18</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20.37</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24.88</w:t>
            </w:r>
          </w:p>
        </w:tc>
        <w:tc>
          <w:tcPr>
            <w:tcW w:w="65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世界各国继续采取封锁措施以减缓新冠病毒疫情的扩散速度，而沙特阿拉伯和俄罗斯仍在进行全球价格战向全球市场大量供应原油，此外，美股大跌也令油价承压，原油延续此前下跌走势再次重挫崩盘。</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2020/3/17</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26.95</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28.73</w:t>
            </w:r>
          </w:p>
        </w:tc>
        <w:tc>
          <w:tcPr>
            <w:tcW w:w="65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疫情导致经济增长和石油需求放缓，美国、加拿大，以及欧洲和亚洲的多个国家均宣布将采取前所未有的措施遏制疫情扩散，下游需求遭受打击，此外，沙特和俄罗斯的市场份额争夺战仍在继续，令市场忧虑加重。</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2020/3/16</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28.7</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30.05</w:t>
            </w:r>
          </w:p>
        </w:tc>
        <w:tc>
          <w:tcPr>
            <w:tcW w:w="65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当地时间3月15日，美联储宣布，因新冠疫情已经给包括美国在内的很多国家的社会和经济造成损害，为应对疫情的影响，美联储从15日起紧急降息1个百分点至0-0.25%区间。但是，美联储宣布紧急降息，未能遏制迅速蔓延的新冠病毒在投资者中引发的恐慌情绪，原油期货与股市周一再度重挫。</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2020/3/13</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31.73</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33.85</w:t>
            </w:r>
          </w:p>
        </w:tc>
        <w:tc>
          <w:tcPr>
            <w:tcW w:w="6561"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国际原油市场消息面相对清淡，由于沙特阿拉伯宣布不会参加OPEC+技术会议，月内的JTC会议进程已经取消。此外，沙特确认将在四月提高对欧洲客户的原油供应量。另一方面，因受病毒疫情影响，多国相继出台经济刺激计划，市场风险情绪暂回稳。</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2020/3/12</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31.5</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33.22</w:t>
            </w:r>
          </w:p>
        </w:tc>
        <w:tc>
          <w:tcPr>
            <w:tcW w:w="6561"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沙特与俄罗斯之间的价格战加剧，OPEC和非OPEC国家联合技术委员会3月18日会议或将取消。此外，美国应对疫情措施未达市场预期，距离能够有效避免美国经济衰退所需的水平差距较大，市场忧虑情绪加重。</w:t>
            </w:r>
          </w:p>
        </w:tc>
      </w:tr>
    </w:tbl>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4381500" cy="4295775"/>
            <wp:effectExtent l="0" t="0" r="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381500" cy="4295775"/>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(3月11日)公布报告显示，截至3月6日当周美国原油库存连续七周录得增加，且扩增幅度远超预期，不过汽油和精炼油库存大幅下降。具体数据显示，美国截至3月6日当周EIA原油库存增加766.40万桶，预期增加210.5万桶，前值增加78.4万桶。此外，美国截至3月6日当周EIA汽油库存减少504.90万桶，预期减少269.1万桶，前值减少433.9万桶;美国截至3月6日当周EIA精炼油库存实际公布减少640.40万桶，预期减少220.3万桶，前值减少400.8万桶。上周俄克拉荷马州库欣原油库存增加70.4万桶。美国石油学会(API)周二(3月10日)公布报告称，API原油库存增幅远超预期，不过汽油和精炼油库存则双双大降。API公布，截至3月6日当周，美国原油库存增加640.7万桶至4.53亿桶，预计为增加184.8万桶。库欣库存增加36.4万桶。此外，上周汽油库存减少309.1万桶，预计为减少268.6万桶。同时，上周精炼油库存减少467.9万桶，预计为减少213.3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19日凌晨，美股周三收盘重挫，道指失守20000点关口，股指延续了近来的剧烈震荡格局。盘中标普指数暴跌7%触发熔断机制。市场密切关注各国陆续出台的冠状病毒疫情纾困计划。投资者怀疑这些措施是否足够。据称白宫敦促限制卖空。美油暴跌超过24%。</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道指收跌1338.46点，或6.30%，报19898.92点;纳指跌344.94点，或4.70%，报6989.84点;标普500指数跌131.09点，或5.18%，报2398.10点。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股继续维持近来的剧烈动荡局面。今日主要股指低开低走。在美国财政部长姆努钦表示“若不采取刺激措施，美国失业率将达20%”后，标普500指数暴跌7%，触发熔断机制。这是美股在短短两周时间内第四次熔断。</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据纽约证券交易所(NYSE)的规定，当标普500指数出现大幅下跌和震荡时，可在“三个熔断门槛”处暂停交易。该交易所根据前一交易日标普500指数的收盘点位将此“门槛”分为三个级别，具体如下：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第一级：如果标普500指数下跌7%，则交易将会暂停15分钟。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第二级：如果标普500指数下跌13%，且这种发生在美国东部时间下午3点25分或这一时间之前，交易将再次暂停15分钟。若在这一时间之后，则不会暂停交易。</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第三级：如果标普500指数下跌20%，则全天交易结束，美股直接收盘。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今日美股航空股大幅下挫，达美航空下跌超40%，美国航空跌超25%，美联航跌超32%。</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原油暴跌，美国4月WTI原油期货收跌6.58美元，跌幅24.42%，创历史上第三大单日跌幅，报收于20.37美元/桶。最近10个交易日内，该期货价格暴跌56%，创1983年成立合约以来最大的连续10天跌幅。</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美股延续近期剧烈震荡局面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自冠状病毒疫情爆发以来，美股出现了前所未见的过山车行情，在截至周三收盘的8个交易日内，标普500指数的每日涨跌幅度均超过4%，已经刷新了1929年11月创造的连续6日涨跌幅超过4%的前纪录。</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全球债市也遭遇疯狂抛售，致使国债收益率狂飙，英国30年期国债收益率涨20个基点，意大利十年期国债收益率涨破3%。</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美国10年期美国国债收益率在周二午盘时约为0.77%，周三该项收益率升至1.253%。本周开始时该项收益率约为0.65%。10年期美债收益率的飙升固然是造成交易者不安的原因，但其一夜之间迅速飙升的事实更令人担忧。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周三盘前，美股指数期货大幅下跌并触发了交易限制，进而暂停交易。衡量市场恐慌程度的CBOE波动率指数创历史新高。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XM市场分析师Raffi Boyadjian表示，周三美股再度下挫，未能延续前一日涨势，原因可能是投资者担心受到新冠病毒疫情影响的国家将会长时间封闭。</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Boyadjian表示：“这种情况在几周前还是无法想象的，但正在迅速成为新的现实，这意味着全球经济活动可能很快就要陷入停顿，并对公司现金流造成毁灭性的打击。”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在周二美股反弹之前，美国和欧洲政府关闭了大量经济活动以减缓新冠病毒疫情的蔓延，造成周一美股暴跌，道指收盘下挫近3000点，蒙受了1987年美股崩盘以来的最大单日跌幅。</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美国陷入经济衰退概率高达90%</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股市暴涨暴跌，震惊全球。华尔街已经重新回到“现金为王”的时代。在全球经济衰退威胁、所有资产类别都陷入动荡之际，现金被视为最安全的选择。高盛认为，美股的流动性已经来到了金融危机以来最糟糕的时候。</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法国巴黎银行资产管理部门高级策略师兼配置经理人Guillermo Felices表示：“由于投资者和企业疯狂抛售各种资产以换取美元现金，市场出现了资金的压力，最大的风险在于，我行预测这一现象恐引发系统性风险。”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号称“新债券之王”的DoubleLine Capital首席执行官杰弗里-冈拉克(Jeffrey Gundlach)表示：“当餐饮业、旅游业、酒店业、航空业乃至邮轮业大面积停工时，显然经济活动的支柱受到了严重的破坏。”冈拉克预计美国发生经济衰退的几率高达90%，并表示心存侥幸者是“荒谬的”。他补充说，他相信刺激措施规模最终将超过1万亿美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冈拉克还评论了美国国债收益率的逆转攀升，并指出这可能会使美国出现经济疲软和利率上升的双重困境，这是因为，为资助刺激计划而发行的新债券充斥了债券市场。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摩根大通预计美国经济增速将在第一季度萎缩4%，第二季度萎缩14%。</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而古根海姆公司的Minerd认为，美国企业界需要2万亿美元资金资助，才能避免“全球大衰退”带来的冲击。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美国多方联手救市拟推出巨额刺激计划</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面对新冠病毒疫情蔓延给经济带来的越来越大的压力，美国政府、美联储和美国财政部计划联手推出救市措施。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特朗普政府周二表示，将采取1万亿美元以上的经济刺激计划，其中包括向个人直接发放现金、向企业提供一揽子救援措施等。</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在周日宣布紧急降息至零并采取额外刺激措施之后，美联储周二宣布将重新在2008年金融危机之后采用过的商业票据融资机制，向那些在公开市场上难以找到买家的发行者购买公司票据。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但瑞信分析师Zoltan Pozsar认为美联储重启商业票据融资工具以帮助美国企业融资的计划不会奏效。他们指出，融资市场的所有领域——有担保、无担保和外汇掉期——仍显示出压力迹象。美联储可能还需要做更多的事。除此之外，美国还需要扩大G7集团以外新领域的合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美国财政部部长姆努钦表示将向纽约联储注入特别存款，提供100亿美元的信贷保护。</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纽约联储周二表示，本周将每天通过隔夜回购操作提供一万亿美元。这些行动被视为对资金市场压力的回应，因为疫情造成增长放缓，使一些公司对短期现金的需求不断增加。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据媒体周三报道，美国白宫敦促限制卖空。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媒体报道称，美国白宫和国会共和党人的目标是，根据新冠肺炎疫情刺激计划，向大多数美国人派发2000美元现金，向小微企业提供3000亿美元资金。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疫情全球蔓延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世卫组织周三表示，全球新冠肺炎病例累计已超20万例。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据美国约翰斯-霍普金斯大学发布的实时统计数据显示，截至美国东部时间18日13时(北京时间19日1时)，美国累计新冠肺炎确诊病例7324例，死亡115例。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该大学数据还显示，德国累计确诊新冠肺炎病例10082例，成为全球第5个确诊数突破1万例的国家。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世界银行周三宣布，已将其为支持成员国应对新冠肺炎疫情而设立的基金规模增至140亿美元，较3月3日宣布的120亿美元增加了20亿。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欧盟称正在制定一项计划，可能使用救助基金为欧洲央行的紧急资产购买措施扫清障碍。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德国将允许银行动用资本缓冲以应对疫情影响;将从4月1日起降低资本缓冲要求，至少直至今年12月，将当前的逆周期资本缓冲比例从0.25%降低至0%。</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英国央行行长贝利周三表示，英国央行将采取一切必要行动支撑经济，负利率或对英国银行业造成冲击，商业机制是重要的措施之一，鉴于经济前景存在巨大不确定性，做出最佳预测是一个挑战。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贝利表示，英国央行随时准备采取进一步行动，与财政部一道最大限度地降低冠状病毒疫情的经济影响。他在与记者的电话会议上说，英国已经面临病毒大流行的破坏，但央行正在努力避免造成会损害经济能力的持久影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他称，尽管央行希望避免将利率降至零以下以免损害银行体系，但随着形势的发展，英国央行将继续评估这一立场。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当地时间3月18日，美国总统特朗普在社交媒体上宣布，称将关闭美国和加拿大边境，暂停两国之间的“非必要人员流动”。特朗普称该决定是美加两国的共识。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加拿大总理特鲁多也表示，美国和加拿大双方同意暂时性关闭边境，但两国之间的必要通行不受影响。特鲁多还宣布总额为820亿加元的刺激措施，相当于加拿大GDP的3%。</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朗普周三在白宫新闻发布会上表示，他将援引1950年战时法律《国防生产法案》，扩大美国国内口罩和防护装备的生产，以防止新冠病毒的传播。此外，美国国防部长埃斯珀表示，国防部将从美国战略储备中提供多达500万个N95口罩和其他个人防护装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焦点个股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受油价暴跌影响，埃克森美孚、雪佛龙、英国石油、普拉格能源、巴西石油、哈利伯顿、西方石油等石油股重挫。</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纽约商品交易所4月交割的西德州中质原油(WTI)期货价格下跌6.58美元，跌幅超过24%，收于每桶20.37美元，创2002年2月20日以来新低。若经过通胀因素调整，今日油价则录得1999年3月以来最低收盘价。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作为全球原油价格基准的伦敦洲际交易所5月布伦特原油期货价格下跌3.85美元，跌幅超过13%，收于每桶24.88美元，为2003年5月8日以来的最低收盘价。</w:t>
      </w:r>
    </w:p>
    <w:p>
      <w:pPr>
        <w:pStyle w:val="23"/>
        <w:spacing w:line="360" w:lineRule="auto"/>
        <w:jc w:val="both"/>
        <w:rPr>
          <w:rFonts w:hint="eastAsia" w:ascii="宋体" w:hAnsi="宋体" w:eastAsia="宋体" w:cs="宋体"/>
          <w:color w:val="333335"/>
          <w:kern w:val="2"/>
          <w:sz w:val="28"/>
          <w:szCs w:val="28"/>
          <w:shd w:val="clear" w:color="auto" w:fill="FFFFFF"/>
        </w:rPr>
      </w:pPr>
    </w:p>
    <w:p>
      <w:pPr>
        <w:pStyle w:val="23"/>
        <w:spacing w:line="360" w:lineRule="auto"/>
        <w:jc w:val="both"/>
        <w:rPr>
          <w:rFonts w:hint="eastAsia" w:ascii="宋体" w:hAnsi="宋体" w:eastAsia="宋体" w:cs="宋体"/>
          <w:color w:val="333335"/>
          <w:kern w:val="2"/>
          <w:sz w:val="28"/>
          <w:szCs w:val="28"/>
          <w:shd w:val="clear" w:color="auto" w:fill="FFFFFF"/>
        </w:rPr>
      </w:pP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“尽管全球央行已经采取了货币宽松政策，但显然还远远不够市场预期。只有货币和财政宽松进一步加码、以及新冠疫情缓解迹象出现，才有可能助推新一轮股市的好转。”</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3月18日，一则关于全球最大对冲基金桥水(Bridgewater)“爆仓”的消息在网上传开，反映出新冠肺炎疫情影响下，金融市场极度的恐慌心理。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多位投资人士认为该传闻并不可信。一位前国际投行首席经济学家表示，对冲基金很难有“爆仓”一说，其赎回一般需要3-6个月，不像银行理财可以T+1。“桥水18日公布了业绩表现，其中一些主要基金跌20%左右，但是否碰到投资人赎回属于没有公开的信息。”</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在国际金融市场剧烈震荡的背景下，达里奥的桥水基金、巴菲特等知名投资人也不免陷入巨亏。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“全球经济衰退正在发生”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投资人担忧经济衰退风险，来自于新冠病毒、石油价格战的传导。</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3月18日，汇丰银行大中华区首席经济学家屈宏斌对21世纪经济报道记者表示，全球供应链被打乱，需求萎缩，以及国际油价的震荡，对信贷和金融市场产生一定溢出效应。多种原因叠加造成了股市的大幅波动。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油价大跌源于三方面原因：新冠肺炎疫情迅速传播抑制全球需求;欧佩克国家与俄罗斯在减产方向上未能达成一致;沙特直接反击，宣布将大幅下调官方石油售价并提高产量。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新冠肺炎疫情在全球范围内迅速传播，部分国家采取禁止人群聚集和流动的措施，对经济活动的开展形成压制。全球经济预期不同范围内下调，不确定性高涨，对市场情绪和风险预期形成较大打击。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因此，部分投资者和分析人士对未来经济增长预期较为悲观。</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全球经济衰退正在发生。”3月18日，标普全球首席经济学家龚华德发布报告称，早期数据表明，经济受到疫情冲击的程度远超预期。欧洲和美国正在沿着相似的路径发展，二季度经济活动将大幅放缓，直至今年较晚时候才能有所恢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规模超2500亿美元的资管公司古根海姆的全球首席投资官Scott Minerd日前发表研报表示，全球衰退已是不可避免。欧洲经济“可能正处于相当严重的衰退”，而美国也将很快陷入衰退。不过好消息是，美联储并非像市场预期的那样早已弹尽粮绝，美联储还有许多工具可用，只不过尚未付诸实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对于美国的情况，3月16日，招商银行首席经济学家丁安华对记者表示，美债收益率、中国国债收益率都到了历史新低，说明金融市场已经为衰退预期定价(price in)。预计我国一季度GDP负增长至-3.7%，美国经济二季度降至零附近，2020年全球经济增长可能会再次陷入技术性衰退。</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屈宏斌认为，以欧元区为例，疫情的迅速传播对各国产生了广泛影响，意大利首当其冲，各国政府开始一定的封锁和隔离措施。经此一役，欧元区经济增长短期内将难以避免进入衰退。尽管每个国家受影响的程度和采取的措施不尽相同，汇丰银行的欧洲经济学家判断欧元区GDP在2020年上半年将进入负增速，其中二季度将成为最低点，但随着疫情得以控制、宽松政策作用得以显现，相信下半年经济增速会转正。</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不过，汇丰银行的各国经济学家认为，新冠肺炎疫情对全球经济产生的负面影响毋庸置疑，但整体来说，疫情的影响是暂时的，得到控制后，相信经济会步入正轨。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“尽管全球央行已经采取了货币宽松政策，但显然还远远不够市场预期。只有货币和财政宽松进一步加码、以及新冠疫情缓解迹象出现，才有可能助推新一轮股市的好转。”屈宏斌说。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一天不“吃药”就会暴跌?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“原油继续暴跌，垃圾债违约的概率又上升了。感觉这个市场只要一天不‘吃药’，就会暴跌。”一位香港投研人士吐槽。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金融市场剧震使得各国不仅加大降息力度，甚至重启在金融危机时期才使用的一些手段。</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3月17日，美联储发表声明称，为应对新冠肺炎疫情，将建立商业票据融资机制，以支持美国家庭和企业。美国财政部外汇稳定基金将为该机制提供100亿美元的信用保护。美联储上一次使用该工具是2008年由该国次贷危机引发的金融危机时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朗普政府提出1.2万亿美元的经济刺激方案之后，美国国债收益率在周二应声上行。该刺激方案旨在缓解新冠肺炎疫情对经济的冲击。该方案包括直接发放现金或减税，其中针对家庭的部分规模高达5000亿美元，针对小企业的部分规模为3000亿美元，而至多1000亿美元的部分则将面向航空业和旅游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3月18日，渣打银行(中国)有限公司中国财富管理部首席投资策略师王昕杰认为，美国政府推出刺激方案，以及欧洲各国领导人讨论刺激措施，显示出全球政策制定者抗击疫情影响的努力，核心在于财政政策。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由于货币政策已经运用到极限，政府的任何努力——向家庭发放现金，允许延迟归还商贷、付息和归还房贷，帮助工人和企业在未来数月渡过难关，直至疫情缓解，有望令经济避免严重衰退/失业率飙升，有效控制潜在的衰退程度和失业率升幅。</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屈宏斌对21世纪经济报道记者表示，美联储及其他国家地区央行近期的宽松政策主要基于本国疫情和经济情况的具体演变，但由于经济全球化以及疫情较强的传播性，各国的政策一定程度的联动性会更有效。</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以美国为例，一方面，疫情影响不断加深，政府为控制疫情传播的进一步扩大，采取了一系列减少人群聚集的措施，对经济活动的开展和企业现金流的维持不可避免地产生一定抑制。另一方面，油价跳水对页岩油公司的经济活动造成负面冲击，企业债券利差扩大，也抑制了公司进一步的借贷和投资行为。为尽量减少由此对金融和经济产生的压力，美联储选择了降息，目前基准利率已经下降到0-0.25%水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再如英国方面，汇丰银行的英国经济学家预计3月26日会继续降息15个基点，并辅以新一轮的量化宽松，这主要是考虑到新冠肺炎疫情扩大对经济可能产生的影响。</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8" w:name="_Toc533771866"/>
      <w:r>
        <w:rPr>
          <w:rFonts w:hint="eastAsia" w:ascii="宋体" w:hAnsi="宋体" w:eastAsia="宋体" w:cs="宋体"/>
          <w:color w:val="333335"/>
          <w:kern w:val="2"/>
          <w:sz w:val="28"/>
          <w:szCs w:val="28"/>
          <w:shd w:val="clear" w:color="auto" w:fill="FFFFFF"/>
        </w:rPr>
        <w:t>本周美国WTI原油原油价格在20.37-31.73美元/桶。布伦特原油价格在24.88-33.85美元/桶震荡。周内国际油价格持续下跌。交易员的关注点集中在全球新冠疫情对原油需求造成巨大冲击，以及沙特阿拉伯和俄罗斯为了争夺日益萎缩的市场份额而计划大规模增产。基本面利好因素：美国总统特朗普上周五(3月13日)表示，他已指示美国能源部为战略石油储备购买原油，以支持在欧佩克及其盟友之间发起的价格战中遭受重创的石油行业。特朗普说：“基于石油价格，我还指示能源部长以非常优惠的价格购买大量的原油，储存在美国战略储备中。”美国石油协会(American Petroleum Institute)将公布其每周美国石油库存预估。标普全球普氏能源资讯调查的分析师平均预计，EIA报告将显示上周原油库存增加260万桶。他们还预测，汽油供应将减少380万桶，馏分油供应将减少320万桶。基本面利空因素：原油价格今年将出现历史性下跌，WTI和布伦特原油分别下跌63%和62%。似乎任何支撑油价的最后迹象似乎都已消失，高盛和其他一些机构的分析师警告称，油价已全面跌向20美元/桶。总部位于纽约的能源情报(Energy Intelligence)的研究主管称：“主要的推动因素是，在一两周内，全球市场供过于求的情况可能会超过每日1,000万桶。"他并称这是"疯狂且史无前例的。”IHS Markit的能源市场分析师斯特维斯(Marshall Steeves)表示，在供应方面，IHS Markit预计，2020年2月至5月期间，全球月度石油供应过剩可能介于每天400万桶至每天1000万桶之间。俄罗斯和沙特阿拉伯没有显示出放弃价格战的迹象。此前，俄罗斯拒绝了OPEC提出的主要产油国进一步减产的要求。</w:t>
      </w:r>
    </w:p>
    <w:p>
      <w:pPr>
        <w:pStyle w:val="23"/>
        <w:spacing w:line="360" w:lineRule="auto"/>
        <w:ind w:firstLine="560" w:firstLineChars="200"/>
        <w:jc w:val="both"/>
        <w:rPr>
          <w:rFonts w:hint="eastAsia" w:ascii="宋体" w:hAnsi="宋体"/>
          <w:b/>
          <w:sz w:val="30"/>
          <w:szCs w:val="30"/>
          <w:highlight w:val="none"/>
        </w:rPr>
      </w:pPr>
      <w:r>
        <w:rPr>
          <w:rFonts w:hint="eastAsia" w:ascii="宋体" w:hAnsi="宋体" w:eastAsia="宋体" w:cs="宋体"/>
          <w:color w:val="333335"/>
          <w:kern w:val="2"/>
          <w:sz w:val="28"/>
          <w:szCs w:val="28"/>
          <w:shd w:val="clear" w:color="auto" w:fill="FFFFFF"/>
        </w:rPr>
        <w:t>预测下周WTI油价将触及19-32美元/桶，布油在之后几个月触及23-34美元/桶。</w:t>
      </w: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bookmarkStart w:id="22" w:name="_GoBack" w:colFirst="0" w:colLast="3"/>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93.77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248.25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101.14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98.99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119.92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337.25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375.00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119.75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330.75 </w:t>
            </w:r>
          </w:p>
        </w:tc>
      </w:tr>
      <w:bookmarkEnd w:id="22"/>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1"/>
          <w:szCs w:val="21"/>
          <w:highlight w:val="none"/>
        </w:rPr>
      </w:pPr>
      <w:r>
        <w:rPr>
          <w:rFonts w:hint="eastAsia" w:ascii="宋体" w:hAnsi="宋体"/>
          <w:sz w:val="28"/>
          <w:szCs w:val="28"/>
          <w:highlight w:val="none"/>
        </w:rPr>
        <w:t>（1）国内主营炼厂装置检修情况</w:t>
      </w: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炼厂名称</w:t>
            </w:r>
          </w:p>
        </w:tc>
        <w:tc>
          <w:tcPr>
            <w:tcW w:w="1466" w:type="dxa"/>
            <w:tcBorders>
              <w:top w:val="single" w:color="auto" w:sz="4" w:space="0"/>
              <w:left w:val="nil"/>
              <w:bottom w:val="single" w:color="auto" w:sz="4" w:space="0"/>
              <w:right w:val="single" w:color="auto" w:sz="4" w:space="0"/>
            </w:tcBorders>
            <w:shd w:val="clear" w:color="auto" w:fill="00CCFF"/>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检修装置</w:t>
            </w:r>
          </w:p>
        </w:tc>
        <w:tc>
          <w:tcPr>
            <w:tcW w:w="1774" w:type="dxa"/>
            <w:tcBorders>
              <w:top w:val="single" w:color="auto" w:sz="4" w:space="0"/>
              <w:left w:val="nil"/>
              <w:bottom w:val="single" w:color="auto" w:sz="4" w:space="0"/>
              <w:right w:val="single" w:color="auto" w:sz="4" w:space="0"/>
            </w:tcBorders>
            <w:shd w:val="clear" w:color="auto" w:fill="00CCFF"/>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装置能力</w:t>
            </w:r>
          </w:p>
        </w:tc>
        <w:tc>
          <w:tcPr>
            <w:tcW w:w="2351" w:type="dxa"/>
            <w:tcBorders>
              <w:top w:val="single" w:color="auto" w:sz="4" w:space="0"/>
              <w:left w:val="nil"/>
              <w:bottom w:val="single" w:color="auto" w:sz="4" w:space="0"/>
              <w:right w:val="single" w:color="auto" w:sz="4" w:space="0"/>
            </w:tcBorders>
            <w:shd w:val="clear" w:color="auto" w:fill="00CCFF"/>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开始时间</w:t>
            </w:r>
          </w:p>
        </w:tc>
        <w:tc>
          <w:tcPr>
            <w:tcW w:w="2036" w:type="dxa"/>
            <w:tcBorders>
              <w:top w:val="single" w:color="auto" w:sz="4" w:space="0"/>
              <w:left w:val="nil"/>
              <w:bottom w:val="single" w:color="auto" w:sz="4" w:space="0"/>
              <w:right w:val="single" w:color="auto" w:sz="4" w:space="0"/>
            </w:tcBorders>
            <w:shd w:val="clear" w:color="auto" w:fill="00CCFF"/>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茂名石化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4#</w:t>
            </w:r>
            <w:r>
              <w:rPr>
                <w:rFonts w:hint="eastAsia" w:ascii="宋体" w:hAnsi="宋体" w:cs="宋体"/>
                <w:kern w:val="0"/>
                <w:szCs w:val="21"/>
                <w:lang w:val="en-US" w:eastAsia="zh-CN"/>
              </w:rPr>
              <w:t>常减压</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300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2020/2/15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2020/4/15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石家庄炼化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渣油加氢</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lang w:eastAsia="zh-CN"/>
              </w:rPr>
            </w:pPr>
            <w:r>
              <w:rPr>
                <w:rFonts w:hint="default" w:ascii="宋体" w:hAnsi="宋体" w:cs="宋体"/>
                <w:kern w:val="0"/>
                <w:szCs w:val="21"/>
                <w:lang w:val="en-US" w:eastAsia="zh-CN"/>
              </w:rPr>
              <w:t>2020/4/8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石家庄炼化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w:t>
            </w:r>
            <w:r>
              <w:rPr>
                <w:rFonts w:hint="eastAsia" w:ascii="宋体" w:hAnsi="宋体" w:cs="宋体"/>
                <w:kern w:val="0"/>
                <w:szCs w:val="21"/>
                <w:lang w:val="en-US" w:eastAsia="zh-CN"/>
              </w:rPr>
              <w:t>加氢装置</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100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lang w:eastAsia="zh-CN"/>
              </w:rPr>
            </w:pPr>
            <w:r>
              <w:rPr>
                <w:rFonts w:hint="default" w:ascii="宋体" w:hAnsi="宋体" w:cs="宋体"/>
                <w:kern w:val="0"/>
                <w:szCs w:val="21"/>
                <w:lang w:val="en-US" w:eastAsia="zh-CN"/>
              </w:rPr>
              <w:t>2020/8/1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lang w:eastAsia="zh-CN"/>
              </w:rPr>
            </w:pPr>
            <w:r>
              <w:rPr>
                <w:rFonts w:hint="default" w:ascii="宋体" w:hAnsi="宋体" w:cs="宋体"/>
                <w:kern w:val="0"/>
                <w:szCs w:val="21"/>
                <w:lang w:val="en-US" w:eastAsia="zh-CN"/>
              </w:rPr>
              <w:t>2020/8/30</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塔河石化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1#</w:t>
            </w:r>
            <w:r>
              <w:rPr>
                <w:rFonts w:hint="eastAsia" w:ascii="宋体" w:hAnsi="宋体" w:cs="宋体"/>
                <w:kern w:val="0"/>
                <w:szCs w:val="21"/>
                <w:lang w:val="en-US" w:eastAsia="zh-CN"/>
              </w:rPr>
              <w:t>常减压</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2020/3/15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2020/4/25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上海石化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w:t>
            </w:r>
            <w:r>
              <w:rPr>
                <w:rFonts w:hint="eastAsia" w:ascii="宋体" w:hAnsi="宋体" w:cs="宋体"/>
                <w:kern w:val="0"/>
                <w:szCs w:val="21"/>
                <w:lang w:val="en-US" w:eastAsia="zh-CN"/>
              </w:rPr>
              <w:t>常减压</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350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2020/3/17</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2020/4/5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上海石化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3#</w:t>
            </w:r>
            <w:r>
              <w:rPr>
                <w:rFonts w:hint="eastAsia" w:ascii="宋体" w:hAnsi="宋体" w:cs="宋体"/>
                <w:kern w:val="0"/>
                <w:szCs w:val="21"/>
                <w:lang w:val="en-US" w:eastAsia="zh-CN"/>
              </w:rPr>
              <w:t>柴油加氢</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330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2020/3/17</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高桥石化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3#</w:t>
            </w:r>
            <w:r>
              <w:rPr>
                <w:rFonts w:hint="eastAsia" w:ascii="宋体" w:hAnsi="宋体" w:cs="宋体"/>
                <w:kern w:val="0"/>
                <w:szCs w:val="21"/>
                <w:lang w:val="en-US" w:eastAsia="zh-CN"/>
              </w:rPr>
              <w:t>催化裂化</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2020/3/31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default" w:ascii="宋体" w:hAnsi="宋体" w:cs="宋体"/>
                <w:kern w:val="0"/>
                <w:szCs w:val="21"/>
                <w:lang w:val="en-US" w:eastAsia="zh-CN"/>
              </w:rPr>
              <w:t>2020/5/14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镇海石化</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lang w:eastAsia="zh-CN"/>
              </w:rPr>
            </w:pPr>
            <w:r>
              <w:rPr>
                <w:rFonts w:hint="default" w:ascii="宋体" w:hAnsi="宋体" w:cs="宋体"/>
                <w:kern w:val="0"/>
                <w:szCs w:val="21"/>
                <w:lang w:val="en-US" w:eastAsia="zh-CN"/>
              </w:rPr>
              <w:t>1#</w:t>
            </w:r>
            <w:r>
              <w:rPr>
                <w:rFonts w:hint="eastAsia" w:ascii="宋体" w:hAnsi="宋体" w:cs="宋体"/>
                <w:kern w:val="0"/>
                <w:szCs w:val="21"/>
                <w:lang w:val="en-US" w:eastAsia="zh-CN"/>
              </w:rPr>
              <w:t>常减压</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2020/3/16</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2020/4/30</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W w:w="9405" w:type="dxa"/>
        <w:tblInd w:w="0" w:type="dxa"/>
        <w:shd w:val="clear"/>
        <w:tblLayout w:type="autofit"/>
        <w:tblCellMar>
          <w:top w:w="0" w:type="dxa"/>
          <w:left w:w="0" w:type="dxa"/>
          <w:bottom w:w="0" w:type="dxa"/>
          <w:right w:w="0" w:type="dxa"/>
        </w:tblCellMar>
      </w:tblPr>
      <w:tblGrid>
        <w:gridCol w:w="1515"/>
        <w:gridCol w:w="1455"/>
        <w:gridCol w:w="1890"/>
        <w:gridCol w:w="2385"/>
        <w:gridCol w:w="2160"/>
      </w:tblGrid>
      <w:tr>
        <w:tblPrEx>
          <w:shd w:val="clear"/>
          <w:tblCellMar>
            <w:top w:w="0" w:type="dxa"/>
            <w:left w:w="0" w:type="dxa"/>
            <w:bottom w:w="0" w:type="dxa"/>
            <w:right w:w="0" w:type="dxa"/>
          </w:tblCellMar>
        </w:tblPrEx>
        <w:trPr>
          <w:trHeight w:val="240"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highlight w:val="none"/>
                <w:lang w:val="en-US" w:eastAsia="zh-CN"/>
              </w:rPr>
            </w:pPr>
            <w:r>
              <w:rPr>
                <w:rFonts w:hint="eastAsia" w:ascii="宋体" w:hAnsi="宋体" w:eastAsia="宋体" w:cs="宋体"/>
                <w:i w:val="0"/>
                <w:color w:val="333333"/>
                <w:kern w:val="0"/>
                <w:sz w:val="20"/>
                <w:szCs w:val="20"/>
                <w:u w:val="none"/>
                <w:lang w:val="en-US" w:eastAsia="zh-CN" w:bidi="ar"/>
              </w:rPr>
              <w:t>炼厂名称</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highlight w:val="none"/>
                <w:lang w:val="en-US" w:eastAsia="zh-CN"/>
              </w:rPr>
            </w:pPr>
            <w:r>
              <w:rPr>
                <w:rFonts w:hint="eastAsia" w:ascii="宋体" w:hAnsi="宋体" w:eastAsia="宋体" w:cs="宋体"/>
                <w:i w:val="0"/>
                <w:color w:val="333333"/>
                <w:kern w:val="0"/>
                <w:sz w:val="20"/>
                <w:szCs w:val="20"/>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highlight w:val="none"/>
                <w:lang w:val="en-US" w:eastAsia="zh-CN"/>
              </w:rPr>
            </w:pPr>
            <w:r>
              <w:rPr>
                <w:rFonts w:hint="eastAsia" w:ascii="宋体" w:hAnsi="宋体" w:eastAsia="宋体" w:cs="宋体"/>
                <w:i w:val="0"/>
                <w:color w:val="333333"/>
                <w:kern w:val="0"/>
                <w:sz w:val="20"/>
                <w:szCs w:val="20"/>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highlight w:val="none"/>
                <w:lang w:val="en-US" w:eastAsia="zh-CN"/>
              </w:rPr>
            </w:pPr>
            <w:r>
              <w:rPr>
                <w:rFonts w:hint="eastAsia" w:ascii="宋体" w:hAnsi="宋体" w:eastAsia="宋体" w:cs="宋体"/>
                <w:i w:val="0"/>
                <w:color w:val="333333"/>
                <w:kern w:val="0"/>
                <w:sz w:val="20"/>
                <w:szCs w:val="20"/>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highlight w:val="none"/>
                <w:lang w:val="en-US" w:eastAsia="zh-CN"/>
              </w:rPr>
            </w:pPr>
            <w:r>
              <w:rPr>
                <w:rFonts w:hint="eastAsia" w:ascii="宋体" w:hAnsi="宋体" w:eastAsia="宋体" w:cs="宋体"/>
                <w:i w:val="0"/>
                <w:color w:val="333333"/>
                <w:kern w:val="0"/>
                <w:sz w:val="20"/>
                <w:szCs w:val="20"/>
                <w:u w:val="none"/>
                <w:lang w:val="en-US" w:eastAsia="zh-CN" w:bidi="ar"/>
              </w:rPr>
              <w:t>开工时间</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日照岚桥</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2019</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9</w:t>
            </w:r>
            <w:r>
              <w:rPr>
                <w:rFonts w:hint="eastAsia" w:ascii="宋体" w:hAnsi="宋体" w:eastAsia="宋体" w:cs="宋体"/>
                <w:i w:val="0"/>
                <w:color w:val="333333"/>
                <w:kern w:val="0"/>
                <w:sz w:val="20"/>
                <w:szCs w:val="20"/>
                <w:u w:val="none"/>
                <w:lang w:val="en-US" w:eastAsia="zh-CN" w:bidi="ar"/>
              </w:rPr>
              <w:t>月初</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万通石化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430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2019年9月12日</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垦利石化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2019年10月5日</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2019</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10</w:t>
            </w:r>
            <w:r>
              <w:rPr>
                <w:rFonts w:hint="eastAsia" w:ascii="宋体" w:hAnsi="宋体" w:eastAsia="宋体" w:cs="宋体"/>
                <w:i w:val="0"/>
                <w:color w:val="333333"/>
                <w:kern w:val="0"/>
                <w:sz w:val="20"/>
                <w:szCs w:val="20"/>
                <w:u w:val="none"/>
                <w:lang w:val="en-US" w:eastAsia="zh-CN" w:bidi="ar"/>
              </w:rPr>
              <w:t>月下旬</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汇丰石化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奥星石化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2019年12月25日</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2020年1月1日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恒源石化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垦利石化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金诚石化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部分装置</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月初</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神驰化工</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万达天弘</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月初</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寿光联盟</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华星石化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1600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月中</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昌邑石化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1280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月中</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正和石化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月中</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滨阳燃化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910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玉皇化工</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670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3</w:t>
            </w:r>
            <w:r>
              <w:rPr>
                <w:rFonts w:hint="eastAsia" w:ascii="宋体" w:hAnsi="宋体" w:eastAsia="宋体" w:cs="宋体"/>
                <w:i w:val="0"/>
                <w:color w:val="333333"/>
                <w:kern w:val="0"/>
                <w:sz w:val="20"/>
                <w:szCs w:val="20"/>
                <w:u w:val="none"/>
                <w:lang w:val="en-US" w:eastAsia="zh-CN" w:bidi="ar"/>
              </w:rPr>
              <w:t>月初</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尚能石化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460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富宇化工</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340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胜星化工</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科力达石化</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2</w:t>
            </w:r>
            <w:r>
              <w:rPr>
                <w:rFonts w:hint="eastAsia" w:ascii="宋体" w:hAnsi="宋体" w:eastAsia="宋体" w:cs="宋体"/>
                <w:i w:val="0"/>
                <w:color w:val="333333"/>
                <w:kern w:val="0"/>
                <w:sz w:val="20"/>
                <w:szCs w:val="20"/>
                <w:u w:val="none"/>
                <w:lang w:val="en-US" w:eastAsia="zh-CN" w:bidi="ar"/>
              </w:rPr>
              <w:t>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中海沥青</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w:t>
            </w:r>
            <w:r>
              <w:rPr>
                <w:rFonts w:hint="eastAsia" w:ascii="宋体" w:hAnsi="宋体" w:eastAsia="宋体" w:cs="宋体"/>
                <w:i w:val="0"/>
                <w:color w:val="333333"/>
                <w:kern w:val="0"/>
                <w:sz w:val="20"/>
                <w:szCs w:val="20"/>
                <w:u w:val="none"/>
                <w:lang w:val="en-US" w:eastAsia="zh-CN" w:bidi="ar"/>
              </w:rPr>
              <w:t>年</w:t>
            </w:r>
            <w:r>
              <w:rPr>
                <w:rFonts w:hint="default" w:ascii="Segoe UI" w:hAnsi="Segoe UI" w:eastAsia="Segoe UI" w:cs="Segoe UI"/>
                <w:i w:val="0"/>
                <w:color w:val="333333"/>
                <w:kern w:val="0"/>
                <w:sz w:val="20"/>
                <w:szCs w:val="20"/>
                <w:u w:val="none"/>
                <w:lang w:val="en-US" w:eastAsia="zh-CN" w:bidi="ar"/>
              </w:rPr>
              <w:t>3</w:t>
            </w:r>
            <w:r>
              <w:rPr>
                <w:rFonts w:hint="eastAsia" w:ascii="宋体" w:hAnsi="宋体" w:eastAsia="宋体" w:cs="宋体"/>
                <w:i w:val="0"/>
                <w:color w:val="333333"/>
                <w:kern w:val="0"/>
                <w:sz w:val="20"/>
                <w:szCs w:val="20"/>
                <w:u w:val="none"/>
                <w:lang w:val="en-US" w:eastAsia="zh-CN" w:bidi="ar"/>
              </w:rPr>
              <w:t>月初</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无棣鑫岳</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中海精细</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全厂</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default" w:ascii="Segoe UI" w:hAnsi="Segoe UI" w:eastAsia="Segoe UI" w:cs="Segoe UI"/>
                <w:i w:val="0"/>
                <w:color w:val="333333"/>
                <w:kern w:val="0"/>
                <w:sz w:val="20"/>
                <w:szCs w:val="20"/>
                <w:u w:val="none"/>
                <w:lang w:val="en-US" w:eastAsia="zh-CN" w:bidi="ar"/>
              </w:rPr>
              <w:t>2020年2月</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333333"/>
                <w:kern w:val="0"/>
                <w:sz w:val="20"/>
                <w:szCs w:val="20"/>
                <w:u w:val="none"/>
                <w:lang w:val="en-US" w:eastAsia="zh-CN" w:bidi="ar"/>
              </w:rPr>
              <w:t>待定</w:t>
            </w:r>
          </w:p>
        </w:tc>
      </w:tr>
    </w:tbl>
    <w:p>
      <w:pPr>
        <w:numPr>
          <w:numId w:val="0"/>
        </w:numPr>
        <w:rPr>
          <w:rFonts w:hint="eastAsia" w:ascii="宋体" w:hAnsi="宋体"/>
          <w:sz w:val="28"/>
          <w:szCs w:val="28"/>
          <w:highlight w:val="none"/>
        </w:rPr>
      </w:pPr>
    </w:p>
    <w:p>
      <w:pPr>
        <w:numPr>
          <w:ilvl w:val="0"/>
          <w:numId w:val="0"/>
        </w:numPr>
        <w:rPr>
          <w:rFonts w:hint="eastAsia" w:ascii="宋体" w:hAnsi="宋体"/>
          <w:sz w:val="21"/>
          <w:szCs w:val="21"/>
          <w:highlight w:val="none"/>
        </w:rPr>
      </w:pPr>
    </w:p>
    <w:p>
      <w:pPr>
        <w:pStyle w:val="3"/>
        <w:spacing w:before="120" w:after="120" w:line="240" w:lineRule="auto"/>
        <w:rPr>
          <w:rFonts w:hint="eastAsia" w:ascii="宋体" w:hAnsi="宋体"/>
          <w:b/>
          <w:sz w:val="30"/>
          <w:szCs w:val="30"/>
          <w:highlight w:val="none"/>
        </w:rPr>
      </w:pPr>
      <w:bookmarkStart w:id="11" w:name="_Toc533771869"/>
    </w:p>
    <w:p>
      <w:pPr>
        <w:rPr>
          <w:rFonts w:hint="eastAsia"/>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12" w:name="_Toc533771870"/>
      <w:r>
        <w:rPr>
          <w:rFonts w:hint="eastAsia" w:ascii="宋体" w:hAnsi="宋体" w:eastAsia="宋体" w:cs="宋体"/>
          <w:color w:val="333335"/>
          <w:kern w:val="2"/>
          <w:sz w:val="28"/>
          <w:szCs w:val="28"/>
          <w:shd w:val="clear" w:color="auto" w:fill="FFFFFF"/>
        </w:rPr>
        <w:t>本周，国际原油期货重挫下行，第二个工作日参考原油变化率为-30.41%。受此影响，国内成品油市场购销氛围持淡，各地主营单位汽柴油价格下调。与此同时，山东地炼成品油行情跌跌不休，区内炼厂报价频频走低且成交保持100-200元/吨优惠。具体来看出货方面：外盘油价屡创新低严重打压业者心态，区内油市业者看空情绪浓重，另外因此前几轮下游买家不理智的抄底囤货操作，导致社会单位库存高企有待进一步消化，从而使得中下游商家入市采购步伐迟缓，市场交投气氛平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进入下周，国际原油期价保持低位运行，20美元/桶为重要关口，油价或在此价位上反复测试。以WTI为例，主流运行区间在18-28(均值23)美元/桶之间，环比下跌4.85美元/桶或17.41%。在消息面持续利空打压下，山东地区成品油行情弱势难以得到有效改善，买卖双方操作谨慎，市场观望气氛浓厚。综上所述，预计山东地炼汽柴油价格低位震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13日-3月19日)华中地区利空消息笼罩市场，区内油价宽幅下探。具体分析如下，本周，国际原油接连暴跌，零售价于周二兑现巨幅下调，利空消息占据主导。地炼原料成本明显回落，加上库存高企出货积极，汽柴油报价连连下探。诸多因素导致区内油价续跌不止，且实盘成交均存较大优惠空间。下游前期多有备货，市场心态普遍悲观，入市操作十分有限。后市而言，国际原油或延续弱势运行，不过因新一轮原油均价已低于国家地板价，故本轮零售价将面临搁浅，消息面依然难寻支撑。后期市场需求面指引力度增加，且下游需求正逐步回归正轨，故区内油价有望逐渐止跌。但预计短期内区内汽柴油报价或延续弱势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13日-3月19日)，华东地区成品油行情接连重挫，交投气氛冷冷清清。具体来看，周内国际原油期价崩跌不止，导致零售价大幅下调，每吨跌幅高达千元，对消息面形成重大利空倾向。与此同时，区内因疫情影响工矿、基建等行业没有全面启动。民众出行仍以谨慎为主，成品油刚性需求呈现弱势。且前期业内备货充足，社会库存消化缓慢。综上所述，在各种利空影响之下区内主营成品油价格下滑严重，区内采购者更是冷清依旧，谨慎采买。后期来看，随着国际原油期价或继续下跌，消息面难改利空。故预计下周华东地区成品油行情依旧保持弱势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13日-3月19日)，华南地区成品油行情大幅下行，市场购销气氛清淡。具体来看，国际原油期货暴跌，零售价下调如期兑现，且下调幅度创下新高，消息方面施压油市。受此影响，山东地炼汽柴油价格接连下跌，主营单位外采成本不断降低，区内主营汽柴油价格顺势连续下调。市场悲观情绪浓郁，业者大多场外消库观望，零星入市刚需小单购进，市场交投气氛清淡。后市来看，国际原油期货仍不乏下探可能，但受“地板价”机制启动影响，本轮零售价面临停调，因此消息方面影响相对减弱。与此同时，下游需求疲软，业者消库之余按需购进，市场购销改善不易。预计下周华南地区汽柴油行情或稳中下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13日-3月19日)，华北地区主营汽柴油行情延续跌势，整体购销气氛清淡。分析来看，周内国际原油收盘延续大幅下跌态势，零售价于周二兑现最大跌幅，消息面强势利空施压。山东地炼汽柴油行情跌跌不休，主营外采成本进一步下挫。与此同时，汽柴油终端需求恢复较为缓慢，社会库存呈现高位状态，下游消化前期库存为主。市场利空因素交织，区内主营成品油承压不断走低，实盘成交重心维持低位，业者对后市持谨慎观望态度，整体购销持淡。后市来看，国际原油短期延续弱势，消息面仍利空为主，预计区内汽柴油行情短期弱势难改，部分主营单位仍有一定下探空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13日-3月19日)，西南地区汽柴行情宽幅回落，市场成交气氛提升有限。分析来看：周内国际油价继续深跌，本周二成品油零售价兑现自09年以来最大跌幅，受此影响，区内主营及社会单位价格大幅下滑。进入新一轮计价周期，由于原油均价低于40美元/桶，因此国内调价将停调，消息面利空有所缓解。不过，工矿基建等行业复工初期，下游需求提升缓慢，社会库存消耗有限。业者操作心态谨慎，入市补货小单为主，主营单位出货未见明显改善，实际成交继续加大优惠力度。就后市而言，国际油价保持低位运行，消息面对市场难有指引。此外，主营单位销售压力加重，随着低价资源陆续到货，成交价格或仍有一定下行空间。业者逢低适量补货，市场成交或小幅提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13日-3月19日)，西北地炼汽柴行情有所下滑，市场成交气氛平平。分析来看：周内国际油价继续大幅下滑，本周二成品油零售价兑现巨大跌幅，消息面利空对市场打压明显。销售公司汽柴价格随之下调，其中，汽油跌450元/吨，柴油跌100元/吨。进入新一轮计价周期，国际原油均价触及“地板价”，因此本轮零售价将停调，消息面对市场影响作用减弱，供需关系转为主导。需求面逐步恢复，但整体来看仍显平淡。业者补货心态仍显谨慎，消库之余小单补货为主，市场成交一般。就后市而言，国际原油低位运行，消息面对市场难有支撑。业者操作心态谨慎，入市补货有限，市场成交难有明显提升。延安炼厂装置下月初将检修，汽柴供应量将有所减少，因此预计价格方面较有支撑。预计下周汽柴行情或维持平稳走势。</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7947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8442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7947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8442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2020/3/19</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bl>
    <w:p>
      <w:pPr>
        <w:pStyle w:val="3"/>
        <w:spacing w:before="120" w:after="120" w:line="240" w:lineRule="auto"/>
        <w:rPr>
          <w:rFonts w:hint="eastAsia" w:ascii="宋体" w:hAnsi="宋体"/>
          <w:b/>
          <w:sz w:val="30"/>
          <w:szCs w:val="30"/>
          <w:lang w:val="en-US" w:eastAsia="zh-CN"/>
        </w:rPr>
      </w:pPr>
      <w:bookmarkStart w:id="14" w:name="_Toc533771872"/>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5313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5774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5474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5938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2020/3/19</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lang w:val="en-US" w:eastAsia="zh-CN"/>
        </w:rPr>
      </w:pPr>
      <w:bookmarkStart w:id="16" w:name="_Toc533771874"/>
      <w:r>
        <w:rPr>
          <w:rFonts w:hint="eastAsia" w:ascii="宋体" w:hAnsi="宋体"/>
          <w:b/>
          <w:sz w:val="30"/>
          <w:szCs w:val="30"/>
          <w:lang w:val="en-US" w:eastAsia="zh-CN"/>
        </w:rPr>
        <w:t>四、2019年12月份进出口统计数据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pPr w:leftFromText="180" w:rightFromText="180" w:vertAnchor="text" w:horzAnchor="page" w:tblpX="1305" w:tblpY="376"/>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415"/>
        <w:gridCol w:w="24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shd w:val="clear" w:color="auto" w:fill="00CCFF"/>
            <w:vAlign w:val="center"/>
          </w:tcPr>
          <w:p>
            <w:pPr>
              <w:rPr>
                <w:bCs/>
                <w:szCs w:val="21"/>
              </w:rPr>
            </w:pPr>
            <w:r>
              <w:rPr>
                <w:rFonts w:hint="eastAsia"/>
                <w:bCs/>
                <w:szCs w:val="21"/>
                <w:lang w:val="en-US" w:eastAsia="zh-CN"/>
              </w:rPr>
              <w:t>产销国</w:t>
            </w:r>
          </w:p>
        </w:tc>
        <w:tc>
          <w:tcPr>
            <w:tcW w:w="2415" w:type="dxa"/>
            <w:shd w:val="clear" w:color="auto" w:fill="00CCFF"/>
            <w:vAlign w:val="center"/>
          </w:tcPr>
          <w:p>
            <w:pPr>
              <w:rPr>
                <w:bCs/>
                <w:szCs w:val="21"/>
              </w:rPr>
            </w:pPr>
            <w:r>
              <w:rPr>
                <w:rFonts w:hint="eastAsia"/>
                <w:bCs/>
                <w:szCs w:val="21"/>
                <w:lang w:val="en-US" w:eastAsia="zh-CN"/>
              </w:rPr>
              <w:t>出口数量</w:t>
            </w:r>
          </w:p>
        </w:tc>
        <w:tc>
          <w:tcPr>
            <w:tcW w:w="2415" w:type="dxa"/>
            <w:shd w:val="clear" w:color="auto" w:fill="00CCFF"/>
            <w:vAlign w:val="center"/>
          </w:tcPr>
          <w:p>
            <w:pPr>
              <w:rPr>
                <w:bCs/>
                <w:szCs w:val="21"/>
              </w:rPr>
            </w:pPr>
            <w:r>
              <w:rPr>
                <w:rFonts w:hint="eastAsia"/>
                <w:bCs/>
                <w:szCs w:val="21"/>
                <w:lang w:val="en-US" w:eastAsia="zh-CN"/>
              </w:rPr>
              <w:t>出口美元</w:t>
            </w:r>
          </w:p>
        </w:tc>
        <w:tc>
          <w:tcPr>
            <w:tcW w:w="2640" w:type="dxa"/>
            <w:shd w:val="clear" w:color="auto" w:fill="00CCFF"/>
            <w:vAlign w:val="center"/>
          </w:tcPr>
          <w:p>
            <w:pPr>
              <w:rPr>
                <w:bCs/>
                <w:szCs w:val="21"/>
              </w:rPr>
            </w:pPr>
            <w:r>
              <w:rPr>
                <w:rFonts w:hint="eastAsia"/>
                <w:bCs/>
                <w:szCs w:val="21"/>
                <w:lang w:val="en-US" w:eastAsia="zh-CN"/>
              </w:rPr>
              <w:t>出口均价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澳大利亚</w:t>
            </w:r>
          </w:p>
        </w:tc>
        <w:tc>
          <w:tcPr>
            <w:tcW w:w="2415" w:type="dxa"/>
            <w:vAlign w:val="center"/>
          </w:tcPr>
          <w:p>
            <w:pPr>
              <w:rPr>
                <w:bCs/>
                <w:szCs w:val="21"/>
              </w:rPr>
            </w:pPr>
            <w:r>
              <w:rPr>
                <w:rFonts w:hint="default"/>
                <w:bCs/>
                <w:szCs w:val="21"/>
                <w:lang w:val="en-US" w:eastAsia="zh-CN"/>
              </w:rPr>
              <w:t>35065.127</w:t>
            </w:r>
          </w:p>
        </w:tc>
        <w:tc>
          <w:tcPr>
            <w:tcW w:w="2415" w:type="dxa"/>
            <w:vAlign w:val="center"/>
          </w:tcPr>
          <w:p>
            <w:pPr>
              <w:rPr>
                <w:bCs/>
                <w:szCs w:val="21"/>
              </w:rPr>
            </w:pPr>
            <w:r>
              <w:rPr>
                <w:rFonts w:hint="default"/>
                <w:bCs/>
                <w:szCs w:val="21"/>
                <w:lang w:val="en-US" w:eastAsia="zh-CN"/>
              </w:rPr>
              <w:t>21318750</w:t>
            </w:r>
          </w:p>
        </w:tc>
        <w:tc>
          <w:tcPr>
            <w:tcW w:w="2640" w:type="dxa"/>
            <w:vAlign w:val="center"/>
          </w:tcPr>
          <w:p>
            <w:pPr>
              <w:rPr>
                <w:bCs/>
                <w:szCs w:val="21"/>
              </w:rPr>
            </w:pPr>
            <w:r>
              <w:rPr>
                <w:rFonts w:hint="default"/>
                <w:bCs/>
                <w:szCs w:val="21"/>
                <w:lang w:val="en-US" w:eastAsia="zh-CN"/>
              </w:rPr>
              <w:t>607.98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澳门</w:t>
            </w:r>
          </w:p>
        </w:tc>
        <w:tc>
          <w:tcPr>
            <w:tcW w:w="2415" w:type="dxa"/>
            <w:vAlign w:val="center"/>
          </w:tcPr>
          <w:p>
            <w:pPr>
              <w:rPr>
                <w:bCs/>
                <w:szCs w:val="21"/>
              </w:rPr>
            </w:pPr>
            <w:r>
              <w:rPr>
                <w:rFonts w:hint="default"/>
                <w:bCs/>
                <w:szCs w:val="21"/>
                <w:lang w:val="en-US" w:eastAsia="zh-CN"/>
              </w:rPr>
              <w:t>6553.082</w:t>
            </w:r>
          </w:p>
        </w:tc>
        <w:tc>
          <w:tcPr>
            <w:tcW w:w="2415" w:type="dxa"/>
            <w:vAlign w:val="center"/>
          </w:tcPr>
          <w:p>
            <w:pPr>
              <w:rPr>
                <w:bCs/>
                <w:szCs w:val="21"/>
              </w:rPr>
            </w:pPr>
            <w:r>
              <w:rPr>
                <w:rFonts w:hint="default"/>
                <w:bCs/>
                <w:szCs w:val="21"/>
                <w:lang w:val="en-US" w:eastAsia="zh-CN"/>
              </w:rPr>
              <w:t>4193972</w:t>
            </w:r>
          </w:p>
        </w:tc>
        <w:tc>
          <w:tcPr>
            <w:tcW w:w="2640" w:type="dxa"/>
            <w:vAlign w:val="center"/>
          </w:tcPr>
          <w:p>
            <w:pPr>
              <w:rPr>
                <w:bCs/>
                <w:szCs w:val="21"/>
              </w:rPr>
            </w:pPr>
            <w:r>
              <w:rPr>
                <w:rFonts w:hint="default"/>
                <w:bCs/>
                <w:szCs w:val="21"/>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菲律宾</w:t>
            </w:r>
          </w:p>
        </w:tc>
        <w:tc>
          <w:tcPr>
            <w:tcW w:w="2415" w:type="dxa"/>
            <w:vAlign w:val="center"/>
          </w:tcPr>
          <w:p>
            <w:pPr>
              <w:rPr>
                <w:bCs/>
                <w:szCs w:val="21"/>
              </w:rPr>
            </w:pPr>
            <w:r>
              <w:rPr>
                <w:rFonts w:hint="default"/>
                <w:bCs/>
                <w:szCs w:val="21"/>
                <w:lang w:val="en-US" w:eastAsia="zh-CN"/>
              </w:rPr>
              <w:t>35000</w:t>
            </w:r>
          </w:p>
        </w:tc>
        <w:tc>
          <w:tcPr>
            <w:tcW w:w="2415" w:type="dxa"/>
            <w:vAlign w:val="center"/>
          </w:tcPr>
          <w:p>
            <w:pPr>
              <w:rPr>
                <w:bCs/>
                <w:szCs w:val="21"/>
              </w:rPr>
            </w:pPr>
            <w:r>
              <w:rPr>
                <w:rFonts w:hint="default"/>
                <w:bCs/>
                <w:szCs w:val="21"/>
                <w:lang w:val="en-US" w:eastAsia="zh-CN"/>
              </w:rPr>
              <w:t>23100000</w:t>
            </w:r>
          </w:p>
        </w:tc>
        <w:tc>
          <w:tcPr>
            <w:tcW w:w="2640" w:type="dxa"/>
            <w:vAlign w:val="center"/>
          </w:tcPr>
          <w:p>
            <w:pPr>
              <w:rPr>
                <w:bCs/>
                <w:szCs w:val="21"/>
              </w:rPr>
            </w:pPr>
            <w:r>
              <w:rPr>
                <w:rFonts w:hint="default"/>
                <w:bCs/>
                <w:szCs w:val="21"/>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韩国</w:t>
            </w:r>
          </w:p>
        </w:tc>
        <w:tc>
          <w:tcPr>
            <w:tcW w:w="2415" w:type="dxa"/>
            <w:vAlign w:val="center"/>
          </w:tcPr>
          <w:p>
            <w:pPr>
              <w:rPr>
                <w:bCs/>
                <w:szCs w:val="21"/>
              </w:rPr>
            </w:pPr>
            <w:r>
              <w:rPr>
                <w:rFonts w:hint="default"/>
                <w:bCs/>
                <w:szCs w:val="21"/>
                <w:lang w:val="en-US" w:eastAsia="zh-CN"/>
              </w:rPr>
              <w:t>29932.458</w:t>
            </w:r>
          </w:p>
        </w:tc>
        <w:tc>
          <w:tcPr>
            <w:tcW w:w="2415" w:type="dxa"/>
            <w:vAlign w:val="center"/>
          </w:tcPr>
          <w:p>
            <w:pPr>
              <w:rPr>
                <w:bCs/>
                <w:szCs w:val="21"/>
              </w:rPr>
            </w:pPr>
            <w:r>
              <w:rPr>
                <w:rFonts w:hint="default"/>
                <w:bCs/>
                <w:szCs w:val="21"/>
                <w:lang w:val="en-US" w:eastAsia="zh-CN"/>
              </w:rPr>
              <w:t>16746119</w:t>
            </w:r>
          </w:p>
        </w:tc>
        <w:tc>
          <w:tcPr>
            <w:tcW w:w="2640" w:type="dxa"/>
            <w:vAlign w:val="center"/>
          </w:tcPr>
          <w:p>
            <w:pPr>
              <w:rPr>
                <w:bCs/>
                <w:szCs w:val="21"/>
              </w:rPr>
            </w:pPr>
            <w:r>
              <w:rPr>
                <w:rFonts w:hint="default"/>
                <w:bCs/>
                <w:szCs w:val="21"/>
                <w:lang w:val="en-US" w:eastAsia="zh-CN"/>
              </w:rPr>
              <w:t>559.46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马来西亚</w:t>
            </w:r>
          </w:p>
        </w:tc>
        <w:tc>
          <w:tcPr>
            <w:tcW w:w="2415" w:type="dxa"/>
            <w:vAlign w:val="center"/>
          </w:tcPr>
          <w:p>
            <w:pPr>
              <w:rPr>
                <w:bCs/>
                <w:szCs w:val="21"/>
              </w:rPr>
            </w:pPr>
            <w:r>
              <w:rPr>
                <w:rFonts w:hint="default"/>
                <w:bCs/>
                <w:szCs w:val="21"/>
                <w:lang w:val="en-US" w:eastAsia="zh-CN"/>
              </w:rPr>
              <w:t>267948.487</w:t>
            </w:r>
          </w:p>
        </w:tc>
        <w:tc>
          <w:tcPr>
            <w:tcW w:w="2415" w:type="dxa"/>
            <w:vAlign w:val="center"/>
          </w:tcPr>
          <w:p>
            <w:pPr>
              <w:rPr>
                <w:bCs/>
                <w:szCs w:val="21"/>
              </w:rPr>
            </w:pPr>
            <w:r>
              <w:rPr>
                <w:rFonts w:hint="default"/>
                <w:bCs/>
                <w:szCs w:val="21"/>
                <w:lang w:val="en-US" w:eastAsia="zh-CN"/>
              </w:rPr>
              <w:t>155514099</w:t>
            </w:r>
          </w:p>
        </w:tc>
        <w:tc>
          <w:tcPr>
            <w:tcW w:w="2640" w:type="dxa"/>
            <w:vAlign w:val="center"/>
          </w:tcPr>
          <w:p>
            <w:pPr>
              <w:rPr>
                <w:bCs/>
                <w:szCs w:val="21"/>
              </w:rPr>
            </w:pPr>
            <w:r>
              <w:rPr>
                <w:rFonts w:hint="default"/>
                <w:bCs/>
                <w:szCs w:val="21"/>
                <w:lang w:val="en-US" w:eastAsia="zh-CN"/>
              </w:rPr>
              <w:t>580.39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蒙古</w:t>
            </w:r>
          </w:p>
        </w:tc>
        <w:tc>
          <w:tcPr>
            <w:tcW w:w="2415" w:type="dxa"/>
            <w:vAlign w:val="center"/>
          </w:tcPr>
          <w:p>
            <w:pPr>
              <w:rPr>
                <w:bCs/>
                <w:szCs w:val="21"/>
              </w:rPr>
            </w:pPr>
            <w:r>
              <w:rPr>
                <w:rFonts w:hint="default"/>
                <w:bCs/>
                <w:szCs w:val="21"/>
                <w:lang w:val="en-US" w:eastAsia="zh-CN"/>
              </w:rPr>
              <w:t>9829.859</w:t>
            </w:r>
          </w:p>
        </w:tc>
        <w:tc>
          <w:tcPr>
            <w:tcW w:w="2415" w:type="dxa"/>
            <w:vAlign w:val="center"/>
          </w:tcPr>
          <w:p>
            <w:pPr>
              <w:rPr>
                <w:bCs/>
                <w:szCs w:val="21"/>
              </w:rPr>
            </w:pPr>
            <w:r>
              <w:rPr>
                <w:rFonts w:hint="default"/>
                <w:bCs/>
                <w:szCs w:val="21"/>
                <w:lang w:val="en-US" w:eastAsia="zh-CN"/>
              </w:rPr>
              <w:t>5972593</w:t>
            </w:r>
          </w:p>
        </w:tc>
        <w:tc>
          <w:tcPr>
            <w:tcW w:w="2640" w:type="dxa"/>
            <w:vAlign w:val="center"/>
          </w:tcPr>
          <w:p>
            <w:pPr>
              <w:rPr>
                <w:bCs/>
                <w:szCs w:val="21"/>
              </w:rPr>
            </w:pPr>
            <w:r>
              <w:rPr>
                <w:rFonts w:hint="default"/>
                <w:bCs/>
                <w:szCs w:val="21"/>
                <w:lang w:val="en-US" w:eastAsia="zh-CN"/>
              </w:rPr>
              <w:t>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缅甸</w:t>
            </w:r>
          </w:p>
        </w:tc>
        <w:tc>
          <w:tcPr>
            <w:tcW w:w="2415" w:type="dxa"/>
            <w:vAlign w:val="center"/>
          </w:tcPr>
          <w:p>
            <w:pPr>
              <w:rPr>
                <w:bCs/>
                <w:szCs w:val="21"/>
              </w:rPr>
            </w:pPr>
            <w:r>
              <w:rPr>
                <w:rFonts w:hint="default"/>
                <w:bCs/>
                <w:szCs w:val="21"/>
                <w:lang w:val="en-US" w:eastAsia="zh-CN"/>
              </w:rPr>
              <w:t>8449.862</w:t>
            </w:r>
          </w:p>
        </w:tc>
        <w:tc>
          <w:tcPr>
            <w:tcW w:w="2415" w:type="dxa"/>
            <w:vAlign w:val="center"/>
          </w:tcPr>
          <w:p>
            <w:pPr>
              <w:rPr>
                <w:bCs/>
                <w:szCs w:val="21"/>
              </w:rPr>
            </w:pPr>
            <w:r>
              <w:rPr>
                <w:rFonts w:hint="default"/>
                <w:bCs/>
                <w:szCs w:val="21"/>
                <w:lang w:val="en-US" w:eastAsia="zh-CN"/>
              </w:rPr>
              <w:t>5420356</w:t>
            </w:r>
          </w:p>
        </w:tc>
        <w:tc>
          <w:tcPr>
            <w:tcW w:w="2640" w:type="dxa"/>
            <w:vAlign w:val="center"/>
          </w:tcPr>
          <w:p>
            <w:pPr>
              <w:rPr>
                <w:bCs/>
                <w:szCs w:val="21"/>
              </w:rPr>
            </w:pPr>
            <w:r>
              <w:rPr>
                <w:rFonts w:hint="default"/>
                <w:bCs/>
                <w:szCs w:val="21"/>
                <w:lang w:val="en-US" w:eastAsia="zh-CN"/>
              </w:rPr>
              <w:t>641.47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墨西哥</w:t>
            </w:r>
          </w:p>
        </w:tc>
        <w:tc>
          <w:tcPr>
            <w:tcW w:w="2415" w:type="dxa"/>
            <w:vAlign w:val="center"/>
          </w:tcPr>
          <w:p>
            <w:pPr>
              <w:rPr>
                <w:bCs/>
                <w:szCs w:val="21"/>
              </w:rPr>
            </w:pPr>
            <w:r>
              <w:rPr>
                <w:rFonts w:hint="default"/>
                <w:bCs/>
                <w:szCs w:val="21"/>
                <w:lang w:val="en-US" w:eastAsia="zh-CN"/>
              </w:rPr>
              <w:t>33426.8</w:t>
            </w:r>
          </w:p>
        </w:tc>
        <w:tc>
          <w:tcPr>
            <w:tcW w:w="2415" w:type="dxa"/>
            <w:vAlign w:val="center"/>
          </w:tcPr>
          <w:p>
            <w:pPr>
              <w:rPr>
                <w:bCs/>
                <w:szCs w:val="21"/>
              </w:rPr>
            </w:pPr>
            <w:r>
              <w:rPr>
                <w:rFonts w:hint="default"/>
                <w:bCs/>
                <w:szCs w:val="21"/>
                <w:lang w:val="en-US" w:eastAsia="zh-CN"/>
              </w:rPr>
              <w:t>20632211</w:t>
            </w:r>
          </w:p>
        </w:tc>
        <w:tc>
          <w:tcPr>
            <w:tcW w:w="2640" w:type="dxa"/>
            <w:vAlign w:val="center"/>
          </w:tcPr>
          <w:p>
            <w:pPr>
              <w:rPr>
                <w:bCs/>
                <w:szCs w:val="21"/>
              </w:rPr>
            </w:pPr>
            <w:r>
              <w:rPr>
                <w:rFonts w:hint="default"/>
                <w:bCs/>
                <w:szCs w:val="21"/>
                <w:lang w:val="en-US" w:eastAsia="zh-CN"/>
              </w:rPr>
              <w:t>617.24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日本</w:t>
            </w:r>
          </w:p>
        </w:tc>
        <w:tc>
          <w:tcPr>
            <w:tcW w:w="2415" w:type="dxa"/>
            <w:vAlign w:val="center"/>
          </w:tcPr>
          <w:p>
            <w:pPr>
              <w:rPr>
                <w:bCs/>
                <w:szCs w:val="21"/>
              </w:rPr>
            </w:pPr>
            <w:r>
              <w:rPr>
                <w:rFonts w:hint="default"/>
                <w:bCs/>
                <w:szCs w:val="21"/>
                <w:lang w:val="en-US" w:eastAsia="zh-CN"/>
              </w:rPr>
              <w:t>35000</w:t>
            </w:r>
          </w:p>
        </w:tc>
        <w:tc>
          <w:tcPr>
            <w:tcW w:w="2415" w:type="dxa"/>
            <w:vAlign w:val="center"/>
          </w:tcPr>
          <w:p>
            <w:pPr>
              <w:rPr>
                <w:bCs/>
                <w:szCs w:val="21"/>
              </w:rPr>
            </w:pPr>
            <w:r>
              <w:rPr>
                <w:rFonts w:hint="default"/>
                <w:bCs/>
                <w:szCs w:val="21"/>
                <w:lang w:val="en-US" w:eastAsia="zh-CN"/>
              </w:rPr>
              <w:t>23100000</w:t>
            </w:r>
          </w:p>
        </w:tc>
        <w:tc>
          <w:tcPr>
            <w:tcW w:w="2640" w:type="dxa"/>
            <w:vAlign w:val="center"/>
          </w:tcPr>
          <w:p>
            <w:pPr>
              <w:rPr>
                <w:bCs/>
                <w:szCs w:val="21"/>
              </w:rPr>
            </w:pPr>
            <w:r>
              <w:rPr>
                <w:rFonts w:hint="default"/>
                <w:bCs/>
                <w:szCs w:val="21"/>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斯里兰卡</w:t>
            </w:r>
          </w:p>
        </w:tc>
        <w:tc>
          <w:tcPr>
            <w:tcW w:w="2415" w:type="dxa"/>
            <w:vAlign w:val="center"/>
          </w:tcPr>
          <w:p>
            <w:pPr>
              <w:rPr>
                <w:bCs/>
                <w:szCs w:val="21"/>
              </w:rPr>
            </w:pPr>
            <w:r>
              <w:rPr>
                <w:rFonts w:hint="default"/>
                <w:bCs/>
                <w:szCs w:val="21"/>
                <w:lang w:val="en-US" w:eastAsia="zh-CN"/>
              </w:rPr>
              <w:t>68350.1</w:t>
            </w:r>
          </w:p>
        </w:tc>
        <w:tc>
          <w:tcPr>
            <w:tcW w:w="2415" w:type="dxa"/>
            <w:vAlign w:val="center"/>
          </w:tcPr>
          <w:p>
            <w:pPr>
              <w:rPr>
                <w:bCs/>
                <w:szCs w:val="21"/>
              </w:rPr>
            </w:pPr>
            <w:r>
              <w:rPr>
                <w:rFonts w:hint="default"/>
                <w:bCs/>
                <w:szCs w:val="21"/>
                <w:lang w:val="en-US" w:eastAsia="zh-CN"/>
              </w:rPr>
              <w:t>36179040</w:t>
            </w:r>
          </w:p>
        </w:tc>
        <w:tc>
          <w:tcPr>
            <w:tcW w:w="2640" w:type="dxa"/>
            <w:vAlign w:val="center"/>
          </w:tcPr>
          <w:p>
            <w:pPr>
              <w:rPr>
                <w:bCs/>
                <w:szCs w:val="21"/>
              </w:rPr>
            </w:pPr>
            <w:r>
              <w:rPr>
                <w:rFonts w:hint="default"/>
                <w:bCs/>
                <w:szCs w:val="21"/>
                <w:lang w:val="en-US" w:eastAsia="zh-CN"/>
              </w:rPr>
              <w:t>529.32</w:t>
            </w:r>
          </w:p>
        </w:tc>
      </w:tr>
    </w:tbl>
    <w:p>
      <w:pPr>
        <w:pStyle w:val="3"/>
        <w:spacing w:before="120" w:after="120" w:line="240" w:lineRule="auto"/>
        <w:rPr>
          <w:rFonts w:hint="eastAsia" w:ascii="宋体" w:hAnsi="宋体"/>
          <w:b/>
          <w:sz w:val="30"/>
          <w:szCs w:val="30"/>
        </w:rPr>
      </w:pPr>
      <w:bookmarkStart w:id="18" w:name="_Toc533771876"/>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vAlign w:val="center"/>
          </w:tcPr>
          <w:p>
            <w:pPr>
              <w:keepNext w:val="0"/>
              <w:keepLines w:val="0"/>
              <w:widowControl/>
              <w:suppressLineNumbers w:val="0"/>
              <w:jc w:val="both"/>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882"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W w:w="9867" w:type="dxa"/>
        <w:tblInd w:w="0" w:type="dxa"/>
        <w:shd w:val="clear"/>
        <w:tblLayout w:type="fixed"/>
        <w:tblCellMar>
          <w:top w:w="0" w:type="dxa"/>
          <w:left w:w="0" w:type="dxa"/>
          <w:bottom w:w="0" w:type="dxa"/>
          <w:right w:w="0" w:type="dxa"/>
        </w:tblCellMar>
      </w:tblPr>
      <w:tblGrid>
        <w:gridCol w:w="2652"/>
        <w:gridCol w:w="1710"/>
        <w:gridCol w:w="1710"/>
        <w:gridCol w:w="1905"/>
        <w:gridCol w:w="1890"/>
      </w:tblGrid>
      <w:tr>
        <w:tblPrEx>
          <w:shd w:val="clear"/>
          <w:tblCellMar>
            <w:top w:w="0" w:type="dxa"/>
            <w:left w:w="0" w:type="dxa"/>
            <w:bottom w:w="0" w:type="dxa"/>
            <w:right w:w="0" w:type="dxa"/>
          </w:tblCellMar>
        </w:tblPrEx>
        <w:trPr>
          <w:trHeight w:val="510" w:hRule="atLeast"/>
        </w:trPr>
        <w:tc>
          <w:tcPr>
            <w:tcW w:w="2652"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产销国</w:t>
            </w:r>
          </w:p>
        </w:tc>
        <w:tc>
          <w:tcPr>
            <w:tcW w:w="171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进口数量</w:t>
            </w:r>
            <w:r>
              <w:rPr>
                <w:rFonts w:hint="default"/>
                <w:bCs/>
                <w:szCs w:val="21"/>
                <w:lang w:val="en-US" w:eastAsia="zh-CN"/>
              </w:rPr>
              <w:t>/</w:t>
            </w:r>
            <w:r>
              <w:rPr>
                <w:rFonts w:hint="eastAsia"/>
                <w:bCs/>
                <w:szCs w:val="21"/>
                <w:lang w:val="en-US" w:eastAsia="zh-CN"/>
              </w:rPr>
              <w:t>吨</w:t>
            </w:r>
          </w:p>
        </w:tc>
        <w:tc>
          <w:tcPr>
            <w:tcW w:w="171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进口金额</w:t>
            </w:r>
            <w:r>
              <w:rPr>
                <w:rFonts w:hint="default"/>
                <w:bCs/>
                <w:szCs w:val="21"/>
                <w:lang w:val="en-US" w:eastAsia="zh-CN"/>
              </w:rPr>
              <w:t>/</w:t>
            </w:r>
            <w:r>
              <w:rPr>
                <w:rFonts w:hint="eastAsia"/>
                <w:bCs/>
                <w:szCs w:val="21"/>
                <w:lang w:val="en-US" w:eastAsia="zh-CN"/>
              </w:rPr>
              <w:t>美元</w:t>
            </w:r>
          </w:p>
        </w:tc>
        <w:tc>
          <w:tcPr>
            <w:tcW w:w="190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出口数量</w:t>
            </w:r>
            <w:r>
              <w:rPr>
                <w:rFonts w:hint="default"/>
                <w:bCs/>
                <w:szCs w:val="21"/>
                <w:lang w:val="en-US" w:eastAsia="zh-CN"/>
              </w:rPr>
              <w:t>/</w:t>
            </w:r>
            <w:r>
              <w:rPr>
                <w:rFonts w:hint="eastAsia"/>
                <w:bCs/>
                <w:szCs w:val="21"/>
                <w:lang w:val="en-US" w:eastAsia="zh-CN"/>
              </w:rPr>
              <w:t>吨</w:t>
            </w:r>
          </w:p>
        </w:tc>
        <w:tc>
          <w:tcPr>
            <w:tcW w:w="189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出口金额</w:t>
            </w:r>
            <w:r>
              <w:rPr>
                <w:rFonts w:hint="default"/>
                <w:bCs/>
                <w:szCs w:val="21"/>
                <w:lang w:val="en-US" w:eastAsia="zh-CN"/>
              </w:rPr>
              <w:t>/</w:t>
            </w:r>
            <w:r>
              <w:rPr>
                <w:rFonts w:hint="eastAsia"/>
                <w:bCs/>
                <w:szCs w:val="21"/>
                <w:lang w:val="en-US" w:eastAsia="zh-CN"/>
              </w:rPr>
              <w:t>美元</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印度尼西亚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35234.63</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35.23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伊朗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404716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404.72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伊拉克</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4714096.36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4714.1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科威特</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2120465.52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2120.47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马来西亚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953093.39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953.09</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蒙古</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77782.26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77.78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阿曼</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4157725.34</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4157.73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卡塔尔</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70022.1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70.02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沙特阿拉伯</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6991258.87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6991.26</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泰国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75880.46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75.88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阿联酋</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1582454.56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1582.45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也门</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270730.91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270.73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越南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65572.91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65.57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哈萨克斯坦</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295094.2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295.09</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安哥拉</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4744611.42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4744.61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喀麦隆</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127624.9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127.62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乍得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192502.86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192.5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70"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刚果</w:t>
            </w:r>
            <w:r>
              <w:rPr>
                <w:rFonts w:hint="default"/>
                <w:bCs/>
                <w:szCs w:val="21"/>
                <w:lang w:val="en-US" w:eastAsia="zh-CN"/>
              </w:rPr>
              <w:t>(</w:t>
            </w:r>
            <w:r>
              <w:rPr>
                <w:rFonts w:hint="eastAsia"/>
                <w:bCs/>
                <w:szCs w:val="21"/>
                <w:lang w:val="en-US" w:eastAsia="zh-CN"/>
              </w:rPr>
              <w:t>布</w:t>
            </w:r>
            <w:r>
              <w:rPr>
                <w:rFonts w:hint="default"/>
                <w:bCs/>
                <w:szCs w:val="21"/>
                <w:lang w:val="en-US" w:eastAsia="zh-CN"/>
              </w:rPr>
              <w:t>)</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1314270.58</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1314.27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赤道几内亚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185069.92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185.07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加蓬</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344562.9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344.56</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加纳</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258978.65</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258.98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利比亚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1317949.94</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1317.95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尼日利亚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270651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270.65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49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南苏丹共和国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249510.59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249.51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英国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1042440.07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1042.44</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阿尔巴尼亚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0.01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挪威</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298652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298.65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俄罗斯联邦</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7362320.82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7362.32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巴西</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3093433.62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3093.43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哥伦比亚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1674776.27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1674.78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厄瓜多尔</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592849.29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592.85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墨西哥</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65400.25</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65.4</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加拿大</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301133.58</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301.13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澳大利亚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232115.32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232.12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bl>
    <w:p>
      <w:pPr>
        <w:rPr>
          <w:rFonts w:hint="eastAsia"/>
          <w:bCs/>
          <w:szCs w:val="21"/>
        </w:rPr>
      </w:pPr>
    </w:p>
    <w:p>
      <w:pPr>
        <w:rPr>
          <w:rFonts w:hint="eastAsia"/>
          <w:bCs/>
          <w:szCs w:val="21"/>
        </w:rPr>
      </w:pPr>
    </w:p>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产销国</w:t>
            </w:r>
          </w:p>
        </w:tc>
        <w:tc>
          <w:tcPr>
            <w:tcW w:w="154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进口数量</w:t>
            </w:r>
          </w:p>
        </w:tc>
        <w:tc>
          <w:tcPr>
            <w:tcW w:w="168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进口美元</w:t>
            </w:r>
          </w:p>
        </w:tc>
        <w:tc>
          <w:tcPr>
            <w:tcW w:w="154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出口数量</w:t>
            </w:r>
          </w:p>
        </w:tc>
        <w:tc>
          <w:tcPr>
            <w:tcW w:w="168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不丹</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15.295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11818.00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文莱</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29252.589</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17776051.00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94.928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67480.00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缅甸</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166.922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121853.00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柬埔寨</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1215.541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853660.00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朝鲜</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360.424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255415.00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香港</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535195.602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321995603.00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印度</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3802.265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2492505.00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印度尼西亚</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6472.757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4412418.00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伊朗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2884.594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2017955.00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伊拉克</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238.574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183641.00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以色列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1051.223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745277.00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日本</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69942.845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44525111.00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老挝</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2036.002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1289026.00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澳门</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27122.822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16905272.00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马来西亚</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11520.559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7913423.00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马尔代夫</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66.681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49974.00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蒙古</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7795.276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4821842.00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巴基斯坦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966.740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686378.00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菲律宾</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56803.617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29819115.00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卡塔尔</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15067.264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10587938.00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沙特阿拉伯</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1512.057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943784.00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新加坡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25894.823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16128240.00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83418.606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53871600.00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韩国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297395.642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182117302.00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167407.149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103145743.00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斯里兰卡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4577.075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3078538.00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泰国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19214.610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13739105.00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土耳其</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16478.676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11486368.00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阿联酋</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39079.369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27277006.00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越南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137591.125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77774569.00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3216.613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2266301.00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哈萨克斯坦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635.710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467785.00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土库曼斯坦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9.606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乌兹别克斯坦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744.983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533538.00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埃及</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14124.392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8626036.00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埃塞俄比亚</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11768.391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8172930.00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毛里求斯</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1153.918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812446.00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比利时</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4371.402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3116088.00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英国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124237.946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81572629.00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德国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36068.225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25220334.00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法国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18782.916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13162118.00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卢森堡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21769.405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15971283.00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荷兰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110821.616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70648429.00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西班牙</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1840.339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1294113.00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奥地利</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4472.473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3117626.00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芬兰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6280.878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4446283.00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冰岛</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3.134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2256.00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波兰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1235.972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877800.00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瑞典</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6836.822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4832562.00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瑞士</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6576.046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4585301.00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阿塞拜疆</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5571.003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3963052.00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俄罗斯联邦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40649.127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28762389.00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乌克兰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315.831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236234.00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墨西哥</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1285.114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905300.00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加拿大</w:t>
            </w:r>
          </w:p>
        </w:tc>
        <w:tc>
          <w:tcPr>
            <w:tcW w:w="154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16519.007 </w:t>
            </w:r>
          </w:p>
        </w:tc>
        <w:tc>
          <w:tcPr>
            <w:tcW w:w="168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11630663.00 </w:t>
            </w:r>
          </w:p>
        </w:tc>
      </w:tr>
    </w:tbl>
    <w:p>
      <w:pPr>
        <w:pStyle w:val="3"/>
        <w:spacing w:before="120" w:after="120" w:line="240" w:lineRule="auto"/>
        <w:rPr>
          <w:rFonts w:hint="eastAsia" w:ascii="宋体" w:hAnsi="宋体"/>
          <w:b/>
          <w:sz w:val="30"/>
          <w:szCs w:val="30"/>
        </w:rPr>
      </w:pPr>
      <w:bookmarkStart w:id="21" w:name="_Toc533771879"/>
    </w:p>
    <w:bookmarkEnd w:id="21"/>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abstractNum w:abstractNumId="1">
    <w:nsid w:val="C05F4C3B"/>
    <w:multiLevelType w:val="singleLevel"/>
    <w:tmpl w:val="C05F4C3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1BD1D63"/>
    <w:rsid w:val="01FE2CFE"/>
    <w:rsid w:val="029F2908"/>
    <w:rsid w:val="02AC60AA"/>
    <w:rsid w:val="03211A1D"/>
    <w:rsid w:val="034407FB"/>
    <w:rsid w:val="034F6246"/>
    <w:rsid w:val="03562125"/>
    <w:rsid w:val="035F2635"/>
    <w:rsid w:val="036D5E24"/>
    <w:rsid w:val="03A57F11"/>
    <w:rsid w:val="044E5434"/>
    <w:rsid w:val="048101D3"/>
    <w:rsid w:val="048C7CAA"/>
    <w:rsid w:val="04BF7371"/>
    <w:rsid w:val="053B1A3D"/>
    <w:rsid w:val="06300679"/>
    <w:rsid w:val="067746D4"/>
    <w:rsid w:val="069C6A8D"/>
    <w:rsid w:val="06B9287B"/>
    <w:rsid w:val="06DA3028"/>
    <w:rsid w:val="06F31CB3"/>
    <w:rsid w:val="0718687A"/>
    <w:rsid w:val="076C6634"/>
    <w:rsid w:val="07820AB4"/>
    <w:rsid w:val="07D15C8A"/>
    <w:rsid w:val="07E76A1F"/>
    <w:rsid w:val="0820276D"/>
    <w:rsid w:val="08573B5A"/>
    <w:rsid w:val="086F6B65"/>
    <w:rsid w:val="09371EEF"/>
    <w:rsid w:val="093F6B95"/>
    <w:rsid w:val="095B63CA"/>
    <w:rsid w:val="098251C0"/>
    <w:rsid w:val="09F11ACB"/>
    <w:rsid w:val="09FB6243"/>
    <w:rsid w:val="0A29795D"/>
    <w:rsid w:val="0A2D68BE"/>
    <w:rsid w:val="0AA33DAF"/>
    <w:rsid w:val="0AC60296"/>
    <w:rsid w:val="0AD32487"/>
    <w:rsid w:val="0B421176"/>
    <w:rsid w:val="0BCE6861"/>
    <w:rsid w:val="0BDC4FBC"/>
    <w:rsid w:val="0C08318F"/>
    <w:rsid w:val="0C586B50"/>
    <w:rsid w:val="0CE32FB8"/>
    <w:rsid w:val="0CE44838"/>
    <w:rsid w:val="0D731CA1"/>
    <w:rsid w:val="0DC46B30"/>
    <w:rsid w:val="0DD115AA"/>
    <w:rsid w:val="0DEA06F6"/>
    <w:rsid w:val="0E04318C"/>
    <w:rsid w:val="0E31785B"/>
    <w:rsid w:val="0E8B35C9"/>
    <w:rsid w:val="0EAF107B"/>
    <w:rsid w:val="0EC1627E"/>
    <w:rsid w:val="0ED36950"/>
    <w:rsid w:val="0F034AA6"/>
    <w:rsid w:val="0F125E7D"/>
    <w:rsid w:val="0F26373F"/>
    <w:rsid w:val="0F446A41"/>
    <w:rsid w:val="0F5808CC"/>
    <w:rsid w:val="0F666559"/>
    <w:rsid w:val="0F7D42FE"/>
    <w:rsid w:val="101C7D06"/>
    <w:rsid w:val="1265739D"/>
    <w:rsid w:val="12662947"/>
    <w:rsid w:val="13267B35"/>
    <w:rsid w:val="134A6D86"/>
    <w:rsid w:val="13594CF7"/>
    <w:rsid w:val="135A728A"/>
    <w:rsid w:val="138744BB"/>
    <w:rsid w:val="13E7373B"/>
    <w:rsid w:val="144B6D3F"/>
    <w:rsid w:val="147759A4"/>
    <w:rsid w:val="147A75E5"/>
    <w:rsid w:val="154F205D"/>
    <w:rsid w:val="15615E0F"/>
    <w:rsid w:val="15D83B2E"/>
    <w:rsid w:val="16600954"/>
    <w:rsid w:val="16734EEE"/>
    <w:rsid w:val="16E22B33"/>
    <w:rsid w:val="17194D7A"/>
    <w:rsid w:val="173C1948"/>
    <w:rsid w:val="17464B66"/>
    <w:rsid w:val="175B5D81"/>
    <w:rsid w:val="17652D76"/>
    <w:rsid w:val="177778D5"/>
    <w:rsid w:val="177C4324"/>
    <w:rsid w:val="18CA4E8D"/>
    <w:rsid w:val="195D29F2"/>
    <w:rsid w:val="19850C75"/>
    <w:rsid w:val="198A3D94"/>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DB113DA"/>
    <w:rsid w:val="1E2278F4"/>
    <w:rsid w:val="1E5542CC"/>
    <w:rsid w:val="1E6D6ABE"/>
    <w:rsid w:val="1E755624"/>
    <w:rsid w:val="1EBE2AB5"/>
    <w:rsid w:val="1F092A2D"/>
    <w:rsid w:val="1F6B3A34"/>
    <w:rsid w:val="1F98363F"/>
    <w:rsid w:val="1FCD7675"/>
    <w:rsid w:val="1FFC155B"/>
    <w:rsid w:val="20261774"/>
    <w:rsid w:val="203A4D2E"/>
    <w:rsid w:val="205B78B2"/>
    <w:rsid w:val="206901B1"/>
    <w:rsid w:val="20C12FDC"/>
    <w:rsid w:val="211001E9"/>
    <w:rsid w:val="21147D43"/>
    <w:rsid w:val="2119067D"/>
    <w:rsid w:val="21216F1B"/>
    <w:rsid w:val="21862B07"/>
    <w:rsid w:val="224E7428"/>
    <w:rsid w:val="2261560B"/>
    <w:rsid w:val="22944164"/>
    <w:rsid w:val="229674ED"/>
    <w:rsid w:val="22D174A6"/>
    <w:rsid w:val="23B946BE"/>
    <w:rsid w:val="24322A62"/>
    <w:rsid w:val="24554136"/>
    <w:rsid w:val="245C2B3F"/>
    <w:rsid w:val="24974A9D"/>
    <w:rsid w:val="24A21A55"/>
    <w:rsid w:val="24BC74B9"/>
    <w:rsid w:val="250D3E66"/>
    <w:rsid w:val="25955E96"/>
    <w:rsid w:val="259B6E31"/>
    <w:rsid w:val="25B904A8"/>
    <w:rsid w:val="261447E7"/>
    <w:rsid w:val="26442276"/>
    <w:rsid w:val="26DF7D7C"/>
    <w:rsid w:val="26EE1723"/>
    <w:rsid w:val="270D21C6"/>
    <w:rsid w:val="27A7464B"/>
    <w:rsid w:val="28892109"/>
    <w:rsid w:val="28A325B7"/>
    <w:rsid w:val="28B71571"/>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ED4404D"/>
    <w:rsid w:val="2F13732E"/>
    <w:rsid w:val="2FD85581"/>
    <w:rsid w:val="2FE513F6"/>
    <w:rsid w:val="302909D7"/>
    <w:rsid w:val="30A00CB5"/>
    <w:rsid w:val="30E73B0D"/>
    <w:rsid w:val="30FC61C2"/>
    <w:rsid w:val="31363ABC"/>
    <w:rsid w:val="314614BA"/>
    <w:rsid w:val="31490B7D"/>
    <w:rsid w:val="3189708E"/>
    <w:rsid w:val="319434F7"/>
    <w:rsid w:val="31B05A1F"/>
    <w:rsid w:val="31FC35FB"/>
    <w:rsid w:val="32010D04"/>
    <w:rsid w:val="32574FD8"/>
    <w:rsid w:val="327C3888"/>
    <w:rsid w:val="32CE45BC"/>
    <w:rsid w:val="33435E16"/>
    <w:rsid w:val="34005D95"/>
    <w:rsid w:val="34173060"/>
    <w:rsid w:val="34474FF1"/>
    <w:rsid w:val="34B63281"/>
    <w:rsid w:val="34EC4B86"/>
    <w:rsid w:val="3572663B"/>
    <w:rsid w:val="357D4C50"/>
    <w:rsid w:val="364A7C84"/>
    <w:rsid w:val="36605016"/>
    <w:rsid w:val="366B7A53"/>
    <w:rsid w:val="368259EE"/>
    <w:rsid w:val="36F44E23"/>
    <w:rsid w:val="371D2966"/>
    <w:rsid w:val="373062E8"/>
    <w:rsid w:val="37785098"/>
    <w:rsid w:val="37A6234C"/>
    <w:rsid w:val="37AF1535"/>
    <w:rsid w:val="37D337D1"/>
    <w:rsid w:val="38781C56"/>
    <w:rsid w:val="38E95212"/>
    <w:rsid w:val="391C1C7A"/>
    <w:rsid w:val="39600E80"/>
    <w:rsid w:val="3A01261A"/>
    <w:rsid w:val="3A1A4CEB"/>
    <w:rsid w:val="3A481E25"/>
    <w:rsid w:val="3A632ED3"/>
    <w:rsid w:val="3A6F255F"/>
    <w:rsid w:val="3A90237F"/>
    <w:rsid w:val="3B0A7991"/>
    <w:rsid w:val="3B100A85"/>
    <w:rsid w:val="3BD837A5"/>
    <w:rsid w:val="3C317DDD"/>
    <w:rsid w:val="3C742BEB"/>
    <w:rsid w:val="3CB004C5"/>
    <w:rsid w:val="3CB35047"/>
    <w:rsid w:val="3CB47F7E"/>
    <w:rsid w:val="3D8D1DDC"/>
    <w:rsid w:val="3E037731"/>
    <w:rsid w:val="3E0F09D9"/>
    <w:rsid w:val="3E305EE4"/>
    <w:rsid w:val="3E3D25F5"/>
    <w:rsid w:val="3E752011"/>
    <w:rsid w:val="3E8E2505"/>
    <w:rsid w:val="3E9953AC"/>
    <w:rsid w:val="3F310E2B"/>
    <w:rsid w:val="3F4D19AF"/>
    <w:rsid w:val="3F837DDF"/>
    <w:rsid w:val="3FA21405"/>
    <w:rsid w:val="3FCB012B"/>
    <w:rsid w:val="40171145"/>
    <w:rsid w:val="40742438"/>
    <w:rsid w:val="40932E75"/>
    <w:rsid w:val="41696F7F"/>
    <w:rsid w:val="418B25AA"/>
    <w:rsid w:val="419D7C05"/>
    <w:rsid w:val="41F604FA"/>
    <w:rsid w:val="421C0994"/>
    <w:rsid w:val="424F02B6"/>
    <w:rsid w:val="427133C0"/>
    <w:rsid w:val="431F563A"/>
    <w:rsid w:val="432D0CD2"/>
    <w:rsid w:val="4348259E"/>
    <w:rsid w:val="434C0977"/>
    <w:rsid w:val="43705840"/>
    <w:rsid w:val="44615639"/>
    <w:rsid w:val="448F5706"/>
    <w:rsid w:val="44944331"/>
    <w:rsid w:val="44A538D4"/>
    <w:rsid w:val="44B05905"/>
    <w:rsid w:val="459B774E"/>
    <w:rsid w:val="47C254B8"/>
    <w:rsid w:val="47DF082A"/>
    <w:rsid w:val="47EB5003"/>
    <w:rsid w:val="483A31DC"/>
    <w:rsid w:val="48942C25"/>
    <w:rsid w:val="4898666C"/>
    <w:rsid w:val="489B75DE"/>
    <w:rsid w:val="48B5305A"/>
    <w:rsid w:val="490B579F"/>
    <w:rsid w:val="4969605D"/>
    <w:rsid w:val="498A3B85"/>
    <w:rsid w:val="49D021B0"/>
    <w:rsid w:val="4A3546EB"/>
    <w:rsid w:val="4A526073"/>
    <w:rsid w:val="4A56215E"/>
    <w:rsid w:val="4A5D4A40"/>
    <w:rsid w:val="4A8561F1"/>
    <w:rsid w:val="4A943BC6"/>
    <w:rsid w:val="4AAF17A9"/>
    <w:rsid w:val="4BB317A2"/>
    <w:rsid w:val="4BC27F8D"/>
    <w:rsid w:val="4BCC6CCE"/>
    <w:rsid w:val="4BE44E6C"/>
    <w:rsid w:val="4BF446B8"/>
    <w:rsid w:val="4C061338"/>
    <w:rsid w:val="4C497215"/>
    <w:rsid w:val="4C5E08E0"/>
    <w:rsid w:val="4CBF4AE9"/>
    <w:rsid w:val="4D0A349B"/>
    <w:rsid w:val="4D427C91"/>
    <w:rsid w:val="4DBE12C2"/>
    <w:rsid w:val="4DCE6ED3"/>
    <w:rsid w:val="4E333BBB"/>
    <w:rsid w:val="4EC951FF"/>
    <w:rsid w:val="4ED04B02"/>
    <w:rsid w:val="4EE96853"/>
    <w:rsid w:val="4F121BEA"/>
    <w:rsid w:val="4F566ACF"/>
    <w:rsid w:val="4F8028EE"/>
    <w:rsid w:val="4FAD0DF7"/>
    <w:rsid w:val="4FBE1CEA"/>
    <w:rsid w:val="4FC15F00"/>
    <w:rsid w:val="51147068"/>
    <w:rsid w:val="51952A88"/>
    <w:rsid w:val="51EE27E3"/>
    <w:rsid w:val="5234477C"/>
    <w:rsid w:val="52515077"/>
    <w:rsid w:val="52CB6EC0"/>
    <w:rsid w:val="52D061DA"/>
    <w:rsid w:val="5315442E"/>
    <w:rsid w:val="5341530E"/>
    <w:rsid w:val="53434396"/>
    <w:rsid w:val="534D112E"/>
    <w:rsid w:val="5393301A"/>
    <w:rsid w:val="53971518"/>
    <w:rsid w:val="53B91D8C"/>
    <w:rsid w:val="53E56E6E"/>
    <w:rsid w:val="53F17662"/>
    <w:rsid w:val="54010C17"/>
    <w:rsid w:val="546C3F2D"/>
    <w:rsid w:val="547F46DA"/>
    <w:rsid w:val="549F75FE"/>
    <w:rsid w:val="556D2811"/>
    <w:rsid w:val="55F04C52"/>
    <w:rsid w:val="55F35D23"/>
    <w:rsid w:val="56281CBC"/>
    <w:rsid w:val="56333685"/>
    <w:rsid w:val="56A332D5"/>
    <w:rsid w:val="56C325A5"/>
    <w:rsid w:val="572D602C"/>
    <w:rsid w:val="57364D30"/>
    <w:rsid w:val="57B937A9"/>
    <w:rsid w:val="58E94F10"/>
    <w:rsid w:val="58FA15B8"/>
    <w:rsid w:val="58FF06B6"/>
    <w:rsid w:val="591C3F4A"/>
    <w:rsid w:val="593E6CC6"/>
    <w:rsid w:val="59591BB8"/>
    <w:rsid w:val="59820786"/>
    <w:rsid w:val="59A774F2"/>
    <w:rsid w:val="59AD15AB"/>
    <w:rsid w:val="59E474BD"/>
    <w:rsid w:val="59FC6B89"/>
    <w:rsid w:val="5A261D0E"/>
    <w:rsid w:val="5A527BDD"/>
    <w:rsid w:val="5A9311E7"/>
    <w:rsid w:val="5AF86253"/>
    <w:rsid w:val="5B081862"/>
    <w:rsid w:val="5B340596"/>
    <w:rsid w:val="5BB41290"/>
    <w:rsid w:val="5C9E10E9"/>
    <w:rsid w:val="5CDA6371"/>
    <w:rsid w:val="5D1516BF"/>
    <w:rsid w:val="5D1569ED"/>
    <w:rsid w:val="5D1B2A4F"/>
    <w:rsid w:val="5D623C65"/>
    <w:rsid w:val="5DC477E0"/>
    <w:rsid w:val="5DD05318"/>
    <w:rsid w:val="5DEF6C2B"/>
    <w:rsid w:val="5E4E3F80"/>
    <w:rsid w:val="5E5F4BD4"/>
    <w:rsid w:val="5ED20F44"/>
    <w:rsid w:val="5F123BC6"/>
    <w:rsid w:val="5F1A7A37"/>
    <w:rsid w:val="5F63419E"/>
    <w:rsid w:val="5F880842"/>
    <w:rsid w:val="5FFC4765"/>
    <w:rsid w:val="60046C0F"/>
    <w:rsid w:val="602C01A9"/>
    <w:rsid w:val="603B1B21"/>
    <w:rsid w:val="607F2EF2"/>
    <w:rsid w:val="610D2A7D"/>
    <w:rsid w:val="61175A9A"/>
    <w:rsid w:val="61BC217C"/>
    <w:rsid w:val="61D9772A"/>
    <w:rsid w:val="61DB33CF"/>
    <w:rsid w:val="61EF0933"/>
    <w:rsid w:val="61F2327B"/>
    <w:rsid w:val="61F6471A"/>
    <w:rsid w:val="625E2011"/>
    <w:rsid w:val="62EF16C5"/>
    <w:rsid w:val="63F34E27"/>
    <w:rsid w:val="642E2D6E"/>
    <w:rsid w:val="642F141D"/>
    <w:rsid w:val="6439179D"/>
    <w:rsid w:val="643A7D3D"/>
    <w:rsid w:val="645E071A"/>
    <w:rsid w:val="652A5D21"/>
    <w:rsid w:val="65480BBE"/>
    <w:rsid w:val="65B955CA"/>
    <w:rsid w:val="661A0E12"/>
    <w:rsid w:val="66B56D61"/>
    <w:rsid w:val="67056631"/>
    <w:rsid w:val="6779797F"/>
    <w:rsid w:val="6789047F"/>
    <w:rsid w:val="68382592"/>
    <w:rsid w:val="68A742AD"/>
    <w:rsid w:val="691052CA"/>
    <w:rsid w:val="69194464"/>
    <w:rsid w:val="698B1B24"/>
    <w:rsid w:val="6A7A60F7"/>
    <w:rsid w:val="6AEE1969"/>
    <w:rsid w:val="6B0A125F"/>
    <w:rsid w:val="6BA2498F"/>
    <w:rsid w:val="6BCA0F7D"/>
    <w:rsid w:val="6BDE4DDD"/>
    <w:rsid w:val="6BE972DB"/>
    <w:rsid w:val="6BFE0452"/>
    <w:rsid w:val="6C0F2440"/>
    <w:rsid w:val="6C176418"/>
    <w:rsid w:val="6C392A9F"/>
    <w:rsid w:val="6C762792"/>
    <w:rsid w:val="6C801375"/>
    <w:rsid w:val="6CEF6EBD"/>
    <w:rsid w:val="6CF01C95"/>
    <w:rsid w:val="6D18295E"/>
    <w:rsid w:val="6D206AE2"/>
    <w:rsid w:val="6DD23F1E"/>
    <w:rsid w:val="6DEE2081"/>
    <w:rsid w:val="6E336938"/>
    <w:rsid w:val="6E5D68D3"/>
    <w:rsid w:val="6E7251F0"/>
    <w:rsid w:val="6E757524"/>
    <w:rsid w:val="6E7934F3"/>
    <w:rsid w:val="6EAD6286"/>
    <w:rsid w:val="6EB24C59"/>
    <w:rsid w:val="6F2428C0"/>
    <w:rsid w:val="6F591B5D"/>
    <w:rsid w:val="6F7E65DB"/>
    <w:rsid w:val="705F37D3"/>
    <w:rsid w:val="709143C4"/>
    <w:rsid w:val="70930271"/>
    <w:rsid w:val="70DB5146"/>
    <w:rsid w:val="7181738B"/>
    <w:rsid w:val="71820038"/>
    <w:rsid w:val="71990145"/>
    <w:rsid w:val="71C90ED8"/>
    <w:rsid w:val="71E12038"/>
    <w:rsid w:val="72112B83"/>
    <w:rsid w:val="72910320"/>
    <w:rsid w:val="73092FAA"/>
    <w:rsid w:val="734608F5"/>
    <w:rsid w:val="736D4BAC"/>
    <w:rsid w:val="74090510"/>
    <w:rsid w:val="746B6757"/>
    <w:rsid w:val="74F13E40"/>
    <w:rsid w:val="752A3F7B"/>
    <w:rsid w:val="75B35E00"/>
    <w:rsid w:val="766C7968"/>
    <w:rsid w:val="76936F16"/>
    <w:rsid w:val="76A64EB2"/>
    <w:rsid w:val="76BC1014"/>
    <w:rsid w:val="77025DC3"/>
    <w:rsid w:val="7781654E"/>
    <w:rsid w:val="77B92312"/>
    <w:rsid w:val="7827423F"/>
    <w:rsid w:val="7850391E"/>
    <w:rsid w:val="78703EBE"/>
    <w:rsid w:val="78805A36"/>
    <w:rsid w:val="78AE0946"/>
    <w:rsid w:val="79331EC1"/>
    <w:rsid w:val="79404911"/>
    <w:rsid w:val="7986601A"/>
    <w:rsid w:val="79AE14B2"/>
    <w:rsid w:val="79CE4B72"/>
    <w:rsid w:val="7A055366"/>
    <w:rsid w:val="7A292C38"/>
    <w:rsid w:val="7A5F22B4"/>
    <w:rsid w:val="7A680094"/>
    <w:rsid w:val="7A81102C"/>
    <w:rsid w:val="7AB16073"/>
    <w:rsid w:val="7ABB5514"/>
    <w:rsid w:val="7ADE3222"/>
    <w:rsid w:val="7AF04DB0"/>
    <w:rsid w:val="7B3C2640"/>
    <w:rsid w:val="7BB43296"/>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2020-03-19T08:31:20Z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2052-11.1.0.9513</vt:lpwstr>
  </property>
</Properties>
</file>