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-705485</wp:posOffset>
            </wp:positionH>
            <wp:positionV relativeFrom="paragraph">
              <wp:posOffset>-534035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4.9</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w:t>
      </w:r>
      <w:r>
        <w:rPr>
          <w:rStyle w:val="31"/>
          <w:rFonts w:hint="eastAsia" w:ascii="宋体" w:hAnsi="宋体"/>
          <w:b/>
          <w:color w:val="auto"/>
          <w:sz w:val="24"/>
          <w:szCs w:val="24"/>
          <w:lang w:val="en-US" w:eastAsia="zh-CN"/>
        </w:rPr>
        <w:t>9</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837" w:type="dxa"/>
        <w:tblInd w:w="0" w:type="dxa"/>
        <w:tblLayout w:type="fixed"/>
        <w:tblCellMar>
          <w:top w:w="15" w:type="dxa"/>
          <w:left w:w="15" w:type="dxa"/>
          <w:bottom w:w="15" w:type="dxa"/>
          <w:right w:w="15" w:type="dxa"/>
        </w:tblCellMar>
      </w:tblPr>
      <w:tblGrid>
        <w:gridCol w:w="1291"/>
        <w:gridCol w:w="941"/>
        <w:gridCol w:w="900"/>
        <w:gridCol w:w="6705"/>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bookmarkStart w:id="2" w:name="_Toc533771863"/>
            <w:r>
              <w:rPr>
                <w:rFonts w:hint="eastAsia" w:asciiTheme="minorEastAsia" w:hAnsiTheme="minorEastAsia" w:eastAsiaTheme="minorEastAsia" w:cstheme="minorEastAsia"/>
                <w:color w:val="333335"/>
                <w:sz w:val="24"/>
                <w:szCs w:val="24"/>
                <w:shd w:val="clear" w:color="auto" w:fill="FFFFFF"/>
              </w:rPr>
              <w:t>日期</w:t>
            </w:r>
          </w:p>
        </w:tc>
        <w:tc>
          <w:tcPr>
            <w:tcW w:w="94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90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670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2020/4/8</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25.09</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32.84</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受作为OPEC代表的阿尔及利亚油长在当天美市盘末发表的“欧佩克+讨论了大幅度的原油减产措施，减产幅度将达到1000万桶/日”这一乐观言论刺激，国际原油期货在当日盘末交易中短线大幅跳涨后持续拉升，收盘录得大幅上涨。</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2020/4/7</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23.63</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31.87</w:t>
            </w:r>
          </w:p>
        </w:tc>
        <w:tc>
          <w:tcPr>
            <w:tcW w:w="670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虽然因受到美国总统特朗普在当日WTI亚市盘初发表的“如果欧佩克要求美国减产，他将会做出决定，并表示美国石油生产商已经自动减产”的乐观言论影响，油价在亚市盘中一度呈现涨后整理走势。</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2020/4/6</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26.08</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33.05</w:t>
            </w:r>
          </w:p>
        </w:tc>
        <w:tc>
          <w:tcPr>
            <w:tcW w:w="6705"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原计划于4月6日举行的OPEC+紧急会议在上周末期间被推迟至4月9日举行，且当日有市场消息人士透露称此次欧佩克+紧急会议的受邀请国不包括美国和加拿大，但另有消息人士表示欧佩克+在9日同意减产的前提是美国加入减产行动，这令本次会议的前景面临不确定性，从而导致投资者看空情绪再度升温，打压国际原油期货价格于当日收盘大幅回落。</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2020/4/3</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28.34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34.11</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因当天先后有市场消息显示，OPEC+产油国计划于4月6日举行紧急会议并就1000万桶/日的减产规模进行讨论，从而令投资者的做多情绪继续升温。</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2020/4/2</w:t>
            </w:r>
          </w:p>
        </w:tc>
        <w:tc>
          <w:tcPr>
            <w:tcW w:w="94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25.32</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29.94</w:t>
            </w:r>
          </w:p>
        </w:tc>
        <w:tc>
          <w:tcPr>
            <w:tcW w:w="670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OPEC+大会上未能达成任何协议而导致减产协议已于本月月初到期失效后，沙特于当天首次公开呼吁召开OPEC+紧急会议以恢复油市平衡，并考虑以减少石油供应来解决价格战。这使得投资者对在新冠疫情于全球范围扩散和产油国供应增长的双重利空背景下，所导致的原油供应过剩持续加重的恐慌心态终于得到安抚，从而令其做多情绪迅速升温</w:t>
            </w:r>
          </w:p>
        </w:tc>
      </w:tr>
    </w:tbl>
    <w:p>
      <w:pPr>
        <w:pStyle w:val="3"/>
        <w:spacing w:before="120" w:after="120" w:line="240" w:lineRule="auto"/>
        <w:rPr>
          <w:rFonts w:ascii="宋体" w:hAnsi="宋体"/>
          <w:b/>
          <w:sz w:val="30"/>
          <w:szCs w:val="30"/>
        </w:rPr>
      </w:pPr>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drawing>
          <wp:inline distT="0" distB="0" distL="114300" distR="114300">
            <wp:extent cx="4522470" cy="3833495"/>
            <wp:effectExtent l="0" t="0" r="1143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522470" cy="3833495"/>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lang w:eastAsia="zh-CN"/>
        </w:rPr>
        <w:t>本周</w:t>
      </w:r>
      <w:r>
        <w:rPr>
          <w:rFonts w:hint="eastAsia" w:ascii="宋体" w:hAnsi="宋体" w:eastAsia="宋体" w:cs="宋体"/>
          <w:color w:val="333335"/>
          <w:kern w:val="2"/>
          <w:sz w:val="28"/>
          <w:szCs w:val="28"/>
          <w:shd w:val="clear" w:color="auto" w:fill="FFFFFF"/>
        </w:rPr>
        <w:t>美国石油学会(API)周二(4月7日)报告显示，截止4月3日当周，美国原油库存4.738亿桶，比前周增加1190万桶，汽油库存增加940万桶，馏分油库存减少17.7万桶。美国俄克拉荷马州库欣地区原油库存增加680万桶。美国能源信息署(EIA)周三(4月1日)报告显示，截至3月27日当周美国除却战略储备的商业原油库存远超预期，汽油库存同样大幅超预期，但精炼油库存降幅超预期。截止3月27日当周EIA原油库存变动实际公布1383.3万桶，预期增加392.02万桶，前值增加162.3万桶。此外，EIA汽油库存实际公布752.4万桶，预期增加108.7万桶，前值减少153.7万桶;EIA精炼油库存实际公布-219.4万桶，预期增加31.6万桶，前值减少67.8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北京时间9日凌晨，美股周三收高，道指上涨逾700点。投资者正关注冠状病毒疫情的发展。美国传染病研究所所长福西称本周过后美国疫情将好转。特朗普正在研究重启美国经济的日程表。美国参议员桑德斯退出总统大选，在一定程度上缓解了华尔街的政治担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道指收盘上涨779.71点，或3.44%，报23433.57点;纳指涨203.64点，或2.58%，报8090.90点;标普500指数涨90.57点，或3.41%，报2749.98点。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航空和邮轮股普涨，美联航涨超12%，皇家加勒比邮轮涨近12%，美国航空涨超10%。</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桑德斯退出总统大选消息提振市场情绪</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据报道，美国参议员伯尼-桑德斯(BernieSanders)退出了总统大选。在冠状病毒疫情引发经济危机之时，这条消息在一定程度上缓解了华尔街的政治担忧。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桑德斯的施政主张包括全民医疗保险(MedicareforAll)等，其主张引起了许多企业主和投资者的担忧——他们担心如果桑德斯担任总统就会增加税收。桑德斯退出总统大选的消息，使前副总统乔-拜登(JoeBiden)更接近获得民主党的总统候选人提名。拜登被华尔街视为是对市场更友好的候选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券商RaymondJames华府政策策略师EdMills表示：“桑德斯的退出，为市场消除了许多政策风险，使焦点立即落在拜登与特朗普身上。拜登现在基本可以推定为民主党的总统候选人，他的政策主张将受到市场重新审视。但问题的真相在于，市场更期待的是华府能出台更多帮助经济的措施，而拜登的平台可以提供大部分援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美联储会议纪要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美联储周三公布的会议纪要显示，美联储认为美国经济前景面临“极大程度”不确定性，零利率政策将保持至经济消化疫情的打击之后。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联邦公开市场委员会(FOMC)周三发布了3月2日和3月15日的会议纪要。在3月15日会议期间，美联储将基准利率范围降低至接近零。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会议纪要反映出美联储十分担忧冠状病毒疫情对经济的影响。会议纪要称：“所有与会者都认为，近期美国经济前景在最近几周急剧恶化，并且变得极为不确定。”美联储官员们主张采取强有力的货币政策应对措施。少数几名委员在3月15日会议上倾向于降息50个基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纪要显示，除克利夫兰联储主席梅斯特(LorettaMester)之外，所有委员会成员均投票赞成将政策利率调低至金融危机期间的水平。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梅斯特表示，她投反对票是因为她想让美联储在政策上更具灵活性。美联储已经在3月2日批准了紧急降息50个基点的措施。梅斯特希望降息50个基点，而不是75个基点。她认为“只要市场条件已经改善到足以确保货币政策传导机制能够正常运转，就可以进一步削减利率目标范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会议纪要称：“在讨论这次会议的货币政策时，委员们指出，冠状病毒的爆发已经损害了包括美国在内的许多国家和地区的经济活动，全球金融状况也受到了重大影响。”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周一美股暴涨后，周二美股冲高回落，三大股指悉数小幅收跌。道指盘中一度大涨900点，标普500指数最高曾上涨3.5%，较其3月23日的近期新低高出22%以上。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有些乐观投资者认为，现在市场极度恐慌的时刻可能已经过去，这为市场参与者提供了逢低吸纳的机会。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橡树资本管理公司联合创始人兼董事长霍华德-马克斯(HowardMarks)周二表示：“主张防御而不是进攻的投资者今年遭受的损失较小，他们的表现相对出色、更满意，他们有更多的时间来寻找便宜的股票，而不是处理遗留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霍华德-马克斯表示：“因此，我觉得这是一个机会，谨慎的投资者可以减少对防御的过分重视，并开始朝着更中立的立场、甚至朝着进攻的方向迈进，这取决于他们是否希望抓住刚刚出现的机会。”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他补充说：“我并不是说前景乐观。我是说情况发生了变化，因此不必像原来那样强调谨慎。”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霍华德-马克斯表示：“等待股市出现底部是愚蠢的做法。如果股票便宜，你就应该买它。”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但许多机构认为，最近几周的反弹不过是大规模空头挤压的结果。</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美国银行的衍生品团队表示，近期股市的反弹是对美联储推出无限QE的后续反应。美联储在3月23日推出了前所未有的无限QE措施，旨在刺激经济增长、稳定金融市场，但直到现在才开始发挥作用。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银行衍生品分析师BenjaminBowel称：“尽管美联储出手救市，但历史经验表明，在熊市结束之前，市场仍需经历大幅波动。”他认为熊市时期出现反弹是正常现象，历史数据表明标普500指数甚至可能反弹至近3000点，但股市在全面复苏之前仍会不停波动并触及新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分析称，鉴于最近1个月，标普500指数交易量达到了熊市峰值的95%。这意味着以波动率和交易量计算的话，熊市仅仅过去了一半。此外，美国银行发现在当前这种规模的经济衰退下，熊市平均要持续大约11个月。这两大因素，进一步证明了股市可能会重新测试低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美银总结称：“我们认为，股市还远没有触底。”</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美国传染病研究所所长称本周过后美国疫情将好转</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投资者一直在密切关注冠状病毒疫情的发展。根据世卫组织最新实时统计数据，目前全球确诊新冠肺炎1353361例，死亡79235例，欧洲区域累计达到720219例，中国以外约127万例。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近期疫情状况出现了一些积极迹象，包括纽约和意大利在内的热点地区在新增确诊病例和住院治疗病例数量均出现好转的趋势，但纽约州昨日报告的一日新增死亡病例升至疫情爆发以来的最高值。</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根据美国约翰斯-霍普金斯大学的数据，自周五以来，美国的每日新增冠状病毒病例数量逐渐下降。同时段内，全球报告的每日新增案例也有所下降。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美国国家过敏和传染病研究所所长安东尼-福西(AnthonyFauci)周三对媒体表示，美国现在的冠状病毒致死病例比最初预期的要少，他还指出本周之后情况应该会逐渐好转。但他补充说，遏制病毒传播的工作应该加强。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美国国家过敏和传染病研究所所长安东尼-福西美国国家过敏和传染病研究所所长安东尼-福西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西班牙卫生大臣萨尔瓦多-伊利亚认为该国疫情已达拐点。伊利亚周三在议会卫生委员会会议上说：“数据已经确认了曲线的稳定和平缓，我们已经达到了拐点，现在正处于一个减速阶段。”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纽约市市长白思豪周三也表示，纽约市的疫情前景似乎在改善。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LeutholdGroup首席投资策略师JimPaulsen表示：“如果疫情曲线首次出现拐点，那么至少重启部分经济领域的时间表就会成为焦点。”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美国财长姆努钦周三表示，美国总统特朗普正在研究重启经济的日程表。特朗普表示，重新开放美国“宜早不宜迟”。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在其他受病毒侵袭的地区，政客们并不那么乐观。法国卫生部长周二警告称，该国尚未达到疫情爆发的顶峰。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分析师：未来经济消息可能变得更糟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尽管冠状病毒感染病例数据有所改善，市场风险偏好也随之反弹，但许多分析人士认为，现在不能期待近期内市场波动性将会降低、市场将回归平静。</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RenaissanceMacroResearch经济部主管NeilDutta在周二的研报中表示：“现在断定市场已经完全风平浪静，还为时尚早。首先，随着公共健康方面的消息变好，经济方面的消息可能会变得更糟。”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穆迪分析公司最近的一项研究，在冠状病毒疫情爆发期间，美国百分之八十的县都实行了某种形式的封锁令，造成企业停业。这些县当中，大多数每天损失的产值高达数十亿美元。这些停工的影响，很快将在未来几周发布的经济报告中得到反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Dutta表示：“4月份的经济数据将令人难以接受，因为当月国内生产总值(GDP)数据年率可能会以50%的速度收缩。下周我们就会看到3月份的零售销售和4月份的几个区域PMI报告。”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他补充道，当社交距离措施最终取消时，“‘开放’经济将是说起来容易、做起来很难。”他表示：“这不是一键启动的事，而是一个渐渐转变的过程。”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在经过16个小时的审议和讨论后，欧盟各国财长仍未能就疫情应对措施达成协议，使人们对欧盟抵御危机的能力产生了怀疑。欧元集团主席森特诺表示，已暂停了欧盟会议，将在明天继续举行会议。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目前，欧洲受疫情冲击最严重的南部地区的国家，正与北部的国家就分担即将到来的经济衰退成本展开谈判。</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疫情已经让欧洲主要经济体陷入停滞。整个地区的商业活动已经暂停，这迫使政府必须采取大胆的行动来支持企业和公民。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预计美国经济急剧下滑不会V型复苏</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前美联储主席本-伯南克表示，减缓冠状病毒扩散的措施将导致本季度美国经济急剧下滑，之后经济不会出现迅速、大幅反弹。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他表示：“我不认为会有快速复苏。我们可能不得不逐步重启经济活动，并且之后还有可能遇到活动再度放慢的阶段。”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尽管他表示第二季度经济折合成年率可能萎缩30%甚至更高，但伯南克不愿将之与长达12年的大萧条作比。“如果一切顺利，那么一两年内我们的情况就应该会大为好转，”他说。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伯南克称赞美国财政和货币当局在这场危机中的应对“相当好”。他补充说，可能还会有进一步的财政行动。这位前美联储主席表示，美联储在恢复金融市场秩序方面取得了进展。“我们已经看到信贷市场有所改善，”他指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伯南克表示，他怀疑美联储将在较长时间内把短期利率有效控制在零，因为该行寻求将通胀率提升至2%的目标并使劳动力市场恢复到充分就业。他称：“就目前而言，通胀不是什么大的风险，”他说。“明年更应该担心通胀下降、低通胀，而不是高通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纽约商品交易所5月交割的西德州中质原油(WTI)期货价格上涨1.46美元，涨幅6.2%，收于25.09美元/桶。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周三盘中，该期货一度上涨11.9%，最高触及26.45美元/桶，但并未触发熔断，因为WTI原油交易的熔断涨幅标准已于在3月19日从7%上调为15%。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伦敦洲际交易所6月交割的布伦特原油期货价格上涨97美分，涨幅3%，收于32.84美元/桶。</w:t>
      </w: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经济合作与发展组织表示，主要经济体看到有史以来最大单月下滑活动。这意味着所有主要经济体都陷入了“急剧放缓”。</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这些指标正显示多数主要经济体活动创有记录以来的最大跌幅，此外有关封锁将持续多久的不确定性，严重削弱了它们的预测价值。</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因此，经合组织认为这些指标不能预测经济放缓的结束，尤其是在不清楚当前的封锁措施可能持续多久的情况下。上个月，经合组织估计，主要经济体每月被冻结的支出或导致其年增长率下降了2%。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尽管未来不知道会发生什么，但市场似乎相信，最糟糕的时期已经过去。正如荷兰合作银行所报告的，尽管经济和企业财报数据都还没真正开始揭示过去几周全球陷入的经济危机的严重性，但过去两天股市仍出现反弹走势。</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方面，在全球经济蓬勃发展的2019年，全球债务增加了逾10万亿美元，超过了255万亿美元。目前全球债务占GDP的比例超过322%，比2008年金融危机爆发时高出40%，即87万亿美元，其中大部分都是政府债券和非金融企业部门债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这确保了即使是最微小的通胀迹象和长期利率的跃升也会导致全球债务危机，迫使央行更多的进行干预，最终导致整个市场崩溃。</w:t>
      </w: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本周美国WTI原油原油价格在22.5-25.6美元/桶。布伦特原油价格在26.74-32.34美元/桶震荡。周内阿尔及利亚部长优素福(Youcef Yousfi)暗示，将在周四召开的OPEC会议上同意大规模削减近1000万桶的日产量，与此同时，全球最大的原油生产国美国暗示，它最多将贡献120万桶/天的产量，油价周三(4月8日)随之上涨了6%。美国WTI原油5月期货收盘上涨1.46美元，涨幅6.18%，报25.09美元/桶。WTI原油上周收盘创下32%的纪录高点，上月下跌54%，第一季度下跌66%。布伦特原油6月期货上涨0.97美元，或3.04%，报32.84美元/桶。布伦特原油价格上周上涨了37%，上月和第一季度分别下跌48%和61%。基本面利好因素：美国能源信息署(EIA)周三公布报告显示，上周EIA精炼油库存增加47.6万桶，低于预期的69.7万桶。美国石油协会(API)周二公布报告显示，上周API原油进口减少65.3万桶/日;API精炼油库存减少17.7万桶，低于此前预期123.3万桶。根据OPEC+倡议，OPEC定于周四与俄罗斯和其他盟国举行视频会议讨论减产事宜，以纾解因新冠危机造成的2,000-3,000万桶的日需求损失。在此之后，20国集团(G20)将于周五召开能源部长会议。美国得州监管机构将考虑在4月14日的会议上宣布减产，以尝试抑制油价大跌。美国二叠纪盆地的最大石油生产商——美国西方石油公司敦促美国得州监管机构不要限制其石油产量。法国巴黎银行(BNPP)分析师Harry Tchilinguirian在路透全球石油论坛上表示：“油价目前逐渐企稳，市场预期建立在每日减产1,000万桶或至少接近1,000万桶的基础上。”基本面利空因素：美国能源信息署(EIA)周三公布报告显示，上周原油库存增加1517.7万桶，预期值为969.9万桶;上周汽油库存增加1049.7万桶，远高于此前590.1万桶的预期;该机构周二公布的展望报告显示，预计2020年WTI原油价格为29.34美元/桶，此前预期为38.19美元/桶;预计2021年WTI原油价格为41.12美元/桶，此前预期为50.36美元/桶;预计2020年布伦特原油价格为33.04美元/桶，此前预期为43.30美元/桶;预计2021年布伦特原油价格为45.62美元/桶，此前预期为55.36美元/桶。美国石油协会(API)周二公布报告显示，至4月3日当周API原油库存增加1190万桶至4.738亿桶，高于此前预期1013.3万桶;API汽油库存940万桶，高于此前预期463.3万桶;API库欣原油库存680万桶，高于此前一周的290万桶。周一，牛津能源研究所(Oxford Institute for Energy Studies)的分析师法图赫(Bassam Fattouh)和伊姆西罗维奇(Adi Imsirovic)在一份研究报告中表示:“特朗普的言论加剧了实物市场和期货市场之间的脱节，实物市场在严重供过于求的现实下的苦苦挣扎，而期货市场则是投机活动的主要集中地。这种脱节是不可持续的，实体市场和纸面市场的趋同最终将会发生。特朗普的推文可能会让这种结盟变得突然而严重，带来不必要的波动和极端的价格波动，尤其是如果拟议中的本周晚些时候的产油国会议未能就减产达成协议的话。纽约专注于石油的Tyche Capital Advisors基金创始人Tariq Zahir表示：“OPEC可能不会达成协议，因为美国称减产是自然发生的，不会再采取更多行动。在那种情况下，我们可能会看到油价以断崖式下跌。”纽约能源对冲基金Again Capital的创始合伙人基尔达夫(John Kilduff)对他的观点表示赞同。他预计到下周，油价将面临更糟糕的表现。特朗普在呼吁沙特王储和俄罗斯总统普京(Vladimir Putin)拯救市场后开始行动。他周一表示，不考虑在市场自动削减的基础上，再增加美国的削减。然而考虑到全球的石油需求损失至少是20倍，美国所暗示的120万桶供应似乎只是沧海一粟。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预测下周WTI油价将触及23-30美元/桶，布油在之后几个月触及27-32美元/桶。</w:t>
      </w:r>
    </w:p>
    <w:p>
      <w:pPr>
        <w:pStyle w:val="23"/>
        <w:spacing w:line="360" w:lineRule="auto"/>
        <w:jc w:val="both"/>
        <w:rPr>
          <w:rFonts w:hint="eastAsia" w:ascii="宋体" w:hAnsi="宋体" w:eastAsia="宋体" w:cs="宋体"/>
          <w:color w:val="333335"/>
          <w:kern w:val="2"/>
          <w:sz w:val="28"/>
          <w:szCs w:val="28"/>
          <w:shd w:val="clear" w:color="auto" w:fill="FFFFFF"/>
        </w:rPr>
      </w:pPr>
    </w:p>
    <w:p>
      <w:pPr>
        <w:pStyle w:val="23"/>
        <w:spacing w:line="360" w:lineRule="auto"/>
        <w:jc w:val="both"/>
        <w:rPr>
          <w:rFonts w:hint="eastAsia" w:ascii="宋体" w:hAnsi="宋体" w:eastAsia="宋体" w:cs="宋体"/>
          <w:color w:val="333335"/>
          <w:kern w:val="2"/>
          <w:sz w:val="28"/>
          <w:szCs w:val="28"/>
          <w:shd w:val="clear" w:color="auto" w:fill="FFFFFF"/>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68.05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63.16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65.80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268.20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60.38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4月2日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252.10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57.50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213.25 </w:t>
            </w:r>
          </w:p>
        </w:tc>
      </w:tr>
    </w:tbl>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p>
      <w:pPr>
        <w:rPr>
          <w:rFonts w:hint="eastAsia" w:ascii="宋体" w:hAnsi="宋体"/>
          <w:sz w:val="28"/>
          <w:szCs w:val="28"/>
          <w:highlight w:val="none"/>
        </w:rPr>
      </w:pP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eastAsia" w:ascii="宋体" w:hAnsi="宋体" w:cs="宋体"/>
                <w:kern w:val="0"/>
                <w:szCs w:val="21"/>
                <w:lang w:val="en-US" w:eastAsia="zh-CN"/>
              </w:rPr>
            </w:pPr>
            <w:r>
              <w:rPr>
                <w:rFonts w:hint="default" w:ascii="宋体" w:hAnsi="宋体" w:cs="宋体"/>
                <w:kern w:val="0"/>
                <w:szCs w:val="21"/>
                <w:lang w:val="en-US" w:eastAsia="zh-CN"/>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装置能力</w:t>
            </w:r>
            <w:r>
              <w:rPr>
                <w:rFonts w:hint="eastAsia" w:ascii="宋体" w:hAnsi="宋体" w:cs="宋体"/>
                <w:kern w:val="0"/>
                <w:szCs w:val="21"/>
                <w:highlight w:val="none"/>
                <w:lang w:val="en-US" w:eastAsia="zh-CN"/>
              </w:rPr>
              <w:t>（万吨）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2020/4/15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石家庄炼化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渣油加氢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石家庄炼化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2#加氢装置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2020/8/1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2020/3/17</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2020/3/17</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高桥石化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140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2020/3/31</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2020/5/14</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180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1#加氢裂化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240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2020/3/16</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210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2020/6/30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北海石化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2020/5/18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2020/3/23</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2020/3/23</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2020/3/25</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2020/5/25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2020/2/10</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惠州石化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一期全厂</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1200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2020/2/18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widowControl/>
              <w:jc w:val="center"/>
              <w:rPr>
                <w:rFonts w:hint="default" w:ascii="宋体" w:hAnsi="宋体" w:cs="宋体"/>
                <w:kern w:val="0"/>
                <w:szCs w:val="21"/>
                <w:lang w:val="en-US" w:eastAsia="zh-CN"/>
              </w:rPr>
            </w:pPr>
            <w:r>
              <w:rPr>
                <w:rFonts w:hint="default" w:ascii="宋体" w:hAnsi="宋体" w:cs="宋体"/>
                <w:kern w:val="0"/>
                <w:szCs w:val="21"/>
                <w:lang w:val="en-US" w:eastAsia="zh-CN"/>
              </w:rPr>
              <w:t>2020/4/16</w:t>
            </w:r>
          </w:p>
        </w:tc>
      </w:tr>
    </w:tbl>
    <w:p>
      <w:pPr>
        <w:numPr>
          <w:ilvl w:val="0"/>
          <w:numId w:val="0"/>
        </w:numPr>
        <w:rPr>
          <w:rFonts w:hint="eastAsia" w:ascii="宋体" w:hAnsi="宋体"/>
          <w:sz w:val="28"/>
          <w:szCs w:val="28"/>
          <w:highlight w:val="none"/>
        </w:rPr>
      </w:pPr>
    </w:p>
    <w:p>
      <w:pPr>
        <w:numPr>
          <w:ilvl w:val="0"/>
          <w:numId w:val="1"/>
        </w:numPr>
        <w:rPr>
          <w:rFonts w:hint="eastAsia" w:ascii="宋体" w:hAnsi="宋体"/>
          <w:sz w:val="28"/>
          <w:szCs w:val="28"/>
          <w:highlight w:val="none"/>
        </w:rPr>
      </w:pPr>
      <w:r>
        <w:rPr>
          <w:rFonts w:hint="eastAsia" w:ascii="宋体" w:hAnsi="宋体"/>
          <w:sz w:val="28"/>
          <w:szCs w:val="28"/>
          <w:highlight w:val="none"/>
        </w:rPr>
        <w:t>国内地方炼厂装置检修情况</w:t>
      </w:r>
    </w:p>
    <w:p>
      <w:pPr>
        <w:numPr>
          <w:ilvl w:val="0"/>
          <w:numId w:val="0"/>
        </w:numPr>
        <w:rPr>
          <w:rFonts w:hint="eastAsia" w:ascii="宋体" w:hAnsi="宋体"/>
          <w:sz w:val="28"/>
          <w:szCs w:val="28"/>
          <w:highlight w:val="none"/>
        </w:rPr>
      </w:pPr>
    </w:p>
    <w:tbl>
      <w:tblPr>
        <w:tblStyle w:val="24"/>
        <w:tblW w:w="9405" w:type="dxa"/>
        <w:tblInd w:w="0" w:type="dxa"/>
        <w:shd w:val="clear" w:color="auto" w:fill="auto"/>
        <w:tblLayout w:type="autofit"/>
        <w:tblCellMar>
          <w:top w:w="0" w:type="dxa"/>
          <w:left w:w="0" w:type="dxa"/>
          <w:bottom w:w="0" w:type="dxa"/>
          <w:right w:w="0" w:type="dxa"/>
        </w:tblCellMar>
      </w:tblPr>
      <w:tblGrid>
        <w:gridCol w:w="1515"/>
        <w:gridCol w:w="1455"/>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5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炼厂名称</w:t>
            </w: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开工时间</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日照岚桥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2019年9月初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万通石化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2019年9月12日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垦利石化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2019年10月5日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2019年10月下旬</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中海精细</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2020年4月1日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汇丰石化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奥星石化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2019年12月25日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2020年1月1日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恒源石化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垦利石化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神驰化工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万达天弘</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2020年3月下旬</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寿光联盟</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华星石化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1600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2020年3月15日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昌邑石化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1280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2020年3月13日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正和石化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2020年3月15日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滨阳燃化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910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玉皇化工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670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2020年3月初</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尚能石化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2020年3月8日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胜星化工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2020年3月12日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科力达石化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2020年2月底</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中海沥青</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2020年3月9日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无棣鑫岳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2020年2月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2020年3月9日</w:t>
            </w:r>
          </w:p>
        </w:tc>
      </w:tr>
      <w:tr>
        <w:tblPrEx>
          <w:tblCellMar>
            <w:top w:w="0" w:type="dxa"/>
            <w:left w:w="0" w:type="dxa"/>
            <w:bottom w:w="0" w:type="dxa"/>
            <w:right w:w="0" w:type="dxa"/>
          </w:tblCellMar>
        </w:tblPrEx>
        <w:trPr>
          <w:trHeight w:val="285" w:hRule="atLeast"/>
        </w:trPr>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华联石化</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全厂</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2020年3月下旬</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跌宕起伏，第六个工作日参考原油变化率为-2.71%。受此影响，国内成品油市场购销氛围清淡，各地主营单位汽柴油执行优惠政策。与此同时，山东地炼成品油行情先抑后扬，各炼厂实际成交保持100元/吨左右优惠。具体来看出货方面：虽然外盘油价涨跌频繁，但受消息面欧佩克减产协议利好提振，区内油市看涨气氛渐起，加上经过一段时间消化，社会单位库存有所减少，中下游商家陆续入市补货，因此地炼近期出货表现尚可，目前库存比普遍为汽高柴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若OPEC+就减产协议举办的会议结果乐观，油价有望重返30美元/桶的上方，反之将重新回落到25美元/桶的下方。以WTI为例，主流运行区间在22-30(均值26)美元/桶之间，环比上涨0.31美元/桶或1.2%。因此，山东地区成品油行情涨跌预期并存，地炼油价将根据原油走势大幅波动，建议中下游商家根据自身库存及出货情况量力而行。综上所述，预计山东地炼汽柴油价格将出现大幅波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(4月3日-4月9日)利好因素渐增，华中区内成品油行情逐步向好。具体分析如下，本周，国际原油受OPEC+能否实施减产因素影响宽幅震荡，均价较上周提升，本轮零售价或仍无缘调整，消息面总体向好发展。清明节当日原油收盘大涨，地炼应声宽幅推高，给予市场一定提振，虽然后期原油弱势回调，不过节后归来，终端存一定补货需求，部分主营趁机降价促销，或明涨暗稳以刺激销售，局部地区交投气氛提升明显。主营销售进展顺利，提价保利意向增加，区内汽柴油价格随着上涨，尤其柴油价格涨幅较大。下游备货到位陆续退市，购销气氛逐步转淡。后市而言，OPEC+能否达成减产协议成了左右国际原油近期走势的重中之重，消息面目前仍不明朗。不过据悉，目前部分主营已赶超销售进度，价格易涨难跌。预计后期若原油形势乐观，区内汽柴油价格或将维持强势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(4月3日-4月9日)，华南地区成品油行情止跌反弹，市场购销气氛略显清淡。具体来看，国际原油期货弱势震荡，变化率负向区间波动，消息方面难寻支撑。与此同时，山东地炼汽柴油价格震荡走高，主营单位外采成本上升。同时，基于上旬主营单位暂无销售压力，因此试探性推涨汽柴油价格，以刺激业者入市购进热情，其中柴油价格涨幅较大。然而，业者入市跟进有限，市场整体购销较为清淡。后市来看，国际原油期货不乏震荡走高可能，消息方面支撑尚可。与此同时，业者消库之余按需购进，主营单位出货平平。预计下周华南地区汽柴油行情或继续攀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(4月3日-4月9日)，华北地区主营汽柴油行情窄幅波动，市场成交气氛平淡。分析来看，周内国际原油宽幅震荡，消息面对市场指引有限。山东地炼汽柴油行情有所上涨，主营方面外采成本受此支撑。随着基建、工矿企业等全面复工，柴油需求量提升;而民众目前出行大多仍选择短距离，故汽油需求增长有限。区内主营成品油涨跌互现，但整体波动不大，个别单位积极出货，成交重心有所下移。下游业者心态受限，入市操作谨慎，消化库存为主。后市来看，国际原油方面密切关注OPEC+能否达成减产协议，故消息面指引暂不明朗，预计短期区内汽柴油行情偏强震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(4月3日-4月9日)，西南地区汽柴行情维持震荡走势，市场成交气氛平平。分析来看：周内国际油价跌后反弹，但成品油零售价停调之后，消息面对市场影响减弱。另外，工矿基建等行业复工增多，柴油需求逐步恢复;汽油方面，受清明小长假提振，下游消耗量亦有增加。不过，业者前期备货充足，周内仍消库存为主，市场成交难有明显改善。主营出货不畅，但销售成本居高不下，区内汽柴价格跌后反弹。其中，近期部分地区柴油资源趋紧，主营价格涨幅明显。就后市而言，OPEC+能否达成减产协议成了重中之重，若会议结果乐观，油价有望重返30美元/桶的上方，反之将重新回落到25美元/桶的下方，消息面对市场难有指引。不过，主营单位挺价意愿强烈，预计短线西南地区汽柴行情震荡上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(4月3日-4月9日)，西北地炼柴油行情走高，汽油行情维持平稳，市场成交氛围平淡。分析来看：周内国际油价跌后反弹，消息面对市场指引有限。延炼月初停产检修，市场供应减量。加之，目前工矿基建等行业开工率提升，物流运输愈加活跃，柴油需求面持续好转。销售公司保供为主，柴油价格有所推涨。汽油方面，虽然疫情缓解，私家车出行增多，但短途为主，汽油需求提升有限，成交价格保持稳定。业者操作心态谨慎，节后适量补货之后再度退市观望，市场成交难有改善。就后市而言，市场关注OPEC+能否达成减产协议，油价走势暂不明朗，市场观望气氛难消。业者消库之余按需采购，市场成交难见活跃。不过，延炼检影响，价格方面略有支撑。预计短线西北地炼汽柴行情淡稳运行。</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5590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7730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2020/4/2</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5013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5313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2020/4/9</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2020/4/2</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四、2019年12月份进出口统计数据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pPr w:leftFromText="180" w:rightFromText="180" w:vertAnchor="text" w:horzAnchor="page" w:tblpX="1305" w:tblpY="376"/>
        <w:tblOverlap w:val="never"/>
        <w:tblW w:w="9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415"/>
        <w:gridCol w:w="2415"/>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shd w:val="clear" w:color="auto" w:fill="00CCFF"/>
            <w:vAlign w:val="center"/>
          </w:tcPr>
          <w:p>
            <w:pPr>
              <w:rPr>
                <w:bCs/>
                <w:szCs w:val="21"/>
              </w:rPr>
            </w:pPr>
            <w:r>
              <w:rPr>
                <w:rFonts w:hint="eastAsia"/>
                <w:bCs/>
                <w:szCs w:val="21"/>
                <w:lang w:val="en-US" w:eastAsia="zh-CN"/>
              </w:rPr>
              <w:t>产销国</w:t>
            </w:r>
          </w:p>
        </w:tc>
        <w:tc>
          <w:tcPr>
            <w:tcW w:w="2415" w:type="dxa"/>
            <w:shd w:val="clear" w:color="auto" w:fill="00CCFF"/>
            <w:vAlign w:val="center"/>
          </w:tcPr>
          <w:p>
            <w:pPr>
              <w:rPr>
                <w:bCs/>
                <w:szCs w:val="21"/>
              </w:rPr>
            </w:pPr>
            <w:r>
              <w:rPr>
                <w:rFonts w:hint="eastAsia"/>
                <w:bCs/>
                <w:szCs w:val="21"/>
                <w:lang w:val="en-US" w:eastAsia="zh-CN"/>
              </w:rPr>
              <w:t>出口数量</w:t>
            </w:r>
          </w:p>
        </w:tc>
        <w:tc>
          <w:tcPr>
            <w:tcW w:w="2415" w:type="dxa"/>
            <w:shd w:val="clear" w:color="auto" w:fill="00CCFF"/>
            <w:vAlign w:val="center"/>
          </w:tcPr>
          <w:p>
            <w:pPr>
              <w:rPr>
                <w:bCs/>
                <w:szCs w:val="21"/>
              </w:rPr>
            </w:pPr>
            <w:r>
              <w:rPr>
                <w:rFonts w:hint="eastAsia"/>
                <w:bCs/>
                <w:szCs w:val="21"/>
                <w:lang w:val="en-US" w:eastAsia="zh-CN"/>
              </w:rPr>
              <w:t>出口美元</w:t>
            </w:r>
          </w:p>
        </w:tc>
        <w:tc>
          <w:tcPr>
            <w:tcW w:w="2640" w:type="dxa"/>
            <w:shd w:val="clear" w:color="auto" w:fill="00CCFF"/>
            <w:vAlign w:val="center"/>
          </w:tcPr>
          <w:p>
            <w:pPr>
              <w:rPr>
                <w:bCs/>
                <w:szCs w:val="21"/>
              </w:rPr>
            </w:pPr>
            <w:r>
              <w:rPr>
                <w:rFonts w:hint="eastAsia"/>
                <w:bCs/>
                <w:szCs w:val="21"/>
                <w:lang w:val="en-US" w:eastAsia="zh-CN"/>
              </w:rPr>
              <w:t>出口均价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rPr>
                <w:bCs/>
                <w:szCs w:val="21"/>
              </w:rPr>
            </w:pPr>
            <w:r>
              <w:rPr>
                <w:rFonts w:hint="default"/>
                <w:bCs/>
                <w:szCs w:val="21"/>
                <w:lang w:val="en-US" w:eastAsia="zh-CN"/>
              </w:rPr>
              <w:t>澳大利亚</w:t>
            </w:r>
          </w:p>
        </w:tc>
        <w:tc>
          <w:tcPr>
            <w:tcW w:w="2415" w:type="dxa"/>
            <w:vAlign w:val="center"/>
          </w:tcPr>
          <w:p>
            <w:pPr>
              <w:rPr>
                <w:bCs/>
                <w:szCs w:val="21"/>
              </w:rPr>
            </w:pPr>
            <w:r>
              <w:rPr>
                <w:rFonts w:hint="default"/>
                <w:bCs/>
                <w:szCs w:val="21"/>
                <w:lang w:val="en-US" w:eastAsia="zh-CN"/>
              </w:rPr>
              <w:t>35065.127</w:t>
            </w:r>
          </w:p>
        </w:tc>
        <w:tc>
          <w:tcPr>
            <w:tcW w:w="2415" w:type="dxa"/>
            <w:vAlign w:val="center"/>
          </w:tcPr>
          <w:p>
            <w:pPr>
              <w:rPr>
                <w:bCs/>
                <w:szCs w:val="21"/>
              </w:rPr>
            </w:pPr>
            <w:r>
              <w:rPr>
                <w:rFonts w:hint="default"/>
                <w:bCs/>
                <w:szCs w:val="21"/>
                <w:lang w:val="en-US" w:eastAsia="zh-CN"/>
              </w:rPr>
              <w:t>21318750</w:t>
            </w:r>
          </w:p>
        </w:tc>
        <w:tc>
          <w:tcPr>
            <w:tcW w:w="2640" w:type="dxa"/>
            <w:vAlign w:val="center"/>
          </w:tcPr>
          <w:p>
            <w:pPr>
              <w:rPr>
                <w:bCs/>
                <w:szCs w:val="21"/>
              </w:rPr>
            </w:pPr>
            <w:r>
              <w:rPr>
                <w:rFonts w:hint="default"/>
                <w:bCs/>
                <w:szCs w:val="21"/>
                <w:lang w:val="en-US" w:eastAsia="zh-CN"/>
              </w:rPr>
              <w:t>607.98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澳门</w:t>
            </w:r>
          </w:p>
        </w:tc>
        <w:tc>
          <w:tcPr>
            <w:tcW w:w="2415" w:type="dxa"/>
            <w:vAlign w:val="center"/>
          </w:tcPr>
          <w:p>
            <w:pPr>
              <w:rPr>
                <w:bCs/>
                <w:szCs w:val="21"/>
              </w:rPr>
            </w:pPr>
            <w:r>
              <w:rPr>
                <w:rFonts w:hint="default"/>
                <w:bCs/>
                <w:szCs w:val="21"/>
                <w:lang w:val="en-US" w:eastAsia="zh-CN"/>
              </w:rPr>
              <w:t>6553.082</w:t>
            </w:r>
          </w:p>
        </w:tc>
        <w:tc>
          <w:tcPr>
            <w:tcW w:w="2415" w:type="dxa"/>
            <w:vAlign w:val="center"/>
          </w:tcPr>
          <w:p>
            <w:pPr>
              <w:rPr>
                <w:bCs/>
                <w:szCs w:val="21"/>
              </w:rPr>
            </w:pPr>
            <w:r>
              <w:rPr>
                <w:rFonts w:hint="default"/>
                <w:bCs/>
                <w:szCs w:val="21"/>
                <w:lang w:val="en-US" w:eastAsia="zh-CN"/>
              </w:rPr>
              <w:t>4193972</w:t>
            </w:r>
          </w:p>
        </w:tc>
        <w:tc>
          <w:tcPr>
            <w:tcW w:w="2640" w:type="dxa"/>
            <w:vAlign w:val="center"/>
          </w:tcPr>
          <w:p>
            <w:pPr>
              <w:rPr>
                <w:bCs/>
                <w:szCs w:val="21"/>
              </w:rPr>
            </w:pPr>
            <w:r>
              <w:rPr>
                <w:rFonts w:hint="default"/>
                <w:bCs/>
                <w:szCs w:val="21"/>
                <w:lang w:val="en-US" w:eastAsia="zh-CN"/>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rPr>
                <w:bCs/>
                <w:szCs w:val="21"/>
              </w:rPr>
            </w:pPr>
            <w:r>
              <w:rPr>
                <w:rFonts w:hint="default"/>
                <w:bCs/>
                <w:szCs w:val="21"/>
                <w:lang w:val="en-US" w:eastAsia="zh-CN"/>
              </w:rPr>
              <w:t>菲律宾</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rPr>
                <w:bCs/>
                <w:szCs w:val="21"/>
              </w:rPr>
            </w:pPr>
            <w:r>
              <w:rPr>
                <w:rFonts w:hint="default"/>
                <w:bCs/>
                <w:szCs w:val="21"/>
                <w:lang w:val="en-US" w:eastAsia="zh-CN"/>
              </w:rPr>
              <w:t>韩国</w:t>
            </w:r>
          </w:p>
        </w:tc>
        <w:tc>
          <w:tcPr>
            <w:tcW w:w="2415" w:type="dxa"/>
            <w:vAlign w:val="center"/>
          </w:tcPr>
          <w:p>
            <w:pPr>
              <w:rPr>
                <w:bCs/>
                <w:szCs w:val="21"/>
              </w:rPr>
            </w:pPr>
            <w:r>
              <w:rPr>
                <w:rFonts w:hint="default"/>
                <w:bCs/>
                <w:szCs w:val="21"/>
                <w:lang w:val="en-US" w:eastAsia="zh-CN"/>
              </w:rPr>
              <w:t>29932.458</w:t>
            </w:r>
          </w:p>
        </w:tc>
        <w:tc>
          <w:tcPr>
            <w:tcW w:w="2415" w:type="dxa"/>
            <w:vAlign w:val="center"/>
          </w:tcPr>
          <w:p>
            <w:pPr>
              <w:rPr>
                <w:bCs/>
                <w:szCs w:val="21"/>
              </w:rPr>
            </w:pPr>
            <w:r>
              <w:rPr>
                <w:rFonts w:hint="default"/>
                <w:bCs/>
                <w:szCs w:val="21"/>
                <w:lang w:val="en-US" w:eastAsia="zh-CN"/>
              </w:rPr>
              <w:t>16746119</w:t>
            </w:r>
          </w:p>
        </w:tc>
        <w:tc>
          <w:tcPr>
            <w:tcW w:w="2640" w:type="dxa"/>
            <w:vAlign w:val="center"/>
          </w:tcPr>
          <w:p>
            <w:pPr>
              <w:rPr>
                <w:bCs/>
                <w:szCs w:val="21"/>
              </w:rPr>
            </w:pPr>
            <w:r>
              <w:rPr>
                <w:rFonts w:hint="default"/>
                <w:bCs/>
                <w:szCs w:val="21"/>
                <w:lang w:val="en-US" w:eastAsia="zh-CN"/>
              </w:rPr>
              <w:t>559.46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马来西亚</w:t>
            </w:r>
          </w:p>
        </w:tc>
        <w:tc>
          <w:tcPr>
            <w:tcW w:w="2415" w:type="dxa"/>
            <w:vAlign w:val="center"/>
          </w:tcPr>
          <w:p>
            <w:pPr>
              <w:rPr>
                <w:bCs/>
                <w:szCs w:val="21"/>
              </w:rPr>
            </w:pPr>
            <w:r>
              <w:rPr>
                <w:rFonts w:hint="default"/>
                <w:bCs/>
                <w:szCs w:val="21"/>
                <w:lang w:val="en-US" w:eastAsia="zh-CN"/>
              </w:rPr>
              <w:t>267948.487</w:t>
            </w:r>
          </w:p>
        </w:tc>
        <w:tc>
          <w:tcPr>
            <w:tcW w:w="2415" w:type="dxa"/>
            <w:vAlign w:val="center"/>
          </w:tcPr>
          <w:p>
            <w:pPr>
              <w:rPr>
                <w:bCs/>
                <w:szCs w:val="21"/>
              </w:rPr>
            </w:pPr>
            <w:r>
              <w:rPr>
                <w:rFonts w:hint="default"/>
                <w:bCs/>
                <w:szCs w:val="21"/>
                <w:lang w:val="en-US" w:eastAsia="zh-CN"/>
              </w:rPr>
              <w:t>155514099</w:t>
            </w:r>
          </w:p>
        </w:tc>
        <w:tc>
          <w:tcPr>
            <w:tcW w:w="2640" w:type="dxa"/>
            <w:vAlign w:val="center"/>
          </w:tcPr>
          <w:p>
            <w:pPr>
              <w:rPr>
                <w:bCs/>
                <w:szCs w:val="21"/>
              </w:rPr>
            </w:pPr>
            <w:r>
              <w:rPr>
                <w:rFonts w:hint="default"/>
                <w:bCs/>
                <w:szCs w:val="21"/>
                <w:lang w:val="en-US" w:eastAsia="zh-CN"/>
              </w:rPr>
              <w:t>580.39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蒙古</w:t>
            </w:r>
          </w:p>
        </w:tc>
        <w:tc>
          <w:tcPr>
            <w:tcW w:w="2415" w:type="dxa"/>
            <w:vAlign w:val="center"/>
          </w:tcPr>
          <w:p>
            <w:pPr>
              <w:rPr>
                <w:bCs/>
                <w:szCs w:val="21"/>
              </w:rPr>
            </w:pPr>
            <w:r>
              <w:rPr>
                <w:rFonts w:hint="default"/>
                <w:bCs/>
                <w:szCs w:val="21"/>
                <w:lang w:val="en-US" w:eastAsia="zh-CN"/>
              </w:rPr>
              <w:t>9829.859</w:t>
            </w:r>
          </w:p>
        </w:tc>
        <w:tc>
          <w:tcPr>
            <w:tcW w:w="2415" w:type="dxa"/>
            <w:vAlign w:val="center"/>
          </w:tcPr>
          <w:p>
            <w:pPr>
              <w:rPr>
                <w:bCs/>
                <w:szCs w:val="21"/>
              </w:rPr>
            </w:pPr>
            <w:r>
              <w:rPr>
                <w:rFonts w:hint="default"/>
                <w:bCs/>
                <w:szCs w:val="21"/>
                <w:lang w:val="en-US" w:eastAsia="zh-CN"/>
              </w:rPr>
              <w:t>5972593</w:t>
            </w:r>
          </w:p>
        </w:tc>
        <w:tc>
          <w:tcPr>
            <w:tcW w:w="2640" w:type="dxa"/>
            <w:vAlign w:val="center"/>
          </w:tcPr>
          <w:p>
            <w:pPr>
              <w:rPr>
                <w:bCs/>
                <w:szCs w:val="21"/>
              </w:rPr>
            </w:pPr>
            <w:r>
              <w:rPr>
                <w:rFonts w:hint="default"/>
                <w:bCs/>
                <w:szCs w:val="21"/>
                <w:lang w:val="en-US" w:eastAsia="zh-CN"/>
              </w:rPr>
              <w:t>607.6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缅甸</w:t>
            </w:r>
          </w:p>
        </w:tc>
        <w:tc>
          <w:tcPr>
            <w:tcW w:w="2415" w:type="dxa"/>
            <w:vAlign w:val="center"/>
          </w:tcPr>
          <w:p>
            <w:pPr>
              <w:rPr>
                <w:bCs/>
                <w:szCs w:val="21"/>
              </w:rPr>
            </w:pPr>
            <w:r>
              <w:rPr>
                <w:rFonts w:hint="default"/>
                <w:bCs/>
                <w:szCs w:val="21"/>
                <w:lang w:val="en-US" w:eastAsia="zh-CN"/>
              </w:rPr>
              <w:t>8449.862</w:t>
            </w:r>
          </w:p>
        </w:tc>
        <w:tc>
          <w:tcPr>
            <w:tcW w:w="2415" w:type="dxa"/>
            <w:vAlign w:val="center"/>
          </w:tcPr>
          <w:p>
            <w:pPr>
              <w:rPr>
                <w:bCs/>
                <w:szCs w:val="21"/>
              </w:rPr>
            </w:pPr>
            <w:r>
              <w:rPr>
                <w:rFonts w:hint="default"/>
                <w:bCs/>
                <w:szCs w:val="21"/>
                <w:lang w:val="en-US" w:eastAsia="zh-CN"/>
              </w:rPr>
              <w:t>5420356</w:t>
            </w:r>
          </w:p>
        </w:tc>
        <w:tc>
          <w:tcPr>
            <w:tcW w:w="2640" w:type="dxa"/>
            <w:vAlign w:val="center"/>
          </w:tcPr>
          <w:p>
            <w:pPr>
              <w:rPr>
                <w:bCs/>
                <w:szCs w:val="21"/>
              </w:rPr>
            </w:pPr>
            <w:r>
              <w:rPr>
                <w:rFonts w:hint="default"/>
                <w:bCs/>
                <w:szCs w:val="21"/>
                <w:lang w:val="en-US" w:eastAsia="zh-CN"/>
              </w:rPr>
              <w:t>641.47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墨西哥</w:t>
            </w:r>
          </w:p>
        </w:tc>
        <w:tc>
          <w:tcPr>
            <w:tcW w:w="2415" w:type="dxa"/>
            <w:vAlign w:val="center"/>
          </w:tcPr>
          <w:p>
            <w:pPr>
              <w:rPr>
                <w:bCs/>
                <w:szCs w:val="21"/>
              </w:rPr>
            </w:pPr>
            <w:r>
              <w:rPr>
                <w:rFonts w:hint="default"/>
                <w:bCs/>
                <w:szCs w:val="21"/>
                <w:lang w:val="en-US" w:eastAsia="zh-CN"/>
              </w:rPr>
              <w:t>33426.8</w:t>
            </w:r>
          </w:p>
        </w:tc>
        <w:tc>
          <w:tcPr>
            <w:tcW w:w="2415" w:type="dxa"/>
            <w:vAlign w:val="center"/>
          </w:tcPr>
          <w:p>
            <w:pPr>
              <w:rPr>
                <w:bCs/>
                <w:szCs w:val="21"/>
              </w:rPr>
            </w:pPr>
            <w:r>
              <w:rPr>
                <w:rFonts w:hint="default"/>
                <w:bCs/>
                <w:szCs w:val="21"/>
                <w:lang w:val="en-US" w:eastAsia="zh-CN"/>
              </w:rPr>
              <w:t>20632211</w:t>
            </w:r>
          </w:p>
        </w:tc>
        <w:tc>
          <w:tcPr>
            <w:tcW w:w="2640" w:type="dxa"/>
            <w:vAlign w:val="center"/>
          </w:tcPr>
          <w:p>
            <w:pPr>
              <w:rPr>
                <w:bCs/>
                <w:szCs w:val="21"/>
              </w:rPr>
            </w:pPr>
            <w:r>
              <w:rPr>
                <w:rFonts w:hint="default"/>
                <w:bCs/>
                <w:szCs w:val="21"/>
                <w:lang w:val="en-US" w:eastAsia="zh-CN"/>
              </w:rPr>
              <w:t>617.24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0" w:type="dxa"/>
            <w:vAlign w:val="center"/>
          </w:tcPr>
          <w:p>
            <w:pPr>
              <w:rPr>
                <w:bCs/>
                <w:szCs w:val="21"/>
              </w:rPr>
            </w:pPr>
            <w:r>
              <w:rPr>
                <w:rFonts w:hint="default"/>
                <w:bCs/>
                <w:szCs w:val="21"/>
                <w:lang w:val="en-US" w:eastAsia="zh-CN"/>
              </w:rPr>
              <w:t>日本</w:t>
            </w:r>
          </w:p>
        </w:tc>
        <w:tc>
          <w:tcPr>
            <w:tcW w:w="2415" w:type="dxa"/>
            <w:vAlign w:val="center"/>
          </w:tcPr>
          <w:p>
            <w:pPr>
              <w:rPr>
                <w:bCs/>
                <w:szCs w:val="21"/>
              </w:rPr>
            </w:pPr>
            <w:r>
              <w:rPr>
                <w:rFonts w:hint="default"/>
                <w:bCs/>
                <w:szCs w:val="21"/>
                <w:lang w:val="en-US" w:eastAsia="zh-CN"/>
              </w:rPr>
              <w:t>35000</w:t>
            </w:r>
          </w:p>
        </w:tc>
        <w:tc>
          <w:tcPr>
            <w:tcW w:w="2415" w:type="dxa"/>
            <w:vAlign w:val="center"/>
          </w:tcPr>
          <w:p>
            <w:pPr>
              <w:rPr>
                <w:bCs/>
                <w:szCs w:val="21"/>
              </w:rPr>
            </w:pPr>
            <w:r>
              <w:rPr>
                <w:rFonts w:hint="default"/>
                <w:bCs/>
                <w:szCs w:val="21"/>
                <w:lang w:val="en-US" w:eastAsia="zh-CN"/>
              </w:rPr>
              <w:t>23100000</w:t>
            </w:r>
          </w:p>
        </w:tc>
        <w:tc>
          <w:tcPr>
            <w:tcW w:w="2640" w:type="dxa"/>
            <w:vAlign w:val="center"/>
          </w:tcPr>
          <w:p>
            <w:pPr>
              <w:rPr>
                <w:bCs/>
                <w:szCs w:val="21"/>
              </w:rPr>
            </w:pPr>
            <w:r>
              <w:rPr>
                <w:rFonts w:hint="default"/>
                <w:bCs/>
                <w:szCs w:val="21"/>
                <w:lang w:val="en-US" w:eastAsia="zh-CN"/>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0" w:type="dxa"/>
            <w:vAlign w:val="center"/>
          </w:tcPr>
          <w:p>
            <w:pPr>
              <w:rPr>
                <w:bCs/>
                <w:szCs w:val="21"/>
              </w:rPr>
            </w:pPr>
            <w:r>
              <w:rPr>
                <w:rFonts w:hint="default"/>
                <w:bCs/>
                <w:szCs w:val="21"/>
                <w:lang w:val="en-US" w:eastAsia="zh-CN"/>
              </w:rPr>
              <w:t>斯里兰卡</w:t>
            </w:r>
          </w:p>
        </w:tc>
        <w:tc>
          <w:tcPr>
            <w:tcW w:w="2415" w:type="dxa"/>
            <w:vAlign w:val="center"/>
          </w:tcPr>
          <w:p>
            <w:pPr>
              <w:rPr>
                <w:bCs/>
                <w:szCs w:val="21"/>
              </w:rPr>
            </w:pPr>
            <w:r>
              <w:rPr>
                <w:rFonts w:hint="default"/>
                <w:bCs/>
                <w:szCs w:val="21"/>
                <w:lang w:val="en-US" w:eastAsia="zh-CN"/>
              </w:rPr>
              <w:t>68350.1</w:t>
            </w:r>
          </w:p>
        </w:tc>
        <w:tc>
          <w:tcPr>
            <w:tcW w:w="2415" w:type="dxa"/>
            <w:vAlign w:val="center"/>
          </w:tcPr>
          <w:p>
            <w:pPr>
              <w:rPr>
                <w:bCs/>
                <w:szCs w:val="21"/>
              </w:rPr>
            </w:pPr>
            <w:r>
              <w:rPr>
                <w:rFonts w:hint="default"/>
                <w:bCs/>
                <w:szCs w:val="21"/>
                <w:lang w:val="en-US" w:eastAsia="zh-CN"/>
              </w:rPr>
              <w:t>36179040</w:t>
            </w:r>
          </w:p>
        </w:tc>
        <w:tc>
          <w:tcPr>
            <w:tcW w:w="2640" w:type="dxa"/>
            <w:vAlign w:val="center"/>
          </w:tcPr>
          <w:p>
            <w:pPr>
              <w:rPr>
                <w:bCs/>
                <w:szCs w:val="21"/>
              </w:rPr>
            </w:pPr>
            <w:r>
              <w:rPr>
                <w:rFonts w:hint="default"/>
                <w:bCs/>
                <w:szCs w:val="21"/>
                <w:lang w:val="en-US" w:eastAsia="zh-CN"/>
              </w:rPr>
              <w:t>529.32</w:t>
            </w:r>
          </w:p>
        </w:tc>
      </w:tr>
    </w:tbl>
    <w:p>
      <w:pPr>
        <w:rPr>
          <w:rFonts w:hint="eastAsia"/>
        </w:rPr>
      </w:pPr>
      <w:bookmarkStart w:id="18" w:name="_Toc533771876"/>
      <w:bookmarkStart w:id="22" w:name="_GoBack"/>
      <w:bookmarkEnd w:id="22"/>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shd w:val="clear" w:color="auto" w:fill="00CCFF"/>
            <w:vAlign w:val="center"/>
          </w:tcPr>
          <w:p>
            <w:pPr>
              <w:keepNext w:val="0"/>
              <w:keepLines w:val="0"/>
              <w:widowControl/>
              <w:suppressLineNumbers w:val="0"/>
              <w:jc w:val="both"/>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882" w:type="dxa"/>
            <w:shd w:val="clear" w:color="auto" w:fill="00CCFF"/>
            <w:vAlign w:val="center"/>
          </w:tcPr>
          <w:p>
            <w:pPr>
              <w:keepNext w:val="0"/>
              <w:keepLines w:val="0"/>
              <w:widowControl/>
              <w:suppressLineNumbers w:val="0"/>
              <w:jc w:val="both"/>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882" w:type="dxa"/>
            <w:vAlign w:val="center"/>
          </w:tcPr>
          <w:p>
            <w:pPr>
              <w:keepNext w:val="0"/>
              <w:keepLines w:val="0"/>
              <w:widowControl/>
              <w:suppressLineNumbers w:val="0"/>
              <w:jc w:val="both"/>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867" w:type="dxa"/>
        <w:tblInd w:w="0" w:type="dxa"/>
        <w:shd w:val="clear" w:color="auto" w:fill="auto"/>
        <w:tblLayout w:type="fixed"/>
        <w:tblCellMar>
          <w:top w:w="0" w:type="dxa"/>
          <w:left w:w="0" w:type="dxa"/>
          <w:bottom w:w="0" w:type="dxa"/>
          <w:right w:w="0" w:type="dxa"/>
        </w:tblCellMar>
      </w:tblPr>
      <w:tblGrid>
        <w:gridCol w:w="2652"/>
        <w:gridCol w:w="1710"/>
        <w:gridCol w:w="1710"/>
        <w:gridCol w:w="1905"/>
        <w:gridCol w:w="1890"/>
      </w:tblGrid>
      <w:tr>
        <w:tblPrEx>
          <w:shd w:val="clear" w:color="auto" w:fill="auto"/>
          <w:tblCellMar>
            <w:top w:w="0" w:type="dxa"/>
            <w:left w:w="0" w:type="dxa"/>
            <w:bottom w:w="0" w:type="dxa"/>
            <w:right w:w="0" w:type="dxa"/>
          </w:tblCellMar>
        </w:tblPrEx>
        <w:trPr>
          <w:trHeight w:val="510" w:hRule="atLeast"/>
        </w:trPr>
        <w:tc>
          <w:tcPr>
            <w:tcW w:w="2652"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产销国</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进口数量</w:t>
            </w:r>
            <w:r>
              <w:rPr>
                <w:rFonts w:hint="default"/>
                <w:bCs/>
                <w:szCs w:val="21"/>
                <w:lang w:val="en-US" w:eastAsia="zh-CN"/>
              </w:rPr>
              <w:t>/</w:t>
            </w:r>
            <w:r>
              <w:rPr>
                <w:rFonts w:hint="eastAsia"/>
                <w:bCs/>
                <w:szCs w:val="21"/>
                <w:lang w:val="en-US" w:eastAsia="zh-CN"/>
              </w:rPr>
              <w:t>吨</w:t>
            </w:r>
          </w:p>
        </w:tc>
        <w:tc>
          <w:tcPr>
            <w:tcW w:w="171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进口金额</w:t>
            </w:r>
            <w:r>
              <w:rPr>
                <w:rFonts w:hint="default"/>
                <w:bCs/>
                <w:szCs w:val="21"/>
                <w:lang w:val="en-US" w:eastAsia="zh-CN"/>
              </w:rPr>
              <w:t>/</w:t>
            </w:r>
            <w:r>
              <w:rPr>
                <w:rFonts w:hint="eastAsia"/>
                <w:bCs/>
                <w:szCs w:val="21"/>
                <w:lang w:val="en-US" w:eastAsia="zh-CN"/>
              </w:rPr>
              <w:t>美元</w:t>
            </w:r>
          </w:p>
        </w:tc>
        <w:tc>
          <w:tcPr>
            <w:tcW w:w="190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出口数量</w:t>
            </w:r>
            <w:r>
              <w:rPr>
                <w:rFonts w:hint="default"/>
                <w:bCs/>
                <w:szCs w:val="21"/>
                <w:lang w:val="en-US" w:eastAsia="zh-CN"/>
              </w:rPr>
              <w:t>/</w:t>
            </w:r>
            <w:r>
              <w:rPr>
                <w:rFonts w:hint="eastAsia"/>
                <w:bCs/>
                <w:szCs w:val="21"/>
                <w:lang w:val="en-US" w:eastAsia="zh-CN"/>
              </w:rPr>
              <w:t>吨</w:t>
            </w:r>
          </w:p>
        </w:tc>
        <w:tc>
          <w:tcPr>
            <w:tcW w:w="189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bottom"/>
          </w:tcPr>
          <w:p>
            <w:pPr>
              <w:rPr>
                <w:rFonts w:hint="eastAsia"/>
                <w:bCs/>
                <w:szCs w:val="21"/>
              </w:rPr>
            </w:pPr>
            <w:r>
              <w:rPr>
                <w:rFonts w:hint="eastAsia"/>
                <w:bCs/>
                <w:szCs w:val="21"/>
                <w:lang w:val="en-US" w:eastAsia="zh-CN"/>
              </w:rPr>
              <w:t>出口金额</w:t>
            </w:r>
            <w:r>
              <w:rPr>
                <w:rFonts w:hint="default"/>
                <w:bCs/>
                <w:szCs w:val="21"/>
                <w:lang w:val="en-US" w:eastAsia="zh-CN"/>
              </w:rPr>
              <w:t>/</w:t>
            </w:r>
            <w:r>
              <w:rPr>
                <w:rFonts w:hint="eastAsia"/>
                <w:bCs/>
                <w:szCs w:val="21"/>
                <w:lang w:val="en-US" w:eastAsia="zh-CN"/>
              </w:rPr>
              <w:t>美元</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印度尼西亚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35234.63</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35.23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404716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404.72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伊拉克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4714096.36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4714.1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科威特</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2120465.52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2120.47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马来西亚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953093.39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953.09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蒙古</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77782.26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77.78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阿曼</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4157725.34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4157.73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卡塔尔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70022.1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70.02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沙特阿拉伯</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6991258.87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6991.26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泰国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75880.46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75.88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阿联酋</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1582454.56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1582.45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也门</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270730.91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270.73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越南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65572.91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65.57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哈萨克斯坦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295.09</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安哥拉</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4744611.42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4744.61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喀麦隆</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127624.9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127.62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乍得</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192502.86</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192.5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70"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刚果</w:t>
            </w:r>
            <w:r>
              <w:rPr>
                <w:rFonts w:hint="default"/>
                <w:bCs/>
                <w:szCs w:val="21"/>
                <w:lang w:val="en-US" w:eastAsia="zh-CN"/>
              </w:rPr>
              <w:t>(</w:t>
            </w:r>
            <w:r>
              <w:rPr>
                <w:rFonts w:hint="eastAsia"/>
                <w:bCs/>
                <w:szCs w:val="21"/>
                <w:lang w:val="en-US" w:eastAsia="zh-CN"/>
              </w:rPr>
              <w:t>布</w:t>
            </w:r>
            <w:r>
              <w:rPr>
                <w:rFonts w:hint="default"/>
                <w:bCs/>
                <w:szCs w:val="21"/>
                <w:lang w:val="en-US" w:eastAsia="zh-CN"/>
              </w:rPr>
              <w:t>)</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1314270.58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1314.27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赤道几内亚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185069.92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185.07</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加蓬</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344.56</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加纳</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258978.65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258.98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利比亚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1317949.94</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1317.95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尼日利亚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270.65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49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南苏丹共和国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249510.59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249.51</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英国</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1042440.07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1042.44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阿尔巴尼亚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0.01</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挪威</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298.65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俄罗斯联邦</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7362320.82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7362.32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巴西</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3093433.62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3093.43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哥伦比亚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1674776.27</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1674.78</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厄瓜多尔</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592849.29</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592.85</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0</w:t>
            </w: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墨西哥</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65400.25</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65.4</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加拿大</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301133.58</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301.13</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r>
        <w:tblPrEx>
          <w:tblCellMar>
            <w:top w:w="0" w:type="dxa"/>
            <w:left w:w="0" w:type="dxa"/>
            <w:bottom w:w="0" w:type="dxa"/>
            <w:right w:w="0" w:type="dxa"/>
          </w:tblCellMar>
        </w:tblPrEx>
        <w:trPr>
          <w:trHeight w:val="255" w:hRule="atLeast"/>
        </w:trPr>
        <w:tc>
          <w:tcPr>
            <w:tcW w:w="2652"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澳大利亚</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232115.32</w:t>
            </w:r>
          </w:p>
        </w:tc>
        <w:tc>
          <w:tcPr>
            <w:tcW w:w="171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r>
              <w:rPr>
                <w:rFonts w:hint="eastAsia"/>
                <w:bCs/>
                <w:szCs w:val="21"/>
                <w:lang w:val="en-US" w:eastAsia="zh-CN"/>
              </w:rPr>
              <w:t>232.12</w:t>
            </w:r>
          </w:p>
        </w:tc>
        <w:tc>
          <w:tcPr>
            <w:tcW w:w="1905"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c>
          <w:tcPr>
            <w:tcW w:w="1890" w:type="dxa"/>
            <w:tcBorders>
              <w:top w:val="nil"/>
              <w:left w:val="nil"/>
              <w:bottom w:val="single" w:color="333333" w:sz="8" w:space="0"/>
              <w:right w:val="single" w:color="333333" w:sz="8" w:space="0"/>
            </w:tcBorders>
            <w:shd w:val="clear" w:color="auto" w:fill="FFFFFF"/>
            <w:tcMar>
              <w:top w:w="15" w:type="dxa"/>
              <w:left w:w="15" w:type="dxa"/>
              <w:right w:w="15" w:type="dxa"/>
            </w:tcMar>
            <w:vAlign w:val="bottom"/>
          </w:tcPr>
          <w:p>
            <w:pPr>
              <w:rPr>
                <w:rFonts w:hint="eastAsia"/>
                <w:bCs/>
                <w:szCs w:val="21"/>
              </w:rPr>
            </w:pPr>
          </w:p>
        </w:tc>
      </w:tr>
    </w:tbl>
    <w:p>
      <w:pPr>
        <w:rPr>
          <w:rFonts w:hint="eastAsia"/>
          <w:bCs/>
          <w:szCs w:val="21"/>
        </w:rPr>
      </w:pPr>
    </w:p>
    <w:p>
      <w:pPr>
        <w:rPr>
          <w:rFonts w:hint="eastAsia"/>
          <w:bCs/>
          <w:szCs w:val="21"/>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w:t>
      </w:r>
      <w:r>
        <w:rPr>
          <w:rFonts w:hint="eastAsia" w:ascii="宋体" w:hAnsi="宋体"/>
          <w:b/>
          <w:sz w:val="30"/>
          <w:szCs w:val="30"/>
          <w:lang w:val="en-US" w:eastAsia="zh-CN"/>
        </w:rPr>
        <w:t>9</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产销国</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进口美元</w:t>
            </w:r>
          </w:p>
        </w:tc>
        <w:tc>
          <w:tcPr>
            <w:tcW w:w="154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出口数量</w:t>
            </w:r>
          </w:p>
        </w:tc>
        <w:tc>
          <w:tcPr>
            <w:tcW w:w="1688" w:type="dxa"/>
            <w:shd w:val="clear" w:color="auto" w:fill="00CCFF"/>
            <w:vAlign w:val="top"/>
          </w:tcPr>
          <w:p>
            <w:pPr>
              <w:keepNext w:val="0"/>
              <w:keepLines w:val="0"/>
              <w:widowControl/>
              <w:suppressLineNumbers w:val="0"/>
              <w:jc w:val="both"/>
              <w:textAlignment w:val="top"/>
              <w:rPr>
                <w:rFonts w:ascii="宋体" w:hAnsi="宋体" w:cs="宋体"/>
                <w:b/>
                <w:bCs/>
                <w:szCs w:val="21"/>
              </w:rPr>
            </w:pPr>
            <w:r>
              <w:rPr>
                <w:rFonts w:hint="default" w:ascii="Times New Roman" w:hAnsi="Times New Roman" w:eastAsia="宋体" w:cs="Times New Roman"/>
                <w:b/>
                <w:i w:val="0"/>
                <w:color w:val="000000"/>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不丹</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15.295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11818.00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文莱</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29252.589</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17776051.00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94.928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67480.00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缅甸</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166.922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121853.00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柬埔寨</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1215.541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853660.00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朝鲜</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360.424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255415.00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香港</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535195.602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321995603.00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3802.265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2492505.00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印度尼西亚</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6472.757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4412418.00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2884.594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2017955.00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伊拉克</w:t>
            </w:r>
          </w:p>
        </w:tc>
        <w:tc>
          <w:tcPr>
            <w:tcW w:w="1548" w:type="dxa"/>
            <w:vAlign w:val="center"/>
          </w:tcPr>
          <w:p>
            <w:pPr>
              <w:keepNext w:val="0"/>
              <w:keepLines w:val="0"/>
              <w:widowControl/>
              <w:suppressLineNumbers w:val="0"/>
              <w:jc w:val="righ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0</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238.574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183641.00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以色列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1051.223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745277.00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日本</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69942.845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44525111.00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老挝</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2036.002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1289026.00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澳门</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27122.822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16905272.00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马来西亚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11520.559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7913423.00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马尔代夫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66.681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49974.00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蒙古</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7795.276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4821842.00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巴基斯坦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966.740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686378.00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菲律宾</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56803.617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29819115.00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卡塔尔</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15067.264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10587938.00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沙特阿拉伯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1512.057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943784.00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新加坡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25894.823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16128240.00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83418.606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53871600.00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韩国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297395.642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182117302.00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167407.149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103145743.00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斯里兰卡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4577.075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3078538.00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泰国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19214.610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13739105.00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土耳其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16478.676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11486368.00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阿联酋</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39079.369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27277006.00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越南</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137591.125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77774569.00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3216.613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2266301.00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哈萨克斯坦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635.710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467785.00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土库曼斯坦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9.606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乌兹别克斯坦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744.983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533538.00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埃及</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14124.392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8626036.00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埃塞俄比亚</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11768.391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8172930.00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毛里求斯</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1153.918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812446.00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比利时</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4371.402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3116088.00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英国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124237.946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81572629.00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德国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36068.225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25220334.00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法国</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18782.916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13162118.00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卢森堡</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21769.405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15971283.00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荷兰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110821.616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70648429.00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西班牙</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1840.339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1294113.00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奥地利</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4472.473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3117626.00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芬兰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6280.878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4446283.00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冰岛</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3.134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2256.00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波兰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1235.972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877800.00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瑞典</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6836.822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4832562.00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瑞士</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6576.046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4585301.00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阿塞拜疆</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5571.003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3963052.00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俄罗斯联邦</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40649.127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28762389.00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乌克兰</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315.831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236234.00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墨西哥</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1285.114 </w:t>
            </w:r>
          </w:p>
        </w:tc>
        <w:tc>
          <w:tcPr>
            <w:tcW w:w="1688" w:type="dxa"/>
            <w:vAlign w:val="center"/>
          </w:tcPr>
          <w:p>
            <w:pPr>
              <w:keepNext w:val="0"/>
              <w:keepLines w:val="0"/>
              <w:widowControl/>
              <w:suppressLineNumbers w:val="0"/>
              <w:jc w:val="left"/>
              <w:textAlignment w:val="center"/>
              <w:rPr>
                <w:rFonts w:ascii="宋体" w:hAnsi="宋体" w:cs="宋体"/>
                <w:szCs w:val="21"/>
              </w:rPr>
            </w:pPr>
            <w:r>
              <w:rPr>
                <w:rFonts w:hint="eastAsia" w:ascii="宋体" w:hAnsi="宋体" w:eastAsia="宋体" w:cs="宋体"/>
                <w:i w:val="0"/>
                <w:color w:val="191919"/>
                <w:kern w:val="0"/>
                <w:sz w:val="21"/>
                <w:szCs w:val="21"/>
                <w:u w:val="none"/>
                <w:lang w:val="en-US" w:eastAsia="zh-CN" w:bidi="ar"/>
              </w:rPr>
              <w:t xml:space="preserve">905300.00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加拿大</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0.000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0.00 </w:t>
            </w:r>
          </w:p>
        </w:tc>
        <w:tc>
          <w:tcPr>
            <w:tcW w:w="154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16519.007 </w:t>
            </w:r>
          </w:p>
        </w:tc>
        <w:tc>
          <w:tcPr>
            <w:tcW w:w="1688" w:type="dxa"/>
            <w:vAlign w:val="center"/>
          </w:tcPr>
          <w:p>
            <w:pPr>
              <w:keepNext w:val="0"/>
              <w:keepLines w:val="0"/>
              <w:widowControl/>
              <w:suppressLineNumbers w:val="0"/>
              <w:jc w:val="left"/>
              <w:textAlignment w:val="center"/>
              <w:rPr>
                <w:rFonts w:ascii="宋体" w:hAnsi="宋体" w:cs="宋体"/>
                <w:bCs/>
                <w:szCs w:val="21"/>
              </w:rPr>
            </w:pPr>
            <w:r>
              <w:rPr>
                <w:rFonts w:hint="eastAsia" w:ascii="宋体" w:hAnsi="宋体" w:eastAsia="宋体" w:cs="宋体"/>
                <w:i w:val="0"/>
                <w:color w:val="191919"/>
                <w:kern w:val="0"/>
                <w:sz w:val="21"/>
                <w:szCs w:val="21"/>
                <w:u w:val="none"/>
                <w:lang w:val="en-US" w:eastAsia="zh-CN" w:bidi="ar"/>
              </w:rPr>
              <w:t xml:space="preserve">11630663.00 </w:t>
            </w:r>
          </w:p>
        </w:tc>
      </w:tr>
    </w:tbl>
    <w:p>
      <w:pPr>
        <w:pStyle w:val="3"/>
        <w:spacing w:before="120" w:after="120" w:line="240" w:lineRule="auto"/>
        <w:rPr>
          <w:rFonts w:hint="eastAsia" w:ascii="宋体" w:hAnsi="宋体"/>
          <w:b/>
          <w:sz w:val="30"/>
          <w:szCs w:val="30"/>
        </w:rPr>
      </w:pPr>
      <w:bookmarkStart w:id="21" w:name="_Toc533771879"/>
    </w:p>
    <w:bookmarkEnd w:id="21"/>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2AC60AA"/>
    <w:rsid w:val="03211A1D"/>
    <w:rsid w:val="034407FB"/>
    <w:rsid w:val="034F6246"/>
    <w:rsid w:val="03562125"/>
    <w:rsid w:val="035F2635"/>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717916"/>
    <w:rsid w:val="098251C0"/>
    <w:rsid w:val="09F11ACB"/>
    <w:rsid w:val="09FB6243"/>
    <w:rsid w:val="0A29795D"/>
    <w:rsid w:val="0A2D68BE"/>
    <w:rsid w:val="0A3C22BA"/>
    <w:rsid w:val="0AA33DAF"/>
    <w:rsid w:val="0AC60296"/>
    <w:rsid w:val="0AD32487"/>
    <w:rsid w:val="0B421176"/>
    <w:rsid w:val="0BCE6861"/>
    <w:rsid w:val="0BDC4FBC"/>
    <w:rsid w:val="0C08318F"/>
    <w:rsid w:val="0C586B50"/>
    <w:rsid w:val="0CE32FB8"/>
    <w:rsid w:val="0CE44838"/>
    <w:rsid w:val="0D731CA1"/>
    <w:rsid w:val="0DC46B30"/>
    <w:rsid w:val="0DD115AA"/>
    <w:rsid w:val="0DEA06F6"/>
    <w:rsid w:val="0E04318C"/>
    <w:rsid w:val="0E31785B"/>
    <w:rsid w:val="0E8B35C9"/>
    <w:rsid w:val="0EAF107B"/>
    <w:rsid w:val="0EC1627E"/>
    <w:rsid w:val="0ED36950"/>
    <w:rsid w:val="0F034AA6"/>
    <w:rsid w:val="0F125E7D"/>
    <w:rsid w:val="0F26373F"/>
    <w:rsid w:val="0F446A41"/>
    <w:rsid w:val="0F5808CC"/>
    <w:rsid w:val="0F666559"/>
    <w:rsid w:val="0F7D42FE"/>
    <w:rsid w:val="101C7D06"/>
    <w:rsid w:val="1265739D"/>
    <w:rsid w:val="12662947"/>
    <w:rsid w:val="13267B35"/>
    <w:rsid w:val="134A6D86"/>
    <w:rsid w:val="13594CF7"/>
    <w:rsid w:val="135A728A"/>
    <w:rsid w:val="138744BB"/>
    <w:rsid w:val="13E7373B"/>
    <w:rsid w:val="144B6D3F"/>
    <w:rsid w:val="147759A4"/>
    <w:rsid w:val="147A75E5"/>
    <w:rsid w:val="154F205D"/>
    <w:rsid w:val="15615E0F"/>
    <w:rsid w:val="15D83B2E"/>
    <w:rsid w:val="16600954"/>
    <w:rsid w:val="16734EEE"/>
    <w:rsid w:val="16E22B33"/>
    <w:rsid w:val="17194D7A"/>
    <w:rsid w:val="173C1948"/>
    <w:rsid w:val="17464B66"/>
    <w:rsid w:val="175B5D81"/>
    <w:rsid w:val="17652D76"/>
    <w:rsid w:val="177778D5"/>
    <w:rsid w:val="177C4324"/>
    <w:rsid w:val="18CA4E8D"/>
    <w:rsid w:val="191B1724"/>
    <w:rsid w:val="195D29F2"/>
    <w:rsid w:val="19850C75"/>
    <w:rsid w:val="198A3D94"/>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DB113DA"/>
    <w:rsid w:val="1E2278F4"/>
    <w:rsid w:val="1E5542CC"/>
    <w:rsid w:val="1E6D6ABE"/>
    <w:rsid w:val="1E755624"/>
    <w:rsid w:val="1EBE2AB5"/>
    <w:rsid w:val="1F092A2D"/>
    <w:rsid w:val="1F6B3A34"/>
    <w:rsid w:val="1F963D6D"/>
    <w:rsid w:val="1F98363F"/>
    <w:rsid w:val="1FCD7675"/>
    <w:rsid w:val="1FFC155B"/>
    <w:rsid w:val="20261774"/>
    <w:rsid w:val="203A4D2E"/>
    <w:rsid w:val="205B78B2"/>
    <w:rsid w:val="206901B1"/>
    <w:rsid w:val="20C12FDC"/>
    <w:rsid w:val="211001E9"/>
    <w:rsid w:val="21147D43"/>
    <w:rsid w:val="2119067D"/>
    <w:rsid w:val="21216F1B"/>
    <w:rsid w:val="21862B07"/>
    <w:rsid w:val="224E7428"/>
    <w:rsid w:val="2261560B"/>
    <w:rsid w:val="22944164"/>
    <w:rsid w:val="229674ED"/>
    <w:rsid w:val="22D174A6"/>
    <w:rsid w:val="230F16FC"/>
    <w:rsid w:val="23B946BE"/>
    <w:rsid w:val="24322A62"/>
    <w:rsid w:val="24554136"/>
    <w:rsid w:val="245C2B3F"/>
    <w:rsid w:val="24836E94"/>
    <w:rsid w:val="24974A9D"/>
    <w:rsid w:val="24A21A55"/>
    <w:rsid w:val="24BC74B9"/>
    <w:rsid w:val="250D3E66"/>
    <w:rsid w:val="25955E96"/>
    <w:rsid w:val="259B6E31"/>
    <w:rsid w:val="25B904A8"/>
    <w:rsid w:val="261447E7"/>
    <w:rsid w:val="26442276"/>
    <w:rsid w:val="26DF7D7C"/>
    <w:rsid w:val="26EE1723"/>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9434F7"/>
    <w:rsid w:val="31B05A1F"/>
    <w:rsid w:val="31FC35FB"/>
    <w:rsid w:val="32010D04"/>
    <w:rsid w:val="32574FD8"/>
    <w:rsid w:val="327C3888"/>
    <w:rsid w:val="32CE45BC"/>
    <w:rsid w:val="33435E16"/>
    <w:rsid w:val="34005D95"/>
    <w:rsid w:val="34173060"/>
    <w:rsid w:val="34474FF1"/>
    <w:rsid w:val="34B63281"/>
    <w:rsid w:val="34EC4B86"/>
    <w:rsid w:val="3572663B"/>
    <w:rsid w:val="357D4C50"/>
    <w:rsid w:val="364A7C84"/>
    <w:rsid w:val="36605016"/>
    <w:rsid w:val="366B7A53"/>
    <w:rsid w:val="368259EE"/>
    <w:rsid w:val="36C76D40"/>
    <w:rsid w:val="36F44E23"/>
    <w:rsid w:val="371D2966"/>
    <w:rsid w:val="373062E8"/>
    <w:rsid w:val="37785098"/>
    <w:rsid w:val="37A6234C"/>
    <w:rsid w:val="37AF1535"/>
    <w:rsid w:val="37D337D1"/>
    <w:rsid w:val="38781C56"/>
    <w:rsid w:val="38E95212"/>
    <w:rsid w:val="391C1C7A"/>
    <w:rsid w:val="39600E80"/>
    <w:rsid w:val="3A01261A"/>
    <w:rsid w:val="3A1A4CEB"/>
    <w:rsid w:val="3A481E25"/>
    <w:rsid w:val="3A632ED3"/>
    <w:rsid w:val="3A6F255F"/>
    <w:rsid w:val="3A90237F"/>
    <w:rsid w:val="3B0A7991"/>
    <w:rsid w:val="3B100A85"/>
    <w:rsid w:val="3B691338"/>
    <w:rsid w:val="3BD837A5"/>
    <w:rsid w:val="3C317DDD"/>
    <w:rsid w:val="3C742BEB"/>
    <w:rsid w:val="3CB004C5"/>
    <w:rsid w:val="3CB35047"/>
    <w:rsid w:val="3CB47F7E"/>
    <w:rsid w:val="3D8D1DDC"/>
    <w:rsid w:val="3E037731"/>
    <w:rsid w:val="3E0F09D9"/>
    <w:rsid w:val="3E305EE4"/>
    <w:rsid w:val="3E3D25F5"/>
    <w:rsid w:val="3E752011"/>
    <w:rsid w:val="3E8E2505"/>
    <w:rsid w:val="3E9953AC"/>
    <w:rsid w:val="3F310E2B"/>
    <w:rsid w:val="3F4D19AF"/>
    <w:rsid w:val="3F837DDF"/>
    <w:rsid w:val="3FA21405"/>
    <w:rsid w:val="3FCB012B"/>
    <w:rsid w:val="3FEE1DE8"/>
    <w:rsid w:val="40171145"/>
    <w:rsid w:val="40742438"/>
    <w:rsid w:val="40932E75"/>
    <w:rsid w:val="41696F7F"/>
    <w:rsid w:val="418B25AA"/>
    <w:rsid w:val="419D7C05"/>
    <w:rsid w:val="41F604FA"/>
    <w:rsid w:val="421C0994"/>
    <w:rsid w:val="424F02B6"/>
    <w:rsid w:val="427133C0"/>
    <w:rsid w:val="42FD1410"/>
    <w:rsid w:val="431F563A"/>
    <w:rsid w:val="432D0CD2"/>
    <w:rsid w:val="4348259E"/>
    <w:rsid w:val="434C0977"/>
    <w:rsid w:val="43705840"/>
    <w:rsid w:val="44615639"/>
    <w:rsid w:val="448F5706"/>
    <w:rsid w:val="44944331"/>
    <w:rsid w:val="44A538D4"/>
    <w:rsid w:val="44B05905"/>
    <w:rsid w:val="44B67F0B"/>
    <w:rsid w:val="459B774E"/>
    <w:rsid w:val="47C254B8"/>
    <w:rsid w:val="47DF082A"/>
    <w:rsid w:val="47EB5003"/>
    <w:rsid w:val="483A31DC"/>
    <w:rsid w:val="48942C25"/>
    <w:rsid w:val="4898666C"/>
    <w:rsid w:val="489B75DE"/>
    <w:rsid w:val="48B5305A"/>
    <w:rsid w:val="490B579F"/>
    <w:rsid w:val="4969605D"/>
    <w:rsid w:val="496D1F2A"/>
    <w:rsid w:val="498A3B85"/>
    <w:rsid w:val="49AE3287"/>
    <w:rsid w:val="49D021B0"/>
    <w:rsid w:val="4A3546EB"/>
    <w:rsid w:val="4A526073"/>
    <w:rsid w:val="4A56215E"/>
    <w:rsid w:val="4A5D4A40"/>
    <w:rsid w:val="4A7E40F2"/>
    <w:rsid w:val="4A8561F1"/>
    <w:rsid w:val="4A943BC6"/>
    <w:rsid w:val="4AAF17A9"/>
    <w:rsid w:val="4BB317A2"/>
    <w:rsid w:val="4BC27F8D"/>
    <w:rsid w:val="4BCC6CCE"/>
    <w:rsid w:val="4BE44E6C"/>
    <w:rsid w:val="4BF446B8"/>
    <w:rsid w:val="4C061338"/>
    <w:rsid w:val="4C497215"/>
    <w:rsid w:val="4C5E08E0"/>
    <w:rsid w:val="4CBF4AE9"/>
    <w:rsid w:val="4D0A349B"/>
    <w:rsid w:val="4D0F04ED"/>
    <w:rsid w:val="4D427C91"/>
    <w:rsid w:val="4DBE12C2"/>
    <w:rsid w:val="4DCE6ED3"/>
    <w:rsid w:val="4E333BBB"/>
    <w:rsid w:val="4EC951FF"/>
    <w:rsid w:val="4ED04B02"/>
    <w:rsid w:val="4EE96853"/>
    <w:rsid w:val="4F121BEA"/>
    <w:rsid w:val="4F566ACF"/>
    <w:rsid w:val="4F8028EE"/>
    <w:rsid w:val="4FAD0DF7"/>
    <w:rsid w:val="4FBE1CEA"/>
    <w:rsid w:val="4FC15F00"/>
    <w:rsid w:val="51130AD6"/>
    <w:rsid w:val="51147068"/>
    <w:rsid w:val="51952A88"/>
    <w:rsid w:val="51EE27E3"/>
    <w:rsid w:val="5234477C"/>
    <w:rsid w:val="52515077"/>
    <w:rsid w:val="52B118DE"/>
    <w:rsid w:val="52CB6EC0"/>
    <w:rsid w:val="52D061DA"/>
    <w:rsid w:val="5315442E"/>
    <w:rsid w:val="5341530E"/>
    <w:rsid w:val="53434396"/>
    <w:rsid w:val="534D112E"/>
    <w:rsid w:val="5393301A"/>
    <w:rsid w:val="53971518"/>
    <w:rsid w:val="53B91D8C"/>
    <w:rsid w:val="53E56E6E"/>
    <w:rsid w:val="53F17662"/>
    <w:rsid w:val="54010C17"/>
    <w:rsid w:val="546C3F2D"/>
    <w:rsid w:val="547F46DA"/>
    <w:rsid w:val="549F75FE"/>
    <w:rsid w:val="556D2811"/>
    <w:rsid w:val="55F04C52"/>
    <w:rsid w:val="55F35D23"/>
    <w:rsid w:val="56281CBC"/>
    <w:rsid w:val="56333685"/>
    <w:rsid w:val="56A332D5"/>
    <w:rsid w:val="56C325A5"/>
    <w:rsid w:val="572D602C"/>
    <w:rsid w:val="57364D30"/>
    <w:rsid w:val="57B937A9"/>
    <w:rsid w:val="58E94F10"/>
    <w:rsid w:val="58FA15B8"/>
    <w:rsid w:val="58FF06B6"/>
    <w:rsid w:val="591C3F4A"/>
    <w:rsid w:val="593E6CC6"/>
    <w:rsid w:val="59591BB8"/>
    <w:rsid w:val="59820786"/>
    <w:rsid w:val="59A774F2"/>
    <w:rsid w:val="59AD15AB"/>
    <w:rsid w:val="59E474BD"/>
    <w:rsid w:val="59FC6B89"/>
    <w:rsid w:val="5A261D0E"/>
    <w:rsid w:val="5A527BDD"/>
    <w:rsid w:val="5A9311E7"/>
    <w:rsid w:val="5AF86253"/>
    <w:rsid w:val="5B081862"/>
    <w:rsid w:val="5B340596"/>
    <w:rsid w:val="5BB41290"/>
    <w:rsid w:val="5C9E10E9"/>
    <w:rsid w:val="5CDA6371"/>
    <w:rsid w:val="5D1516BF"/>
    <w:rsid w:val="5D1569ED"/>
    <w:rsid w:val="5D1B2A4F"/>
    <w:rsid w:val="5D623C65"/>
    <w:rsid w:val="5DC477E0"/>
    <w:rsid w:val="5DD05318"/>
    <w:rsid w:val="5DEF6C2B"/>
    <w:rsid w:val="5E4E3F80"/>
    <w:rsid w:val="5E5F4BD4"/>
    <w:rsid w:val="5ED20F44"/>
    <w:rsid w:val="5F123BC6"/>
    <w:rsid w:val="5F1A7A37"/>
    <w:rsid w:val="5F63419E"/>
    <w:rsid w:val="5F880842"/>
    <w:rsid w:val="5FFC4765"/>
    <w:rsid w:val="60046C0F"/>
    <w:rsid w:val="602C01A9"/>
    <w:rsid w:val="603B1B21"/>
    <w:rsid w:val="607F2EF2"/>
    <w:rsid w:val="610D2A7D"/>
    <w:rsid w:val="61175A9A"/>
    <w:rsid w:val="615F1F60"/>
    <w:rsid w:val="61BC217C"/>
    <w:rsid w:val="61D9772A"/>
    <w:rsid w:val="61DB33CF"/>
    <w:rsid w:val="61EF0933"/>
    <w:rsid w:val="61F2327B"/>
    <w:rsid w:val="61F6471A"/>
    <w:rsid w:val="625E2011"/>
    <w:rsid w:val="62EF16C5"/>
    <w:rsid w:val="63356B20"/>
    <w:rsid w:val="63F34E27"/>
    <w:rsid w:val="642E2D6E"/>
    <w:rsid w:val="642F141D"/>
    <w:rsid w:val="6439179D"/>
    <w:rsid w:val="643A7D3D"/>
    <w:rsid w:val="645E071A"/>
    <w:rsid w:val="652A5D21"/>
    <w:rsid w:val="65480BBE"/>
    <w:rsid w:val="65B955CA"/>
    <w:rsid w:val="661A0E12"/>
    <w:rsid w:val="66B56D61"/>
    <w:rsid w:val="67056631"/>
    <w:rsid w:val="6779797F"/>
    <w:rsid w:val="6789047F"/>
    <w:rsid w:val="68382592"/>
    <w:rsid w:val="68A742AD"/>
    <w:rsid w:val="691052CA"/>
    <w:rsid w:val="69194464"/>
    <w:rsid w:val="698B1B24"/>
    <w:rsid w:val="6A7A60F7"/>
    <w:rsid w:val="6AEE1969"/>
    <w:rsid w:val="6B0A125F"/>
    <w:rsid w:val="6B7308B4"/>
    <w:rsid w:val="6BA2498F"/>
    <w:rsid w:val="6BCA0F7D"/>
    <w:rsid w:val="6BDE4DDD"/>
    <w:rsid w:val="6BE972DB"/>
    <w:rsid w:val="6BFE0452"/>
    <w:rsid w:val="6C0F2440"/>
    <w:rsid w:val="6C176418"/>
    <w:rsid w:val="6C392A9F"/>
    <w:rsid w:val="6C762792"/>
    <w:rsid w:val="6C801375"/>
    <w:rsid w:val="6CEF6EBD"/>
    <w:rsid w:val="6CF01C95"/>
    <w:rsid w:val="6D18295E"/>
    <w:rsid w:val="6D206AE2"/>
    <w:rsid w:val="6DD23F1E"/>
    <w:rsid w:val="6DEE2081"/>
    <w:rsid w:val="6E336938"/>
    <w:rsid w:val="6E5D68D3"/>
    <w:rsid w:val="6E7251F0"/>
    <w:rsid w:val="6E757524"/>
    <w:rsid w:val="6E7934F3"/>
    <w:rsid w:val="6EAD6286"/>
    <w:rsid w:val="6EB24C59"/>
    <w:rsid w:val="6F2428C0"/>
    <w:rsid w:val="6F591B5D"/>
    <w:rsid w:val="6F7E65DB"/>
    <w:rsid w:val="705F37D3"/>
    <w:rsid w:val="709143C4"/>
    <w:rsid w:val="70930271"/>
    <w:rsid w:val="70DB5146"/>
    <w:rsid w:val="712776C4"/>
    <w:rsid w:val="7181738B"/>
    <w:rsid w:val="71820038"/>
    <w:rsid w:val="71990145"/>
    <w:rsid w:val="71C90ED8"/>
    <w:rsid w:val="71E12038"/>
    <w:rsid w:val="72112B83"/>
    <w:rsid w:val="72887B37"/>
    <w:rsid w:val="72910320"/>
    <w:rsid w:val="73092FAA"/>
    <w:rsid w:val="734608F5"/>
    <w:rsid w:val="736D4BAC"/>
    <w:rsid w:val="74090510"/>
    <w:rsid w:val="740E2D2D"/>
    <w:rsid w:val="746B6757"/>
    <w:rsid w:val="74E97F38"/>
    <w:rsid w:val="74F13E40"/>
    <w:rsid w:val="752A3F7B"/>
    <w:rsid w:val="75B35E00"/>
    <w:rsid w:val="766C7968"/>
    <w:rsid w:val="76936F16"/>
    <w:rsid w:val="76A64EB2"/>
    <w:rsid w:val="76BC1014"/>
    <w:rsid w:val="77025DC3"/>
    <w:rsid w:val="7781654E"/>
    <w:rsid w:val="77B92312"/>
    <w:rsid w:val="7827423F"/>
    <w:rsid w:val="7850391E"/>
    <w:rsid w:val="78703EBE"/>
    <w:rsid w:val="78805A36"/>
    <w:rsid w:val="78AE0946"/>
    <w:rsid w:val="79331EC1"/>
    <w:rsid w:val="79404911"/>
    <w:rsid w:val="7986601A"/>
    <w:rsid w:val="79AE14B2"/>
    <w:rsid w:val="79CE4B72"/>
    <w:rsid w:val="7A055366"/>
    <w:rsid w:val="7A292C38"/>
    <w:rsid w:val="7A5F22B4"/>
    <w:rsid w:val="7A680094"/>
    <w:rsid w:val="7A81102C"/>
    <w:rsid w:val="7AA37ECA"/>
    <w:rsid w:val="7AB16073"/>
    <w:rsid w:val="7ABB5514"/>
    <w:rsid w:val="7ADE3222"/>
    <w:rsid w:val="7AF04DB0"/>
    <w:rsid w:val="7B322761"/>
    <w:rsid w:val="7B3C2640"/>
    <w:rsid w:val="7BB43296"/>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18</TotalTime>
  <ScaleCrop>false</ScaleCrop>
  <LinksUpToDate>false</LinksUpToDate>
  <CharactersWithSpaces>26786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2020-04-09T07:53:14Z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2052-11.1.0.9584</vt:lpwstr>
  </property>
</Properties>
</file>