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rPr>
        <w:drawing>
          <wp:anchor distT="0" distB="0" distL="114300" distR="114300" simplePos="0" relativeHeight="251657216" behindDoc="1" locked="0" layoutInCell="1" allowOverlap="1">
            <wp:simplePos x="0" y="0"/>
            <wp:positionH relativeFrom="column">
              <wp:posOffset>-705485</wp:posOffset>
            </wp:positionH>
            <wp:positionV relativeFrom="paragraph">
              <wp:posOffset>-534035</wp:posOffset>
            </wp:positionV>
            <wp:extent cx="7560310" cy="10696575"/>
            <wp:effectExtent l="19050" t="0" r="2540" b="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560310" cy="10696575"/>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sWiVLYAAAACgEAAA8AAAAAAAAAAQAgAAAAIgAAAGRycy9kb3du&#10;cmV2LnhtbFBLAQIUABQAAAAIAIdO4kBn+7IxjQEAAAEDAAAOAAAAAAAAAAEAIAAAACcBAABkcnMv&#10;ZTJvRG9jLnhtbFBLBQYAAAAABgAGAFkBAAAmBQ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w:t>
      </w:r>
      <w:r>
        <w:rPr>
          <w:rFonts w:hint="eastAsia" w:ascii="宋体" w:hAnsi="宋体"/>
          <w:b/>
          <w:sz w:val="30"/>
          <w:szCs w:val="30"/>
          <w:lang w:val="en-US" w:eastAsia="zh-CN"/>
        </w:rPr>
        <w:t>20</w:t>
      </w:r>
      <w:r>
        <w:rPr>
          <w:rFonts w:hint="eastAsia" w:ascii="宋体" w:hAnsi="宋体"/>
          <w:b/>
          <w:sz w:val="30"/>
          <w:szCs w:val="30"/>
        </w:rPr>
        <w:t>.</w:t>
      </w:r>
      <w:r>
        <w:rPr>
          <w:rFonts w:hint="eastAsia" w:ascii="宋体" w:hAnsi="宋体"/>
          <w:b/>
          <w:sz w:val="30"/>
          <w:szCs w:val="30"/>
          <w:lang w:val="en-US" w:eastAsia="zh-CN"/>
        </w:rPr>
        <w:t>4.16</w:t>
      </w: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32"/>
          <w:szCs w:val="32"/>
        </w:rPr>
      </w:pPr>
      <w:r>
        <w:rPr>
          <w:rFonts w:hint="eastAsia" w:ascii="宋体" w:hAnsi="宋体"/>
          <w:b/>
          <w:sz w:val="32"/>
          <w:szCs w:val="32"/>
        </w:rPr>
        <w:t>目 录</w:t>
      </w:r>
    </w:p>
    <w:p>
      <w:pPr>
        <w:pStyle w:val="16"/>
        <w:rPr>
          <w:rFonts w:ascii="Times New Roman" w:hAnsi="Times New Roman"/>
          <w:b w:val="0"/>
          <w:bCs w:val="0"/>
          <w:caps w:val="0"/>
          <w:color w:val="auto"/>
          <w:sz w:val="24"/>
          <w:szCs w:val="24"/>
        </w:rPr>
      </w:pPr>
      <w:r>
        <w:rPr>
          <w:b w:val="0"/>
          <w:color w:val="auto"/>
          <w:sz w:val="24"/>
          <w:szCs w:val="24"/>
        </w:rPr>
        <w:fldChar w:fldCharType="begin"/>
      </w:r>
      <w:r>
        <w:rPr>
          <w:b w:val="0"/>
          <w:color w:val="auto"/>
          <w:sz w:val="24"/>
          <w:szCs w:val="24"/>
        </w:rPr>
        <w:instrText xml:space="preserve"> TOC \o "1-3" \h \z </w:instrText>
      </w:r>
      <w:r>
        <w:rPr>
          <w:b w:val="0"/>
          <w:color w:val="auto"/>
          <w:sz w:val="24"/>
          <w:szCs w:val="24"/>
        </w:rPr>
        <w:fldChar w:fldCharType="separate"/>
      </w:r>
      <w:r>
        <w:fldChar w:fldCharType="begin"/>
      </w:r>
      <w:r>
        <w:instrText xml:space="preserve"> HYPERLINK \l "_Toc533771861" </w:instrText>
      </w:r>
      <w:r>
        <w:fldChar w:fldCharType="separate"/>
      </w:r>
      <w:r>
        <w:rPr>
          <w:rStyle w:val="31"/>
          <w:rFonts w:hint="eastAsia"/>
          <w:color w:val="auto"/>
          <w:sz w:val="24"/>
          <w:szCs w:val="24"/>
        </w:rPr>
        <w:t>一、国际原油市场回顾</w:t>
      </w:r>
      <w:r>
        <w:rPr>
          <w:color w:val="auto"/>
          <w:sz w:val="24"/>
          <w:szCs w:val="24"/>
        </w:rPr>
        <w:tab/>
      </w:r>
      <w:r>
        <w:rPr>
          <w:color w:val="auto"/>
          <w:sz w:val="24"/>
          <w:szCs w:val="24"/>
        </w:rPr>
        <w:fldChar w:fldCharType="begin"/>
      </w:r>
      <w:r>
        <w:rPr>
          <w:color w:val="auto"/>
          <w:sz w:val="24"/>
          <w:szCs w:val="24"/>
        </w:rPr>
        <w:instrText xml:space="preserve"> PAGEREF _Toc533771861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"_Toc533771862" </w:instrText>
      </w:r>
      <w:r>
        <w:fldChar w:fldCharType="separate"/>
      </w:r>
      <w:r>
        <w:rPr>
          <w:rStyle w:val="31"/>
          <w:rFonts w:ascii="宋体" w:hAnsi="宋体"/>
          <w:b/>
          <w:color w:val="auto"/>
          <w:sz w:val="24"/>
          <w:szCs w:val="24"/>
        </w:rPr>
        <w:t>1.1</w:t>
      </w:r>
      <w:r>
        <w:rPr>
          <w:rStyle w:val="31"/>
          <w:rFonts w:hint="eastAsia" w:ascii="宋体" w:hAnsi="宋体"/>
          <w:b/>
          <w:color w:val="auto"/>
          <w:sz w:val="24"/>
          <w:szCs w:val="24"/>
        </w:rPr>
        <w:t>国际原油收盘价涨跌情况（单位：美元</w:t>
      </w:r>
      <w:r>
        <w:rPr>
          <w:rStyle w:val="31"/>
          <w:rFonts w:ascii="宋体" w:hAnsi="宋体"/>
          <w:b/>
          <w:color w:val="auto"/>
          <w:sz w:val="24"/>
          <w:szCs w:val="24"/>
        </w:rPr>
        <w:t>/</w:t>
      </w:r>
      <w:r>
        <w:rPr>
          <w:rStyle w:val="31"/>
          <w:rFonts w:hint="eastAsia" w:ascii="宋体" w:hAnsi="宋体"/>
          <w:b/>
          <w:color w:val="auto"/>
          <w:sz w:val="24"/>
          <w:szCs w:val="24"/>
        </w:rPr>
        <w:t>桶）</w:t>
      </w:r>
      <w:r>
        <w:rPr>
          <w:color w:val="auto"/>
          <w:sz w:val="24"/>
          <w:szCs w:val="24"/>
        </w:rPr>
        <w:tab/>
      </w:r>
      <w:r>
        <w:rPr>
          <w:color w:val="auto"/>
          <w:sz w:val="24"/>
          <w:szCs w:val="24"/>
        </w:rPr>
        <w:fldChar w:fldCharType="begin"/>
      </w:r>
      <w:r>
        <w:rPr>
          <w:color w:val="auto"/>
          <w:sz w:val="24"/>
          <w:szCs w:val="24"/>
        </w:rPr>
        <w:instrText xml:space="preserve"> PAGEREF _Toc533771862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"_Toc533771863" </w:instrText>
      </w:r>
      <w:r>
        <w:fldChar w:fldCharType="separate"/>
      </w:r>
      <w:r>
        <w:rPr>
          <w:rStyle w:val="31"/>
          <w:rFonts w:ascii="宋体" w:hAnsi="宋体"/>
          <w:b/>
          <w:color w:val="auto"/>
          <w:sz w:val="24"/>
          <w:szCs w:val="24"/>
        </w:rPr>
        <w:t>1.2 20</w:t>
      </w:r>
      <w:r>
        <w:rPr>
          <w:rStyle w:val="31"/>
          <w:rFonts w:hint="eastAsia" w:ascii="宋体" w:hAnsi="宋体"/>
          <w:b/>
          <w:color w:val="auto"/>
          <w:sz w:val="24"/>
          <w:szCs w:val="24"/>
          <w:lang w:val="en-US" w:eastAsia="zh-CN"/>
        </w:rPr>
        <w:t>20</w:t>
      </w:r>
      <w:r>
        <w:rPr>
          <w:rStyle w:val="31"/>
          <w:rFonts w:hint="eastAsia" w:ascii="宋体" w:hAnsi="宋体"/>
          <w:b/>
          <w:color w:val="auto"/>
          <w:sz w:val="24"/>
          <w:szCs w:val="24"/>
        </w:rPr>
        <w:t>年国际原油价格走势图</w:t>
      </w:r>
      <w:r>
        <w:rPr>
          <w:color w:val="auto"/>
          <w:sz w:val="24"/>
          <w:szCs w:val="24"/>
        </w:rPr>
        <w:tab/>
      </w:r>
      <w:r>
        <w:rPr>
          <w:color w:val="auto"/>
          <w:sz w:val="24"/>
          <w:szCs w:val="24"/>
        </w:rPr>
        <w:fldChar w:fldCharType="begin"/>
      </w:r>
      <w:r>
        <w:rPr>
          <w:color w:val="auto"/>
          <w:sz w:val="24"/>
          <w:szCs w:val="24"/>
        </w:rPr>
        <w:instrText xml:space="preserve"> PAGEREF _Toc533771863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"_Toc533771864" </w:instrText>
      </w:r>
      <w:r>
        <w:fldChar w:fldCharType="separate"/>
      </w:r>
      <w:r>
        <w:rPr>
          <w:rStyle w:val="31"/>
          <w:rFonts w:hint="eastAsia"/>
          <w:color w:val="auto"/>
          <w:sz w:val="24"/>
          <w:szCs w:val="24"/>
        </w:rPr>
        <w:t>二、近期影响国际原油市场的主要因素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_Toc533771864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"_Toc533771865" </w:instrText>
      </w:r>
      <w:r>
        <w:fldChar w:fldCharType="separate"/>
      </w:r>
      <w:r>
        <w:rPr>
          <w:rStyle w:val="31"/>
          <w:rFonts w:ascii="宋体" w:hAnsi="宋体"/>
          <w:b/>
          <w:color w:val="auto"/>
          <w:sz w:val="24"/>
          <w:szCs w:val="24"/>
        </w:rPr>
        <w:t>2.1</w:t>
      </w:r>
      <w:r>
        <w:rPr>
          <w:rStyle w:val="31"/>
          <w:rFonts w:hint="eastAsia" w:ascii="宋体" w:hAnsi="宋体"/>
          <w:b/>
          <w:color w:val="auto"/>
          <w:sz w:val="24"/>
          <w:szCs w:val="24"/>
        </w:rPr>
        <w:t>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_Toc533771865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"_Toc533771866" </w:instrText>
      </w:r>
      <w:r>
        <w:fldChar w:fldCharType="separate"/>
      </w:r>
      <w:r>
        <w:rPr>
          <w:rStyle w:val="31"/>
          <w:rFonts w:ascii="宋体" w:hAnsi="宋体"/>
          <w:b/>
          <w:color w:val="auto"/>
          <w:sz w:val="24"/>
          <w:szCs w:val="24"/>
        </w:rPr>
        <w:t>2.2</w:t>
      </w:r>
      <w:r>
        <w:rPr>
          <w:rStyle w:val="31"/>
          <w:rFonts w:hint="eastAsia" w:ascii="宋体" w:hAnsi="宋体"/>
          <w:b/>
          <w:color w:val="auto"/>
          <w:sz w:val="24"/>
          <w:szCs w:val="24"/>
        </w:rPr>
        <w:t>国际市场</w:t>
      </w:r>
      <w:r>
        <w:rPr>
          <w:rStyle w:val="31"/>
          <w:rFonts w:ascii="宋体" w:hAnsi="宋体"/>
          <w:b/>
          <w:color w:val="auto"/>
          <w:sz w:val="24"/>
          <w:szCs w:val="24"/>
        </w:rPr>
        <w:t>MTBE</w:t>
      </w:r>
      <w:r>
        <w:rPr>
          <w:rStyle w:val="31"/>
          <w:rFonts w:hint="eastAsia" w:ascii="宋体" w:hAnsi="宋体"/>
          <w:b/>
          <w:color w:val="auto"/>
          <w:sz w:val="24"/>
          <w:szCs w:val="24"/>
        </w:rPr>
        <w:t>价格</w:t>
      </w:r>
      <w:r>
        <w:rPr>
          <w:color w:val="auto"/>
          <w:sz w:val="24"/>
          <w:szCs w:val="24"/>
        </w:rPr>
        <w:tab/>
      </w:r>
      <w:r>
        <w:rPr>
          <w:color w:val="auto"/>
          <w:sz w:val="24"/>
          <w:szCs w:val="24"/>
        </w:rPr>
        <w:fldChar w:fldCharType="begin"/>
      </w:r>
      <w:r>
        <w:rPr>
          <w:color w:val="auto"/>
          <w:sz w:val="24"/>
          <w:szCs w:val="24"/>
        </w:rPr>
        <w:instrText xml:space="preserve"> PAGEREF _Toc533771866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"_Toc533771867" </w:instrText>
      </w:r>
      <w:r>
        <w:fldChar w:fldCharType="separate"/>
      </w:r>
      <w:r>
        <w:rPr>
          <w:rStyle w:val="31"/>
          <w:rFonts w:hint="eastAsia"/>
          <w:color w:val="auto"/>
          <w:sz w:val="24"/>
          <w:szCs w:val="24"/>
        </w:rPr>
        <w:t>三、本周国内市场</w:t>
      </w:r>
      <w:r>
        <w:rPr>
          <w:color w:val="auto"/>
          <w:sz w:val="24"/>
          <w:szCs w:val="24"/>
        </w:rPr>
        <w:tab/>
      </w:r>
      <w:r>
        <w:rPr>
          <w:color w:val="auto"/>
          <w:sz w:val="24"/>
          <w:szCs w:val="24"/>
        </w:rPr>
        <w:fldChar w:fldCharType="begin"/>
      </w:r>
      <w:r>
        <w:rPr>
          <w:color w:val="auto"/>
          <w:sz w:val="24"/>
          <w:szCs w:val="24"/>
        </w:rPr>
        <w:instrText xml:space="preserve"> PAGEREF _Toc533771867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"_Toc533771868" </w:instrText>
      </w:r>
      <w:r>
        <w:fldChar w:fldCharType="separate"/>
      </w:r>
      <w:r>
        <w:rPr>
          <w:rStyle w:val="31"/>
          <w:rFonts w:ascii="宋体" w:hAnsi="宋体"/>
          <w:b/>
          <w:color w:val="auto"/>
          <w:sz w:val="24"/>
          <w:szCs w:val="24"/>
        </w:rPr>
        <w:t xml:space="preserve">3.1 </w:t>
      </w:r>
      <w:r>
        <w:rPr>
          <w:rStyle w:val="31"/>
          <w:rFonts w:hint="eastAsia" w:ascii="宋体" w:hAnsi="宋体"/>
          <w:b/>
          <w:color w:val="auto"/>
          <w:sz w:val="24"/>
          <w:szCs w:val="24"/>
        </w:rPr>
        <w:t>国内炼厂装置运行情况</w:t>
      </w:r>
      <w:r>
        <w:rPr>
          <w:color w:val="auto"/>
          <w:sz w:val="24"/>
          <w:szCs w:val="24"/>
        </w:rPr>
        <w:tab/>
      </w:r>
      <w:r>
        <w:rPr>
          <w:color w:val="auto"/>
          <w:sz w:val="24"/>
          <w:szCs w:val="24"/>
        </w:rPr>
        <w:fldChar w:fldCharType="begin"/>
      </w:r>
      <w:r>
        <w:rPr>
          <w:color w:val="auto"/>
          <w:sz w:val="24"/>
          <w:szCs w:val="24"/>
        </w:rPr>
        <w:instrText xml:space="preserve"> PAGEREF _Toc533771868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"_Toc533771869" </w:instrText>
      </w:r>
      <w:r>
        <w:fldChar w:fldCharType="separate"/>
      </w:r>
      <w:r>
        <w:rPr>
          <w:rStyle w:val="31"/>
          <w:rFonts w:ascii="宋体" w:hAnsi="宋体"/>
          <w:b/>
          <w:color w:val="auto"/>
          <w:sz w:val="24"/>
          <w:szCs w:val="24"/>
        </w:rPr>
        <w:t>3.2</w:t>
      </w:r>
      <w:r>
        <w:rPr>
          <w:rStyle w:val="31"/>
          <w:rFonts w:hint="eastAsia" w:ascii="宋体" w:hAnsi="宋体"/>
          <w:b/>
          <w:color w:val="auto"/>
          <w:sz w:val="24"/>
          <w:szCs w:val="24"/>
        </w:rPr>
        <w:t>本周成品油市场行情</w:t>
      </w:r>
      <w:r>
        <w:rPr>
          <w:color w:val="auto"/>
          <w:sz w:val="24"/>
          <w:szCs w:val="24"/>
        </w:rPr>
        <w:tab/>
      </w:r>
      <w:r>
        <w:rPr>
          <w:color w:val="auto"/>
          <w:sz w:val="24"/>
          <w:szCs w:val="24"/>
        </w:rPr>
        <w:fldChar w:fldCharType="begin"/>
      </w:r>
      <w:r>
        <w:rPr>
          <w:color w:val="auto"/>
          <w:sz w:val="24"/>
          <w:szCs w:val="24"/>
        </w:rPr>
        <w:instrText xml:space="preserve"> PAGEREF _Toc533771869 \h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"_Toc533771870" </w:instrText>
      </w:r>
      <w:r>
        <w:fldChar w:fldCharType="separate"/>
      </w:r>
      <w:r>
        <w:rPr>
          <w:rStyle w:val="31"/>
          <w:rFonts w:ascii="宋体" w:hAnsi="宋体"/>
          <w:b/>
          <w:color w:val="auto"/>
          <w:sz w:val="24"/>
          <w:szCs w:val="24"/>
        </w:rPr>
        <w:t xml:space="preserve">3.3 </w:t>
      </w:r>
      <w:r>
        <w:rPr>
          <w:rStyle w:val="31"/>
          <w:rFonts w:hint="eastAsia" w:ascii="宋体" w:hAnsi="宋体"/>
          <w:b/>
          <w:color w:val="auto"/>
          <w:sz w:val="24"/>
          <w:szCs w:val="24"/>
        </w:rPr>
        <w:t>国内汽油价格周报</w:t>
      </w:r>
      <w:r>
        <w:rPr>
          <w:color w:val="auto"/>
          <w:sz w:val="24"/>
          <w:szCs w:val="24"/>
        </w:rPr>
        <w:tab/>
      </w:r>
      <w:r>
        <w:rPr>
          <w:color w:val="auto"/>
          <w:sz w:val="24"/>
          <w:szCs w:val="24"/>
        </w:rPr>
        <w:fldChar w:fldCharType="begin"/>
      </w:r>
      <w:r>
        <w:rPr>
          <w:color w:val="auto"/>
          <w:sz w:val="24"/>
          <w:szCs w:val="24"/>
        </w:rPr>
        <w:instrText xml:space="preserve"> PAGEREF _Toc533771870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"_Toc533771871" </w:instrText>
      </w:r>
      <w:r>
        <w:fldChar w:fldCharType="separate"/>
      </w:r>
      <w:r>
        <w:rPr>
          <w:rStyle w:val="31"/>
          <w:rFonts w:ascii="宋体" w:hAnsi="宋体"/>
          <w:b/>
          <w:color w:val="auto"/>
          <w:sz w:val="24"/>
          <w:szCs w:val="24"/>
        </w:rPr>
        <w:t>3.4</w:t>
      </w:r>
      <w:r>
        <w:rPr>
          <w:rStyle w:val="31"/>
          <w:rFonts w:hint="eastAsia" w:ascii="宋体" w:hAnsi="宋体"/>
          <w:b/>
          <w:color w:val="auto"/>
          <w:sz w:val="24"/>
          <w:szCs w:val="24"/>
        </w:rPr>
        <w:t>国内柴油价格周报</w:t>
      </w:r>
      <w:r>
        <w:rPr>
          <w:color w:val="auto"/>
          <w:sz w:val="24"/>
          <w:szCs w:val="24"/>
        </w:rPr>
        <w:tab/>
      </w:r>
      <w:r>
        <w:rPr>
          <w:color w:val="auto"/>
          <w:sz w:val="24"/>
          <w:szCs w:val="24"/>
        </w:rPr>
        <w:fldChar w:fldCharType="begin"/>
      </w:r>
      <w:r>
        <w:rPr>
          <w:color w:val="auto"/>
          <w:sz w:val="24"/>
          <w:szCs w:val="24"/>
        </w:rPr>
        <w:instrText xml:space="preserve"> PAGEREF _Toc533771871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"_Toc533771872" </w:instrText>
      </w:r>
      <w:r>
        <w:fldChar w:fldCharType="separate"/>
      </w:r>
      <w:r>
        <w:rPr>
          <w:rStyle w:val="31"/>
          <w:rFonts w:ascii="宋体" w:hAnsi="宋体"/>
          <w:b/>
          <w:color w:val="auto"/>
          <w:sz w:val="24"/>
          <w:szCs w:val="24"/>
        </w:rPr>
        <w:t xml:space="preserve">3.5 </w:t>
      </w:r>
      <w:r>
        <w:rPr>
          <w:rStyle w:val="31"/>
          <w:rFonts w:hint="eastAsia" w:ascii="宋体" w:hAnsi="宋体"/>
          <w:b/>
          <w:color w:val="auto"/>
          <w:sz w:val="24"/>
          <w:szCs w:val="24"/>
        </w:rPr>
        <w:t>山东地炼汽油出厂价格周报</w:t>
      </w:r>
      <w:r>
        <w:rPr>
          <w:color w:val="auto"/>
          <w:sz w:val="24"/>
          <w:szCs w:val="24"/>
        </w:rPr>
        <w:tab/>
      </w:r>
      <w:r>
        <w:rPr>
          <w:color w:val="auto"/>
          <w:sz w:val="24"/>
          <w:szCs w:val="24"/>
        </w:rPr>
        <w:fldChar w:fldCharType="begin"/>
      </w:r>
      <w:r>
        <w:rPr>
          <w:color w:val="auto"/>
          <w:sz w:val="24"/>
          <w:szCs w:val="24"/>
        </w:rPr>
        <w:instrText xml:space="preserve"> PAGEREF _Toc533771872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"_Toc533771873" </w:instrText>
      </w:r>
      <w:r>
        <w:fldChar w:fldCharType="separate"/>
      </w:r>
      <w:r>
        <w:rPr>
          <w:rStyle w:val="31"/>
          <w:rFonts w:ascii="宋体" w:hAnsi="宋体"/>
          <w:b/>
          <w:color w:val="auto"/>
          <w:sz w:val="24"/>
          <w:szCs w:val="24"/>
        </w:rPr>
        <w:t xml:space="preserve">3.6 </w:t>
      </w:r>
      <w:r>
        <w:rPr>
          <w:rStyle w:val="31"/>
          <w:rFonts w:hint="eastAsia" w:ascii="宋体" w:hAnsi="宋体"/>
          <w:b/>
          <w:color w:val="auto"/>
          <w:sz w:val="24"/>
          <w:szCs w:val="24"/>
        </w:rPr>
        <w:t>山东地炼柴油出厂价格周报</w:t>
      </w:r>
      <w:r>
        <w:rPr>
          <w:color w:val="auto"/>
          <w:sz w:val="24"/>
          <w:szCs w:val="24"/>
        </w:rPr>
        <w:tab/>
      </w:r>
      <w:r>
        <w:rPr>
          <w:color w:val="auto"/>
          <w:sz w:val="24"/>
          <w:szCs w:val="24"/>
        </w:rPr>
        <w:fldChar w:fldCharType="begin"/>
      </w:r>
      <w:r>
        <w:rPr>
          <w:color w:val="auto"/>
          <w:sz w:val="24"/>
          <w:szCs w:val="24"/>
        </w:rPr>
        <w:instrText xml:space="preserve"> PAGEREF _Toc533771873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"_Toc533771874" </w:instrText>
      </w:r>
      <w:r>
        <w:fldChar w:fldCharType="separate"/>
      </w:r>
      <w:r>
        <w:rPr>
          <w:rStyle w:val="31"/>
          <w:rFonts w:hint="eastAsia"/>
          <w:color w:val="auto"/>
          <w:sz w:val="24"/>
          <w:szCs w:val="24"/>
        </w:rPr>
        <w:t>四、</w:t>
      </w:r>
      <w:r>
        <w:rPr>
          <w:rStyle w:val="31"/>
          <w:rFonts w:hint="eastAsia"/>
          <w:color w:val="auto"/>
          <w:sz w:val="24"/>
          <w:szCs w:val="24"/>
          <w:lang w:eastAsia="zh-CN"/>
        </w:rPr>
        <w:t>成品油</w:t>
      </w:r>
      <w:r>
        <w:rPr>
          <w:rStyle w:val="31"/>
          <w:rFonts w:hint="eastAsia"/>
          <w:color w:val="auto"/>
          <w:sz w:val="24"/>
          <w:szCs w:val="24"/>
        </w:rPr>
        <w:t>进出口统计数据</w:t>
      </w:r>
      <w:r>
        <w:rPr>
          <w:color w:val="auto"/>
          <w:sz w:val="24"/>
          <w:szCs w:val="24"/>
        </w:rPr>
        <w:tab/>
      </w:r>
      <w:r>
        <w:rPr>
          <w:color w:val="auto"/>
          <w:sz w:val="24"/>
          <w:szCs w:val="24"/>
        </w:rPr>
        <w:fldChar w:fldCharType="begin"/>
      </w:r>
      <w:r>
        <w:rPr>
          <w:color w:val="auto"/>
          <w:sz w:val="24"/>
          <w:szCs w:val="24"/>
        </w:rPr>
        <w:instrText xml:space="preserve"> PAGEREF _Toc533771874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"_Toc533771875" </w:instrText>
      </w:r>
      <w:r>
        <w:fldChar w:fldCharType="separate"/>
      </w:r>
      <w:r>
        <w:rPr>
          <w:rStyle w:val="31"/>
          <w:rFonts w:ascii="宋体" w:hAnsi="宋体"/>
          <w:b/>
          <w:color w:val="auto"/>
          <w:sz w:val="24"/>
          <w:szCs w:val="24"/>
        </w:rPr>
        <w:t>4.1 201</w:t>
      </w:r>
      <w:r>
        <w:rPr>
          <w:rStyle w:val="31"/>
          <w:rFonts w:hint="eastAsia" w:ascii="宋体" w:hAnsi="宋体"/>
          <w:b/>
          <w:color w:val="auto"/>
          <w:sz w:val="24"/>
          <w:szCs w:val="24"/>
          <w:lang w:val="en-US" w:eastAsia="zh-CN"/>
        </w:rPr>
        <w:t>9</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2</w:t>
      </w:r>
      <w:r>
        <w:rPr>
          <w:rStyle w:val="31"/>
          <w:rFonts w:hint="eastAsia" w:ascii="宋体" w:hAnsi="宋体"/>
          <w:b/>
          <w:color w:val="auto"/>
          <w:sz w:val="24"/>
          <w:szCs w:val="24"/>
        </w:rPr>
        <w:t>份全国车用汽油和航空汽油进出口统计数据</w:t>
      </w:r>
      <w:r>
        <w:rPr>
          <w:color w:val="auto"/>
          <w:sz w:val="24"/>
          <w:szCs w:val="24"/>
        </w:rPr>
        <w:tab/>
      </w:r>
      <w:r>
        <w:rPr>
          <w:color w:val="auto"/>
          <w:sz w:val="24"/>
          <w:szCs w:val="24"/>
        </w:rPr>
        <w:fldChar w:fldCharType="begin"/>
      </w:r>
      <w:r>
        <w:rPr>
          <w:color w:val="auto"/>
          <w:sz w:val="24"/>
          <w:szCs w:val="24"/>
        </w:rPr>
        <w:instrText xml:space="preserve"> PAGEREF _Toc533771875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"_Toc533771876" </w:instrText>
      </w:r>
      <w:r>
        <w:fldChar w:fldCharType="separate"/>
      </w:r>
      <w:r>
        <w:rPr>
          <w:rStyle w:val="31"/>
          <w:rFonts w:ascii="宋体" w:hAnsi="宋体"/>
          <w:b/>
          <w:color w:val="auto"/>
          <w:sz w:val="24"/>
          <w:szCs w:val="24"/>
        </w:rPr>
        <w:t>4.2 201</w:t>
      </w:r>
      <w:r>
        <w:rPr>
          <w:rStyle w:val="31"/>
          <w:rFonts w:hint="eastAsia" w:ascii="宋体" w:hAnsi="宋体"/>
          <w:b/>
          <w:color w:val="auto"/>
          <w:sz w:val="24"/>
          <w:szCs w:val="24"/>
          <w:lang w:val="en-US" w:eastAsia="zh-CN"/>
        </w:rPr>
        <w:t>8</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1</w:t>
      </w:r>
      <w:r>
        <w:rPr>
          <w:rStyle w:val="31"/>
          <w:rFonts w:hint="eastAsia" w:ascii="宋体" w:hAnsi="宋体"/>
          <w:b/>
          <w:color w:val="auto"/>
          <w:sz w:val="24"/>
          <w:szCs w:val="24"/>
        </w:rPr>
        <w:t>月份全国轻柴油进出口统计数据</w:t>
      </w:r>
      <w:r>
        <w:rPr>
          <w:color w:val="auto"/>
          <w:sz w:val="24"/>
          <w:szCs w:val="24"/>
        </w:rPr>
        <w:tab/>
      </w:r>
      <w:r>
        <w:rPr>
          <w:color w:val="auto"/>
          <w:sz w:val="24"/>
          <w:szCs w:val="24"/>
        </w:rPr>
        <w:fldChar w:fldCharType="begin"/>
      </w:r>
      <w:r>
        <w:rPr>
          <w:color w:val="auto"/>
          <w:sz w:val="24"/>
          <w:szCs w:val="24"/>
        </w:rPr>
        <w:instrText xml:space="preserve"> PAGEREF _Toc533771876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"_Toc533771877" </w:instrText>
      </w:r>
      <w:r>
        <w:fldChar w:fldCharType="separate"/>
      </w:r>
      <w:r>
        <w:rPr>
          <w:rStyle w:val="31"/>
          <w:rFonts w:ascii="宋体" w:hAnsi="宋体"/>
          <w:b/>
          <w:color w:val="auto"/>
          <w:sz w:val="24"/>
          <w:szCs w:val="24"/>
        </w:rPr>
        <w:t>4.3 201</w:t>
      </w:r>
      <w:r>
        <w:rPr>
          <w:rStyle w:val="31"/>
          <w:rFonts w:hint="eastAsia" w:ascii="宋体" w:hAnsi="宋体"/>
          <w:b/>
          <w:color w:val="auto"/>
          <w:sz w:val="24"/>
          <w:szCs w:val="24"/>
          <w:lang w:val="en-US" w:eastAsia="zh-CN"/>
        </w:rPr>
        <w:t>9</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2</w:t>
      </w:r>
      <w:r>
        <w:rPr>
          <w:rStyle w:val="31"/>
          <w:rFonts w:hint="eastAsia" w:ascii="宋体" w:hAnsi="宋体"/>
          <w:b/>
          <w:color w:val="auto"/>
          <w:sz w:val="24"/>
          <w:szCs w:val="24"/>
        </w:rPr>
        <w:t>月份全国原油进出口统计数据</w:t>
      </w:r>
      <w:r>
        <w:rPr>
          <w:color w:val="auto"/>
          <w:sz w:val="24"/>
          <w:szCs w:val="24"/>
        </w:rPr>
        <w:tab/>
      </w:r>
      <w:r>
        <w:rPr>
          <w:color w:val="auto"/>
          <w:sz w:val="24"/>
          <w:szCs w:val="24"/>
        </w:rPr>
        <w:fldChar w:fldCharType="begin"/>
      </w:r>
      <w:r>
        <w:rPr>
          <w:color w:val="auto"/>
          <w:sz w:val="24"/>
          <w:szCs w:val="24"/>
        </w:rPr>
        <w:instrText xml:space="preserve"> PAGEREF _Toc533771877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"_Toc533771878" </w:instrText>
      </w:r>
      <w:r>
        <w:fldChar w:fldCharType="separate"/>
      </w:r>
      <w:r>
        <w:rPr>
          <w:rStyle w:val="31"/>
          <w:rFonts w:ascii="宋体" w:hAnsi="宋体"/>
          <w:b/>
          <w:color w:val="auto"/>
          <w:sz w:val="24"/>
          <w:szCs w:val="24"/>
        </w:rPr>
        <w:t>4.4 201</w:t>
      </w:r>
      <w:r>
        <w:rPr>
          <w:rStyle w:val="31"/>
          <w:rFonts w:hint="eastAsia" w:ascii="宋体" w:hAnsi="宋体"/>
          <w:b/>
          <w:color w:val="auto"/>
          <w:sz w:val="24"/>
          <w:szCs w:val="24"/>
          <w:lang w:val="en-US" w:eastAsia="zh-CN"/>
        </w:rPr>
        <w:t>9</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2</w:t>
      </w:r>
      <w:r>
        <w:rPr>
          <w:rStyle w:val="31"/>
          <w:rFonts w:hint="eastAsia" w:ascii="宋体" w:hAnsi="宋体"/>
          <w:b/>
          <w:color w:val="auto"/>
          <w:sz w:val="24"/>
          <w:szCs w:val="24"/>
        </w:rPr>
        <w:t>月份全国航空煤油进出口统计数据</w:t>
      </w:r>
      <w:r>
        <w:rPr>
          <w:color w:val="auto"/>
          <w:sz w:val="24"/>
          <w:szCs w:val="24"/>
        </w:rPr>
        <w:tab/>
      </w:r>
      <w:r>
        <w:rPr>
          <w:color w:val="auto"/>
          <w:sz w:val="24"/>
          <w:szCs w:val="24"/>
        </w:rPr>
        <w:fldChar w:fldCharType="begin"/>
      </w:r>
      <w:r>
        <w:rPr>
          <w:color w:val="auto"/>
          <w:sz w:val="24"/>
          <w:szCs w:val="24"/>
        </w:rPr>
        <w:instrText xml:space="preserve"> PAGEREF _Toc533771878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2"/>
        <w:spacing w:before="120" w:after="0" w:line="240" w:lineRule="auto"/>
        <w:rPr>
          <w:rFonts w:ascii="宋体" w:hAnsi="宋体"/>
          <w:b/>
          <w:sz w:val="24"/>
          <w:szCs w:val="24"/>
        </w:rPr>
      </w:pPr>
      <w:r>
        <w:rPr>
          <w:rFonts w:ascii="宋体" w:hAnsi="宋体"/>
          <w:b/>
          <w:kern w:val="2"/>
          <w:sz w:val="24"/>
          <w:szCs w:val="24"/>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533771861"/>
      <w:r>
        <w:rPr>
          <w:rFonts w:hint="eastAsia"/>
        </w:rPr>
        <w:t>一、国际原油市场回顾</w:t>
      </w:r>
      <w:bookmarkEnd w:id="0"/>
      <w:r>
        <w:rPr>
          <w:rFonts w:hint="eastAsia"/>
        </w:rPr>
        <w:t> </w:t>
      </w:r>
    </w:p>
    <w:p>
      <w:pPr>
        <w:pStyle w:val="3"/>
        <w:spacing w:before="120" w:after="120" w:line="240" w:lineRule="auto"/>
        <w:rPr>
          <w:rFonts w:hint="eastAsia" w:ascii="宋体" w:hAnsi="宋体"/>
          <w:b/>
          <w:sz w:val="30"/>
          <w:szCs w:val="30"/>
        </w:rPr>
      </w:pPr>
      <w:bookmarkStart w:id="1" w:name="_Toc533771862"/>
      <w:r>
        <w:rPr>
          <w:rFonts w:hint="eastAsia" w:ascii="宋体" w:hAnsi="宋体"/>
          <w:b/>
          <w:sz w:val="30"/>
          <w:szCs w:val="30"/>
        </w:rPr>
        <w:t>1.1国际原油收盘价涨跌情况（单位：美元/桶）</w:t>
      </w:r>
      <w:bookmarkEnd w:id="1"/>
    </w:p>
    <w:tbl>
      <w:tblPr>
        <w:tblStyle w:val="24"/>
        <w:tblW w:w="10152" w:type="dxa"/>
        <w:tblInd w:w="0" w:type="dxa"/>
        <w:tblLayout w:type="fixed"/>
        <w:tblCellMar>
          <w:top w:w="15" w:type="dxa"/>
          <w:left w:w="15" w:type="dxa"/>
          <w:bottom w:w="15" w:type="dxa"/>
          <w:right w:w="15" w:type="dxa"/>
        </w:tblCellMar>
      </w:tblPr>
      <w:tblGrid>
        <w:gridCol w:w="1291"/>
        <w:gridCol w:w="896"/>
        <w:gridCol w:w="870"/>
        <w:gridCol w:w="7095"/>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bookmarkStart w:id="2" w:name="_Toc533771863"/>
            <w:r>
              <w:rPr>
                <w:rFonts w:hint="eastAsia" w:asciiTheme="minorEastAsia" w:hAnsiTheme="minorEastAsia" w:eastAsiaTheme="minorEastAsia" w:cstheme="minorEastAsia"/>
                <w:color w:val="333335"/>
                <w:sz w:val="24"/>
                <w:szCs w:val="24"/>
                <w:shd w:val="clear" w:color="auto" w:fill="FFFFFF"/>
              </w:rPr>
              <w:t>日期</w:t>
            </w:r>
          </w:p>
        </w:tc>
        <w:tc>
          <w:tcPr>
            <w:tcW w:w="896"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纽交所</w:t>
            </w:r>
          </w:p>
        </w:tc>
        <w:tc>
          <w:tcPr>
            <w:tcW w:w="870"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伦交所</w:t>
            </w:r>
          </w:p>
        </w:tc>
        <w:tc>
          <w:tcPr>
            <w:tcW w:w="7095"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2020/4/15</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19.87</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27.69</w:t>
            </w:r>
          </w:p>
        </w:tc>
        <w:tc>
          <w:tcPr>
            <w:tcW w:w="70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因国际能源署在当天欧市早盘公布的最新一期月报中大幅下调年内全球原油需求预期，并预计此前达成的OPEC+减产协议不足以在短期内令市场供需恢复平衡，从而令油价走势承压。并且，当日美市盘中公布的最新一期美国能源信息署（EIA）周报数据显示，截至4月10日当周，在美国原油库存录得记录以来的最大单周增量1924.8万桶的同时，美国原油净进口量和炼厂原油加工量继续大幅下滑，这一利空报告数据公布后加重了国际原油期货的下行势头。在实盘剩余时段内，国际油价呈现低位整理走势，收盘双双录得下跌。</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2020/4/14</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20.11</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29.6</w:t>
            </w:r>
          </w:p>
        </w:tc>
        <w:tc>
          <w:tcPr>
            <w:tcW w:w="7095"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因当天印度总理莫迪宣布将全国封锁令将延长至5月3日并在此前继续执行严格的封锁措施，从而打压了投资者对石油消费复苏的预期，并且国际货币基金组织（IMF）在当天发布的最新一期《世界经济展望报告》预计今年全球经济将萎缩3%，为上世纪30年代大萧条以来最糟经济衰退，也加重了市场对年内石油需求受损的恐慌。这反映出在新一轮减产协议落地执行前，月内剩余时间内原油市场仍将面临日益加重的供应过剩压力，从而打压当日国际原油期货自欧市盘初起持续走低，收盘暴跌。</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2020/4/13</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22.41</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31.74</w:t>
            </w:r>
          </w:p>
        </w:tc>
        <w:tc>
          <w:tcPr>
            <w:tcW w:w="7095"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在经历了自北京时间9日晚间以来的逾三天时长的频繁协商后后，参与OPEC+紧急会议的与会各方终于在北京时间当日凌晨达成了历史上规模最大的、高达970万桶/日额度的减产协议，并于当天亚市盘初正式发布会议声明。受这一利好预期兑现影响，油价在当日亚市早盘交易中一度短暂走高。不过，由于大多数市场分析人士认为，虽然此次OPEC+会议上达成的减产协议规模创下历史记录，但在新冠肺炎疫情引发的全球范围内石油消费大幅下降的背景下，市场普遍认为这一减产幅度仍不足以扭转油市供应过剩及库存累积的利空压力，导致部分多头借机逢高了结，从而打压油价涨势回落。截至当日收盘，WTI和布伦特即期合约的结算价格录得跌涨互现。</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2020/4/10</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休市</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休市</w:t>
            </w:r>
          </w:p>
        </w:tc>
        <w:tc>
          <w:tcPr>
            <w:tcW w:w="70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沙特主持召开的欧佩克+紧急视频会议于北京时间4月13日凌晨结束。在经过长达一周的双边会谈以及全世界能源部长为期四天的视频会议，应对新冠疫情所造成的石油需求冲击的协议终于宣告达成。欧佩克人士透露，欧佩克+与会各国最终达成减产协议，首阶段将于今年五六月份每日减产原油970万桶，这也是欧佩克+机制成立以来达成的最大规模减产协议。</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2020/4/9</w:t>
            </w:r>
          </w:p>
        </w:tc>
        <w:tc>
          <w:tcPr>
            <w:tcW w:w="89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22.76</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31.48</w:t>
            </w:r>
          </w:p>
        </w:tc>
        <w:tc>
          <w:tcPr>
            <w:tcW w:w="709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截至当日国际原油期货实盘收盘，在当时举行的OPEC+紧急会议上尚未就减产1000万桶/日正式达成统一意见，但由于讨论的减产范围已逐步清晰，且该减产幅度未能达到市场所认为的、足以恢复能源市场平衡性的预期，从而令投资者对油市前景的看空情绪再度升温。</w:t>
            </w:r>
          </w:p>
        </w:tc>
      </w:tr>
    </w:tbl>
    <w:p>
      <w:pPr>
        <w:pStyle w:val="3"/>
        <w:spacing w:before="120" w:after="120" w:line="240" w:lineRule="auto"/>
        <w:rPr>
          <w:rFonts w:ascii="宋体" w:hAnsi="宋体"/>
          <w:b/>
          <w:sz w:val="30"/>
          <w:szCs w:val="30"/>
        </w:rPr>
      </w:pPr>
      <w:r>
        <w:rPr>
          <w:rFonts w:hint="eastAsia" w:ascii="宋体" w:hAnsi="宋体"/>
          <w:b/>
          <w:sz w:val="30"/>
          <w:szCs w:val="30"/>
        </w:rPr>
        <w:t>1.</w:t>
      </w:r>
      <w:r>
        <w:rPr>
          <w:rFonts w:ascii="宋体" w:hAnsi="宋体"/>
          <w:b/>
          <w:sz w:val="30"/>
          <w:szCs w:val="30"/>
        </w:rPr>
        <w:t>2</w:t>
      </w:r>
      <w:r>
        <w:rPr>
          <w:rFonts w:hint="eastAsia" w:ascii="宋体" w:hAnsi="宋体"/>
          <w:b/>
          <w:sz w:val="30"/>
          <w:szCs w:val="30"/>
        </w:rPr>
        <w:t xml:space="preserve"> </w:t>
      </w:r>
      <w:r>
        <w:rPr>
          <w:rFonts w:ascii="宋体" w:hAnsi="宋体"/>
          <w:b/>
          <w:sz w:val="30"/>
          <w:szCs w:val="30"/>
        </w:rPr>
        <w:t>20</w:t>
      </w:r>
      <w:r>
        <w:rPr>
          <w:rFonts w:hint="eastAsia" w:ascii="宋体" w:hAnsi="宋体"/>
          <w:b/>
          <w:sz w:val="30"/>
          <w:szCs w:val="30"/>
          <w:lang w:val="en-US" w:eastAsia="zh-CN"/>
        </w:rPr>
        <w:t>20</w:t>
      </w:r>
      <w:r>
        <w:rPr>
          <w:rFonts w:ascii="宋体" w:hAnsi="宋体"/>
          <w:b/>
          <w:sz w:val="30"/>
          <w:szCs w:val="30"/>
        </w:rPr>
        <w:t>年</w:t>
      </w:r>
      <w:r>
        <w:rPr>
          <w:rFonts w:hint="eastAsia" w:ascii="宋体" w:hAnsi="宋体"/>
          <w:b/>
          <w:sz w:val="30"/>
          <w:szCs w:val="30"/>
        </w:rPr>
        <w:t>国际</w:t>
      </w:r>
      <w:r>
        <w:rPr>
          <w:rFonts w:ascii="宋体" w:hAnsi="宋体"/>
          <w:b/>
          <w:sz w:val="30"/>
          <w:szCs w:val="30"/>
        </w:rPr>
        <w:t>原油价格走势图</w:t>
      </w:r>
      <w:bookmarkEnd w:id="2"/>
    </w:p>
    <w:p>
      <w:r>
        <w:drawing>
          <wp:inline distT="0" distB="0" distL="114300" distR="114300">
            <wp:extent cx="4182745" cy="3368040"/>
            <wp:effectExtent l="0" t="0" r="8255" b="3810"/>
            <wp:docPr id="7" name="图片 1" descr="`$U)4Q[%@O`]5E)1$Y2D}9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U)4Q[%@O`]5E)1$Y2D}9J"/>
                    <pic:cNvPicPr>
                      <a:picLocks noChangeAspect="1"/>
                    </pic:cNvPicPr>
                  </pic:nvPicPr>
                  <pic:blipFill>
                    <a:blip r:embed="rId8"/>
                    <a:stretch>
                      <a:fillRect/>
                    </a:stretch>
                  </pic:blipFill>
                  <pic:spPr>
                    <a:xfrm>
                      <a:off x="0" y="0"/>
                      <a:ext cx="4182745" cy="3368040"/>
                    </a:xfrm>
                    <a:prstGeom prst="rect">
                      <a:avLst/>
                    </a:prstGeom>
                    <a:noFill/>
                    <a:ln>
                      <a:noFill/>
                    </a:ln>
                  </pic:spPr>
                </pic:pic>
              </a:graphicData>
            </a:graphic>
          </wp:inline>
        </w:drawing>
      </w:r>
    </w:p>
    <w:p>
      <w:pPr>
        <w:pStyle w:val="2"/>
        <w:spacing w:before="120" w:after="0" w:line="240" w:lineRule="auto"/>
      </w:pPr>
      <w:bookmarkStart w:id="3" w:name="_Toc533771864"/>
      <w:r>
        <w:t>二、</w:t>
      </w:r>
      <w:r>
        <w:rPr>
          <w:rFonts w:hint="eastAsia"/>
        </w:rPr>
        <w:t>近期影响国际原油市场的主要因素</w:t>
      </w:r>
      <w:bookmarkEnd w:id="3"/>
    </w:p>
    <w:p>
      <w:pPr>
        <w:pStyle w:val="3"/>
        <w:spacing w:before="120" w:after="120" w:line="240" w:lineRule="auto"/>
        <w:rPr>
          <w:rFonts w:ascii="宋体" w:hAnsi="宋体"/>
          <w:b/>
          <w:sz w:val="30"/>
          <w:szCs w:val="30"/>
        </w:rPr>
      </w:pPr>
      <w:bookmarkStart w:id="4" w:name="_Toc533771865"/>
      <w:r>
        <w:rPr>
          <w:rFonts w:hint="eastAsia" w:ascii="宋体" w:hAnsi="宋体"/>
          <w:b/>
          <w:sz w:val="30"/>
          <w:szCs w:val="30"/>
        </w:rPr>
        <w:t>2.1影响国际原油市场的主要因素</w:t>
      </w:r>
      <w:bookmarkEnd w:id="4"/>
    </w:p>
    <w:p>
      <w:pPr>
        <w:ind w:firstLine="551" w:firstLineChars="196"/>
        <w:outlineLvl w:val="1"/>
        <w:rPr>
          <w:rFonts w:hint="eastAsia" w:ascii="黑体" w:hAnsi="宋体" w:eastAsia="黑体"/>
          <w:b/>
          <w:color w:val="000000"/>
          <w:sz w:val="28"/>
          <w:szCs w:val="28"/>
        </w:rPr>
      </w:pPr>
      <w:bookmarkStart w:id="5" w:name="_Toc10115991"/>
      <w:r>
        <w:rPr>
          <w:rFonts w:hint="eastAsia" w:ascii="黑体" w:hAnsi="宋体" w:eastAsia="黑体"/>
          <w:b/>
          <w:color w:val="000000"/>
          <w:sz w:val="28"/>
          <w:szCs w:val="28"/>
        </w:rPr>
        <w:t>1.美国原油库存情况</w:t>
      </w:r>
      <w:bookmarkEnd w:id="5"/>
      <w:r>
        <w:rPr>
          <w:rFonts w:hint="eastAsia" w:ascii="黑体" w:hAnsi="宋体" w:eastAsia="黑体"/>
          <w:b/>
          <w:color w:val="000000"/>
          <w:sz w:val="28"/>
          <w:szCs w:val="28"/>
        </w:rPr>
        <w:t xml:space="preserve"> </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bookmarkStart w:id="6" w:name="_Toc10115992"/>
      <w:r>
        <w:rPr>
          <w:rFonts w:hint="eastAsia" w:ascii="宋体" w:hAnsi="宋体" w:eastAsia="宋体" w:cs="宋体"/>
          <w:color w:val="333335"/>
          <w:kern w:val="2"/>
          <w:sz w:val="28"/>
          <w:szCs w:val="28"/>
          <w:shd w:val="clear" w:color="auto" w:fill="FFFFFF"/>
          <w:lang w:eastAsia="zh-CN"/>
        </w:rPr>
        <w:t>本周美国石油协会(API)公布的数据显示，美国截至4月10日当周API原油库存增加1314.3万桶，预期增加1160万桶;汽油库存增加222.6万桶精炼油库存增加564万桶。美国能源信息署(EIA)周三(4月8日)报告显示，截至4月3日当周美国除却战略储备的商业原油库存增幅超预期，精炼油库存基本符合预期，而汽油库存增幅超预期。具体数据显示，美国截至4月3日当周EIA原油库存变动实际公布增加1517.7万桶，预期增加967.9万桶，前值增加1383.3万桶。此外，美国截至4月3日当周EIA汽油库存实际公布增加1049.7万桶，预期增加582.1万桶，前值增加752.4万桶;美国截至4月3日当周EIA精炼油库存实际公布增加47.6万桶，预期增加78.8万桶，前值减少219.4万桶。</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p>
    <w:p>
      <w:pPr>
        <w:pStyle w:val="23"/>
        <w:spacing w:line="360" w:lineRule="auto"/>
        <w:ind w:firstLine="562" w:firstLineChars="200"/>
        <w:rPr>
          <w:rFonts w:hint="eastAsia" w:asciiTheme="minorEastAsia" w:hAnsiTheme="minorEastAsia" w:eastAsiaTheme="minorEastAsia" w:cstheme="minorEastAsia"/>
          <w:sz w:val="24"/>
          <w:szCs w:val="24"/>
        </w:rPr>
      </w:pPr>
      <w:r>
        <w:rPr>
          <w:rFonts w:hint="eastAsia" w:ascii="黑体" w:eastAsia="黑体"/>
          <w:b/>
          <w:sz w:val="28"/>
          <w:szCs w:val="28"/>
        </w:rPr>
        <w:t>2.美国经济形势</w:t>
      </w:r>
      <w:bookmarkEnd w:id="6"/>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bookmarkStart w:id="7" w:name="_Toc10115993"/>
      <w:r>
        <w:rPr>
          <w:rFonts w:hint="eastAsia" w:ascii="宋体" w:hAnsi="宋体" w:eastAsia="宋体" w:cs="宋体"/>
          <w:color w:val="333335"/>
          <w:kern w:val="2"/>
          <w:sz w:val="28"/>
          <w:szCs w:val="28"/>
          <w:shd w:val="clear" w:color="auto" w:fill="FFFFFF"/>
          <w:lang w:eastAsia="zh-CN"/>
        </w:rPr>
        <w:t>4月14日(周二)，当天汇市消息面延续清淡，虽然特朗普曾于当地时间隔夜盘后声称将研究重启经济、开放学校的计划，但由于目前美国新冠肺炎确诊人数仍处于持续增长阶段，且累计确诊人数已逼近60万人大关，因此市场预期短期内不存在重启经济的客观条件，从而令美元走势承压。此外，国际货币基金组织(IMF)在当天发布的最新一期《世界经济展望报告》中，预计今年全球经济将萎缩3%，为上世纪30年代大萧条以来最糟经济衰退，并大幅下调年内美国GDP增速至负增长区间，这也加重了市场对美元的做空情绪。当天，美元走势收盘承压下跌，美元对一揽子多数主要货币汇率全线录得下跌。</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ICE美元指数收盘报98.875，欧元兑换1.0946美元，英镑兑换1.2567美元，澳元兑换0.6408美元，美元兑换107.45日元，美元兑换1.3894加元。</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4月14日，当天仍未有美国相关的重要经济数据发布，虽然特朗普曾于隔夜发言称将开始研究重启经济的计划，但在美国新冠肺炎确诊人数持续增长的当下，市场预期短期内不存在重启的客观条件，从而对美元指数形成打压。此外，在IMF于当天公布的最新一期《世界经济展望报告》中，将美国年内GDP增速自上期前值2.0%大幅下调至-5.9%，这一预期也严重挫伤了投资者对美元的信心。</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IMF在世界经济展望报告中称：预计2020年全球GDP增速为-3%，此前预期为3.3%。预计2021年全球GDP增速为5.8%，此前预期为3.4%。预计2020年美国GDP增速为-5.9%，此前预期为2.0%;预计2021年美国GDP增速为4.7%，此前预期为1.7%。IMF预计，疫情对经济造成的损失约为9万亿美元，下行风险占据全球(经济)前景的主导地位。预计疫情对美国经济的冲击将延续至2020年下半年和2021年。</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据华盛顿邮报当天在报告中援引的一份计划副本内容显示，美国疾控中心(CDC)和联邦应急管理局(FEMA)已经起草了一份公共卫生战略计划，以逐步重启美国部分地区的经济。该计划分为三个阶段：在5月1日前，为重启全国大选开始做准备;到5月15日，增加检测剂和个人防护装备的生产;此后将根据当地情况开始分阶段重新开放。</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美东时间当日晚间，美国总统特朗普宣布成立顾问团，为经济复苏建言献策，其成员包括来自几乎所有行业的上百位高管，其中包括苹果公司CEO库克、沃尔玛总裁董明伦 (Doug McMillon)、拉斯维加斯金沙集团CEO阿德尔森 (Sheldon Adelson)、新英格兰爱国者队老板卡夫等。此外，名单中还包括前国务卿赖斯等政界和智库人士。</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当天，美国联邦预算问责委员会表示，预计美国经济将在2025年前重回危机前的轨道。预计到9月30日，2020财年底美国公共债务占GDP比重将超过100%。预期是基于当前法律支出、新冠病毒导致的封锁和高失业率的情况。</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4月14日，欧元收盘上涨，欧元兑美元汇率上涨。当天未有欧元区相关重要经济数据发布，且IMF在报告中同样大幅下调了对年内欧元区经济的增速预期至下行区间，但由于欧盟境内疫情形势较美国现状偏乐观，从而提振了市场对欧元的避险性买盘。</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IMF在最新世界经济展望报告中预计2020年欧元区GDP增速为-7.5%，此前预期为1.3%;预计2021年欧元区GDP增速为4.7%，此前预期为1.4%。</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另外，当天七国集团财政部长和央行行长发表联合声明称，应对新冠疫情，国际社会采取协调一致的行动至关重要。声明内容显示，新冠疫情正在给全球经济带来前所未有的挑战。七国集团财长和央行行长将继续利用一切可用政策工具，推动经济强劲、可持续、平衡和包容增长。国际货币基金组织(IMF)随时准备动用1万亿美元借贷能力，帮助其成员克服危机。七国集团财长和央行行长支持这一行动，并呼吁向IMF相关基金提供更多紧急捐款。</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当日，欧盟委员会副主席东布罗夫斯基斯发言称：新的欧盟预算提案将是"有雄心的"。欧盟的预算在疫情下的复苏中扮演中心角色。受疫情影响，欧盟正在研究调整银行规则。</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4月14日，英镑收盘上涨，英镑兑美元汇率上涨。当天未有英国相关重要经济数据发布，受欧元升势带动，英镑收盘上涨。</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当天，英国预算责任办公室(OBR)在发布的报告中称：预计英国第二季度GDP将萎缩35%，此后将快速反弹。预计第二季度，英国失业率将升至10%，此后缓慢下降。预计2020-2021财年，英国预算赤字升至GDP的14%。预计2020-2021财年，英国借款额达到2730亿英镑。</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4月14日，日元收盘上涨，美元兑日元汇率下跌。受全球经济衰退预期影响，市场对避险日元的看涨情绪继续升温，提振日元震荡走高。</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今日重要财经要闻关注：法国3月CPI年率终值(%)、美国3月零售销售月率(%)、美国3月工业产出月率(%)。</w:t>
      </w:r>
    </w:p>
    <w:p>
      <w:pPr>
        <w:pStyle w:val="23"/>
        <w:spacing w:line="360" w:lineRule="auto"/>
        <w:ind w:firstLine="562" w:firstLineChars="200"/>
        <w:jc w:val="both"/>
        <w:rPr>
          <w:rFonts w:hint="eastAsia" w:ascii="黑体" w:eastAsia="黑体"/>
          <w:b/>
          <w:sz w:val="28"/>
          <w:szCs w:val="28"/>
        </w:rPr>
      </w:pPr>
      <w:r>
        <w:rPr>
          <w:rFonts w:hint="eastAsia" w:ascii="黑体" w:eastAsia="黑体"/>
          <w:b/>
          <w:sz w:val="28"/>
          <w:szCs w:val="28"/>
        </w:rPr>
        <w:t>3.世界经济形势</w:t>
      </w:r>
      <w:bookmarkEnd w:id="7"/>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国际货币基金组织(IMF)最新发布的《世界经济展望报告》称，新冠肺炎疫情在全球扩散蔓延，将对世界经济带来严重冲击，其影响程度将超过2008年国际金融危机。面对这场公共卫生和全球经济的双重危机，IMF强烈敦促各国强化多边合作，共同推动疫情后全球经济的复苏。</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4月14日，国际货币基金组织(IMF)发布最新一期《世界经济展望报告》称，受新冠肺炎疫情冲击，2020年全球经济预计将萎缩3%，为上世纪30年代大萧条以来最严重的经济衰退。目前，全球疫情何时得到遏制仍存不确定性。IMF认为，若疫情能在今年下半年消退，相关抗疫措施逐渐放宽并配合一系列政策支持，2021年全球经济依然有望反弹至增长5.8%。IMF指出，强有力的多边合作，对于遏制疫情蔓延和全球经济复苏至关重要。</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“多重因素导致全球经济大幅放缓”</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IMF表示，自1月份IMF发布《世界经济展望报告》更新内容以来，全球经济形势急剧变化，新冠肺炎疫情引发的全球公共卫生危机对经济活动造成巨大冲击。为遏制疫情蔓延，多数经济体采取了“隔离、区域封锁、社交疏离”等措施，这些举措带来的经济冲击通过贸易和产业链扩散到贸易伙伴乃至全球。假如疫情在今年第二季度达到峰值并在下半年消退，今年全球经济将萎缩3%。这与今年1月份3.3%的增速预测相比，大幅下调了6.3个百分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这是在很短时间内IMF做出的大幅修正。随着各国为控制疫情而采取必要的措施，许多国家面临包括公共卫生危机、金融危机在内的多重危机，它们以复杂方式相互作用。”IMF首席经济学家吉塔·戈皮塔表示，这是自上世纪30年代大萧条以来发达经济体、新兴市场和发展中经济体首次同时陷入经济衰退，预计今年170多个国家和地区的人均收入将出现下降。据估计，此次疫情在2020年和2021年对全球GDP造成的累计损失可能约为9万亿美元。</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具体而言，IMF预测2020年发达国家经济将萎缩6.1%，如果疫情在下半年消退，2021年有望增长4.5%。发展中和新兴市场国家经济体今年将萎缩1.0%，明年有望增长6.6%。吉塔·戈皮塔表示：“目前疫情及经济走势仍不明朗。全球经济能否在2021年出现反弹复苏，很大程度上要依赖于疫情防控的结果。”</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多重因素导致全球经济大幅放缓。”IMF研究部世界经济研究处处长马尔哈·纳布尔对本报记者表示，一是疫情造成经济活动中断;二是外部需求疲软和供应链中断造成的全球溢出效应;三是争相购买避险资产和借贷成本上升带来的相关金融压力。此外，对于资源出口型国家而言，需求疲软造成的大宗商品价格急剧下跌，给相关国家的公共财政和外贸带</w:t>
      </w:r>
      <w:bookmarkStart w:id="22" w:name="_GoBack"/>
      <w:bookmarkEnd w:id="22"/>
      <w:r>
        <w:rPr>
          <w:rFonts w:hint="eastAsia" w:ascii="宋体" w:hAnsi="宋体" w:eastAsia="宋体" w:cs="宋体"/>
          <w:color w:val="333335"/>
          <w:kern w:val="2"/>
          <w:sz w:val="28"/>
          <w:szCs w:val="28"/>
          <w:shd w:val="clear" w:color="auto" w:fill="FFFFFF"/>
          <w:lang w:eastAsia="zh-CN"/>
        </w:rPr>
        <w:t>来压力。</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IMF认为，由于部分行业受到冲击严重，政策制定者实施了大量有针对性的财政、货币和金融市场措施，以支持受影响的家庭和企业。在整个疫情防控阶段，应继续提供这种支持，以尽量减少经济严重衰退期间投资乏力和失业可能带来的持久创伤。马尔哈·纳布尔强调，持续有效和沟通良好的政策行动对于提振商业信心和加强经贸活动至关重要。</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“中国经济社会秩序加快恢复令人鼓舞”</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IMF多次表示：“中国经济社会秩序加快恢复令人鼓舞。正确的政策举措能有效对冲和减缓疫情带来的冲击，发挥重要作用。”IMF总裁格奥尔基耶娃多次表示：“中国经济具有较强韧性，通过政府提供的政策支持，中国经济正在重返正轨。”在最新报告中，IMF预测中国经济今年仍将保持增长。</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IMF当天还发布了《全球金融稳定报告》，IMF金融顾问兼货币和资本市场部主任托拜厄斯·阿德里安在回答本报记者提问时表示，得益于及时采取有效的“组合拳”应对疫情冲击，包括严格的公共卫生健康措施，以及一系列有针对性的货币和财政政策等，“中国经济秩序正快速恢复正常”。</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马尔哈·纳布尔认为，中国在疫情防控的同时统筹做好经济社会发展工作，政策反应迅速，帮助保护受影响的民众、企业和最困难群体，为世界经济稳定作出了积极贡献。同时，由于贸易环境的变化，中国经济要注意面临来自外部需求减弱的挑战。</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“多边合作对全球经济恢复健康至关重要”</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今年全球经济下滑的幅度存在相当大不确定性，疫情结束后全球复苏的力度也存在很大不确定性。”马尔哈·纳布尔认为，在经历了一段时间的衰退和收入下降后，对危机蔓延的担忧可能会对民众的消费支出造成压力，由此减缓复苏进度。</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“多边合作对全球经济恢复健康至关重要。”吉塔·戈皮塔认为，各国急需强化合作，助力经济恢复健康，避免全球化进程和经济复苏受到损害。</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IMF呼吁各国强化多边合作，希望各国政府加大医疗健康领域的投入建设，保证医疗物资的贸易流通顺畅，共同研发疫苗和药物，让所有国家都能共享成果。</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IMF警告称，新冠肺炎疫情正在使全球经济陷入上世纪30年代大萧条以来最严重的衰退，各国政府和卫生官员只有共同努力、团结合作，才能防止出现更糟糕的结果。如果政策制定者不能协调全球应对疫情，经济衰退可能会延续到2021年。</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从历史上看正是国际合作的失败让大萧条肆虐全球，文章呼吁IMF、世界银行等国际机构和各国央行通力合作，采取积极措施维护全球金融体系的稳定和健康。文章表示：“正如通过早期大胆的措施可以最有效地控制疫情一样，我们必须迅速回应，共同行动。”</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中国外交部发言人赵立坚表示，越是关键时刻，越需要国际社会秉持构建人类命运共同体理念，发扬同舟共济、合作共赢的伙伴精神，团结应对、共克时艰，为世界经济发展注入信心、增添力量。</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lang w:eastAsia="zh-CN"/>
        </w:rPr>
        <w:t>马尔哈·纳布尔强调，强化多边合作对应对全球公共卫生危机十分重要。他建议国际社会共同努力，寻找疫苗和治疗方法，同时确保基本医疗用品和设备的跨境运输没有障碍，并向低收入国家提供多边援助。“合作解决贸易争端，降低扭曲的贸易壁垒，将极大助力全球经济复苏。”</w:t>
      </w:r>
    </w:p>
    <w:p>
      <w:pPr>
        <w:pStyle w:val="23"/>
        <w:numPr>
          <w:ilvl w:val="0"/>
          <w:numId w:val="0"/>
        </w:numPr>
        <w:rPr>
          <w:rFonts w:hint="eastAsia" w:ascii="黑体" w:eastAsia="黑体"/>
          <w:b/>
          <w:sz w:val="28"/>
          <w:szCs w:val="28"/>
        </w:rPr>
      </w:pPr>
      <w:r>
        <w:rPr>
          <w:rFonts w:hint="eastAsia" w:ascii="黑体" w:eastAsia="黑体"/>
          <w:b/>
          <w:sz w:val="28"/>
          <w:szCs w:val="28"/>
          <w:lang w:val="en-US" w:eastAsia="zh-CN"/>
        </w:rPr>
        <w:t>4、</w:t>
      </w:r>
      <w:r>
        <w:rPr>
          <w:rFonts w:hint="eastAsia" w:ascii="黑体" w:eastAsia="黑体"/>
          <w:b/>
          <w:sz w:val="28"/>
          <w:szCs w:val="28"/>
        </w:rPr>
        <w:t>后市预测</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bookmarkStart w:id="8" w:name="_Toc533771866"/>
      <w:r>
        <w:rPr>
          <w:rFonts w:hint="eastAsia" w:ascii="宋体" w:hAnsi="宋体" w:eastAsia="宋体" w:cs="宋体"/>
          <w:color w:val="333335"/>
          <w:kern w:val="2"/>
          <w:sz w:val="28"/>
          <w:szCs w:val="28"/>
          <w:shd w:val="clear" w:color="auto" w:fill="FFFFFF"/>
          <w:lang w:eastAsia="zh-CN"/>
        </w:rPr>
        <w:t>本周美国WTI原油原油价格在20.6-23.5美元/桶。布伦特原油价格在21.72-29.25美元/桶震荡。周内美国最大产油州的一些钻探商认为减产幅度超出了必要范围而拒绝进一步减产，使得欧佩克在全球范围内大幅减产的计划在德克萨斯州遭遇阻力，加之美国能源信息署(EIA)将于周三公布上周原油、汽油和馏分油库存全面大幅增加的预期也令油市承压，油价周二(4月14日)大幅下挫：美国WTI原油5月期货收盘下跌2.30美元，跌幅10.3%，报20.11美元/桶，为本月以来的最低收盘价，略高于3月30日创下的18年来最低收盘价格20.09美元/桶。WTI原油盘中曾跌破20美元支撑位，至19.96美元/桶;布伦特原油6月期货下跌2.14美元，跌幅6.7%，报29.60美元/桶。布伦特原油价格上月和第一季度分别下跌48%和61%。</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上周日，欧佩克及其包括俄罗斯在内的盟友召开的紧急会议最终决定将日产量削减970万桶，这是该组织历史上最大的一次减产。不过，鉴于为抗击新冠大流行而采取的经济措施导致全球需求大幅下降，这种降价不太可能对价格产生太大实质性的影响。全球最大的进口国之一——印度周二将其封锁措施再延长两周，而法国、德国和英国预计未来几天均将宣布至少延长三周。</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基本面利好因素：</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美国石油协会(API)周二公布报告显示，至4月10日当周，API汽油库存增加222.6万桶，远低于此前一周增加的940万桶，以及预期的680万桶。此前三周，汽油库存净增加1,650万桶;API库欣原油库存增加536.1万桶，低于此前一周的680万桶。</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至于每周钻机数量，贝克休斯报告称，过去四周减少了179台钻机，至504台，但总数仍比2016年5月316台的低点高出60%。</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基本面利空因素：</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美国石油协会(API)周二公布报告显示，至4月10日当周，API原油库存增加1314.3万桶，高于此前预期1160万桶。过去三周，原油库存增加3,060万桶;API精炼油库存增加564万桶，远高于预期的123.9万桶，过去三周精炼油净减少了240万桶。</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沙特能源大臣称沙特4月原油产量将为1230万桶/日时表示，如果沙特在本月最后一天前都以最高产速产油，那么5月原油库存仍将增加。</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美国油企高管向得州监管机构就该州是否应迫使企业减产以抵消疫情影响发表意见，在此之后投资者变得越来越悲观。部分高管支持强制减产，另一些人则反对，但他们都指出，在疫情导致全球石油需求萎缩三个月后，目前无论当局采取什么行动，短期内都无法解决严重的供应过剩问题。</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瑞士能源风险咨询公司Zug创始人雅各布(Olivier Jakob)表示:“未来两周，我们仍然处在需求被最大程度破坏、原油供应接近历史最高水平的环境中，且可能会看到原油库存的持续增加。未来供应减少和需求改善的前景，可能会减轻夏季之后的期货溢价压力，但现货可能仍将承压。”</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预测下周WTI油价将触及22-25美元/桶，布油在之后几个月触及20-28美元/桶。</w:t>
      </w:r>
    </w:p>
    <w:p>
      <w:pPr>
        <w:pStyle w:val="3"/>
        <w:spacing w:before="120" w:after="120" w:line="240" w:lineRule="auto"/>
        <w:rPr>
          <w:rFonts w:hint="eastAsia" w:ascii="宋体" w:hAnsi="宋体"/>
          <w:b/>
          <w:sz w:val="30"/>
          <w:szCs w:val="30"/>
          <w:highlight w:val="none"/>
        </w:rPr>
      </w:pPr>
      <w:r>
        <w:rPr>
          <w:rFonts w:hint="eastAsia" w:ascii="宋体" w:hAnsi="宋体"/>
          <w:b/>
          <w:sz w:val="30"/>
          <w:szCs w:val="30"/>
          <w:highlight w:val="none"/>
        </w:rPr>
        <w:t>2.2国际市场MTBE价格</w:t>
      </w:r>
      <w:bookmarkEnd w:id="8"/>
    </w:p>
    <w:p/>
    <w:tbl>
      <w:tblPr>
        <w:tblStyle w:val="24"/>
        <w:tblW w:w="7230" w:type="dxa"/>
        <w:tblInd w:w="0" w:type="dxa"/>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9" w:name="_Toc533771867"/>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single" w:color="000000" w:sz="4" w:space="0"/>
              <w:right w:val="nil"/>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4月15日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214.30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72.29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210.25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4月14日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206.40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72.25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214.75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4月13日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192.00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70.58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204.50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4月10日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4月9日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229.50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67.98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204.50 </w:t>
            </w:r>
          </w:p>
        </w:tc>
      </w:tr>
    </w:tbl>
    <w:p>
      <w:pPr>
        <w:pStyle w:val="2"/>
        <w:spacing w:before="120" w:after="0" w:line="240" w:lineRule="auto"/>
        <w:rPr>
          <w:rFonts w:ascii="黑体" w:hAnsi="宋体" w:eastAsia="黑体"/>
          <w:b/>
          <w:szCs w:val="30"/>
        </w:rPr>
      </w:pPr>
      <w:r>
        <w:rPr>
          <w:rFonts w:hint="eastAsia"/>
        </w:rPr>
        <w:t>三</w:t>
      </w:r>
      <w:r>
        <w:rPr>
          <w:rFonts w:hint="eastAsia"/>
          <w:b/>
        </w:rPr>
        <w:t>、本周国内市场</w:t>
      </w:r>
      <w:bookmarkEnd w:id="9"/>
    </w:p>
    <w:p>
      <w:pPr>
        <w:pStyle w:val="3"/>
        <w:spacing w:before="120" w:after="120" w:line="240" w:lineRule="auto"/>
      </w:pPr>
      <w:bookmarkStart w:id="10" w:name="_Toc533771868"/>
      <w:r>
        <w:rPr>
          <w:rFonts w:hint="eastAsia" w:ascii="宋体" w:hAnsi="宋体"/>
          <w:b/>
          <w:sz w:val="30"/>
          <w:szCs w:val="30"/>
          <w:highlight w:val="none"/>
        </w:rPr>
        <w:t>3.1 国内炼厂装置运行情况</w:t>
      </w:r>
      <w:bookmarkEnd w:id="10"/>
    </w:p>
    <w:p>
      <w:pPr>
        <w:rPr>
          <w:rFonts w:hint="eastAsia" w:ascii="宋体" w:hAnsi="宋体"/>
          <w:sz w:val="28"/>
          <w:szCs w:val="28"/>
          <w:highlight w:val="none"/>
        </w:rPr>
      </w:pPr>
      <w:r>
        <w:rPr>
          <w:rFonts w:hint="eastAsia" w:ascii="宋体" w:hAnsi="宋体"/>
          <w:sz w:val="28"/>
          <w:szCs w:val="28"/>
          <w:highlight w:val="none"/>
        </w:rPr>
        <w:t>（1）国内主营炼厂装置检修情况</w:t>
      </w:r>
    </w:p>
    <w:p>
      <w:pPr>
        <w:rPr>
          <w:rFonts w:hint="eastAsia" w:ascii="宋体" w:hAnsi="宋体"/>
          <w:sz w:val="28"/>
          <w:szCs w:val="28"/>
          <w:highlight w:val="none"/>
        </w:rPr>
      </w:pPr>
    </w:p>
    <w:tbl>
      <w:tblPr>
        <w:tblStyle w:val="24"/>
        <w:tblW w:w="940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97"/>
        <w:gridCol w:w="1699"/>
        <w:gridCol w:w="1841"/>
        <w:gridCol w:w="2220"/>
        <w:gridCol w:w="214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1497" w:type="dxa"/>
            <w:tcBorders>
              <w:top w:val="single" w:color="000000" w:sz="6" w:space="0"/>
              <w:left w:val="single" w:color="000000" w:sz="6" w:space="0"/>
              <w:bottom w:val="single" w:color="000000" w:sz="6" w:space="0"/>
              <w:right w:val="single" w:color="000000" w:sz="6" w:space="0"/>
            </w:tcBorders>
            <w:shd w:val="clear" w:color="auto" w:fill="00B0F0"/>
            <w:vAlign w:val="center"/>
          </w:tcPr>
          <w:p>
            <w:pPr>
              <w:widowControl/>
              <w:jc w:val="center"/>
              <w:rPr>
                <w:rFonts w:hint="eastAsia" w:ascii="宋体" w:hAnsi="宋体" w:cs="宋体"/>
                <w:kern w:val="0"/>
                <w:szCs w:val="21"/>
                <w:lang w:val="en-US" w:eastAsia="zh-CN"/>
              </w:rPr>
            </w:pPr>
            <w:r>
              <w:rPr>
                <w:rFonts w:hint="default" w:ascii="宋体" w:hAnsi="宋体" w:cs="宋体"/>
                <w:kern w:val="0"/>
                <w:szCs w:val="21"/>
                <w:lang w:val="en-US" w:eastAsia="zh-CN"/>
              </w:rPr>
              <w:t>炼厂名称</w:t>
            </w:r>
          </w:p>
        </w:tc>
        <w:tc>
          <w:tcPr>
            <w:tcW w:w="1699" w:type="dxa"/>
            <w:tcBorders>
              <w:top w:val="single" w:color="000000" w:sz="6" w:space="0"/>
              <w:left w:val="single" w:color="000000" w:sz="6" w:space="0"/>
              <w:bottom w:val="single" w:color="000000" w:sz="6" w:space="0"/>
              <w:right w:val="single" w:color="000000" w:sz="6" w:space="0"/>
            </w:tcBorders>
            <w:shd w:val="clear" w:color="auto" w:fill="00B0F0"/>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检修装置</w:t>
            </w:r>
          </w:p>
        </w:tc>
        <w:tc>
          <w:tcPr>
            <w:tcW w:w="1841" w:type="dxa"/>
            <w:tcBorders>
              <w:top w:val="single" w:color="000000" w:sz="6" w:space="0"/>
              <w:left w:val="single" w:color="000000" w:sz="6" w:space="0"/>
              <w:bottom w:val="single" w:color="000000" w:sz="6" w:space="0"/>
              <w:right w:val="single" w:color="000000" w:sz="6" w:space="0"/>
            </w:tcBorders>
            <w:shd w:val="clear" w:color="auto" w:fill="00B0F0"/>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装置能力</w:t>
            </w:r>
            <w:r>
              <w:rPr>
                <w:rFonts w:hint="eastAsia" w:ascii="宋体" w:hAnsi="宋体" w:cs="宋体"/>
                <w:kern w:val="0"/>
                <w:szCs w:val="21"/>
                <w:highlight w:val="none"/>
                <w:lang w:val="en-US" w:eastAsia="zh-CN"/>
              </w:rPr>
              <w:t>（万吨）</w:t>
            </w:r>
          </w:p>
        </w:tc>
        <w:tc>
          <w:tcPr>
            <w:tcW w:w="2220" w:type="dxa"/>
            <w:tcBorders>
              <w:top w:val="single" w:color="000000" w:sz="6" w:space="0"/>
              <w:left w:val="single" w:color="000000" w:sz="6" w:space="0"/>
              <w:bottom w:val="single" w:color="000000" w:sz="6" w:space="0"/>
              <w:right w:val="single" w:color="000000" w:sz="6" w:space="0"/>
            </w:tcBorders>
            <w:shd w:val="clear" w:color="auto" w:fill="00B0F0"/>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开始时间</w:t>
            </w:r>
          </w:p>
        </w:tc>
        <w:tc>
          <w:tcPr>
            <w:tcW w:w="2145" w:type="dxa"/>
            <w:tcBorders>
              <w:top w:val="single" w:color="000000" w:sz="6" w:space="0"/>
              <w:left w:val="single" w:color="000000" w:sz="6" w:space="0"/>
              <w:bottom w:val="single" w:color="000000" w:sz="6" w:space="0"/>
              <w:right w:val="single" w:color="000000" w:sz="6" w:space="0"/>
            </w:tcBorders>
            <w:shd w:val="clear" w:color="auto" w:fill="00B0F0"/>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结束时间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茂名石化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4#常减压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2020/2/15</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2020/4/15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石家庄炼化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渣油加氢</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150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2020/3/1</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2020/4/8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石家庄炼化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2#加氢装置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100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2020/8/1</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2020/8/30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塔河石化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1#常减压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150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2020/3/15</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2020/4/25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上海石化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350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2020/3/17</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上海石化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3#柴油加氢</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330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2020/3/17</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高桥石化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3#催化裂化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140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2020/3/31</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2020/5/14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镇海石化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1#常减压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800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2020/3/16</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2020/4/30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镇海石化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1#催化裂化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180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2020/3/16</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2020/4/30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镇海石化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1#加氢裂化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240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2020/3/16</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2020/5/5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镇海石化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3#延迟焦化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210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2020/3/18</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2020/6/30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北海石化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650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2020/3/18</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2020/5/18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燕山石化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2020/3/23</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2020/5/5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燕山石化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3#催化裂化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2020/3/23</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2020/5/5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大连石化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2020/3/25</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2020/5/25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广西石化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2020/2/10</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惠州石化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一期全厂</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1200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2020/2/18</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2020/4/16</w:t>
            </w:r>
          </w:p>
        </w:tc>
      </w:tr>
    </w:tbl>
    <w:p>
      <w:pPr>
        <w:numPr>
          <w:ilvl w:val="0"/>
          <w:numId w:val="0"/>
        </w:numPr>
        <w:rPr>
          <w:rFonts w:hint="eastAsia" w:ascii="宋体" w:hAnsi="宋体"/>
          <w:sz w:val="28"/>
          <w:szCs w:val="28"/>
          <w:highlight w:val="none"/>
        </w:rPr>
      </w:pPr>
    </w:p>
    <w:p>
      <w:pPr>
        <w:numPr>
          <w:ilvl w:val="0"/>
          <w:numId w:val="1"/>
        </w:numPr>
        <w:rPr>
          <w:rFonts w:hint="eastAsia" w:ascii="宋体" w:hAnsi="宋体"/>
          <w:sz w:val="28"/>
          <w:szCs w:val="28"/>
          <w:highlight w:val="none"/>
        </w:rPr>
      </w:pPr>
      <w:r>
        <w:rPr>
          <w:rFonts w:hint="eastAsia" w:ascii="宋体" w:hAnsi="宋体"/>
          <w:sz w:val="28"/>
          <w:szCs w:val="28"/>
          <w:highlight w:val="none"/>
        </w:rPr>
        <w:t>国内地方炼厂装置检修情况</w:t>
      </w:r>
    </w:p>
    <w:p>
      <w:pPr>
        <w:numPr>
          <w:ilvl w:val="0"/>
          <w:numId w:val="0"/>
        </w:numPr>
        <w:rPr>
          <w:rFonts w:hint="eastAsia" w:ascii="宋体" w:hAnsi="宋体"/>
          <w:sz w:val="28"/>
          <w:szCs w:val="28"/>
          <w:highlight w:val="none"/>
        </w:rPr>
      </w:pPr>
    </w:p>
    <w:tbl>
      <w:tblPr>
        <w:tblStyle w:val="24"/>
        <w:tblW w:w="9405" w:type="dxa"/>
        <w:tblInd w:w="0" w:type="dxa"/>
        <w:shd w:val="clear" w:color="auto" w:fill="auto"/>
        <w:tblLayout w:type="autofit"/>
        <w:tblCellMar>
          <w:top w:w="0" w:type="dxa"/>
          <w:left w:w="0" w:type="dxa"/>
          <w:bottom w:w="0" w:type="dxa"/>
          <w:right w:w="0" w:type="dxa"/>
        </w:tblCellMar>
      </w:tblPr>
      <w:tblGrid>
        <w:gridCol w:w="1515"/>
        <w:gridCol w:w="1455"/>
        <w:gridCol w:w="1890"/>
        <w:gridCol w:w="2385"/>
        <w:gridCol w:w="2160"/>
      </w:tblGrid>
      <w:tr>
        <w:tblPrEx>
          <w:shd w:val="clear" w:color="auto" w:fill="auto"/>
          <w:tblCellMar>
            <w:top w:w="0" w:type="dxa"/>
            <w:left w:w="0" w:type="dxa"/>
            <w:bottom w:w="0" w:type="dxa"/>
            <w:right w:w="0" w:type="dxa"/>
          </w:tblCellMar>
        </w:tblPrEx>
        <w:trPr>
          <w:trHeight w:val="24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炼厂名称</w:t>
            </w:r>
          </w:p>
        </w:tc>
        <w:tc>
          <w:tcPr>
            <w:tcW w:w="145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检修装置</w:t>
            </w:r>
          </w:p>
        </w:tc>
        <w:tc>
          <w:tcPr>
            <w:tcW w:w="18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检修产能（万吨）</w:t>
            </w:r>
          </w:p>
        </w:tc>
        <w:tc>
          <w:tcPr>
            <w:tcW w:w="23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停工时间</w:t>
            </w:r>
          </w:p>
        </w:tc>
        <w:tc>
          <w:tcPr>
            <w:tcW w:w="216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开工时间</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日照岚桥</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2019年9月初</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2020年3月底</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万通石化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430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2019年9月12日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待定</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垦利石化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2019年10月5日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2019年10月下旬</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中海精细</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2020年1月12日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2020年4月1日</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汇丰石化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2019年11月18日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待定</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奥星石化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2019年12月25日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2020年1月1日</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恒源石化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2020年1月28日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2020年2月底</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垦利石化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2020年2月4日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待定</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神驰化工</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2020年2月</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2020年3月底</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万达天弘</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2020年2月初</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2020年3月下旬</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寿光联盟</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2020年2月</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2020年2月底</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华星石化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1600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2020年2月中</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2020年3月15日</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昌邑石化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1280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2020年2月中</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2020年3月13日</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正和石化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2020年2月中</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2020年3月15日</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滨阳燃化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910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2020年2月</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2020年2月底</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玉皇化工</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670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2020年2月</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2020年3月初</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尚能石化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460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2020年2月</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2020年3月8日</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胜星化工</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380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2020年2月</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2020年3月12日</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科力达石化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2020年2月</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2020年2月底</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中海沥青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2020年2月</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2020年3月9日</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无棣鑫岳</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2020年2月</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2020年3月9日</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华联石化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400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2020年3月下旬</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待定</w:t>
            </w:r>
          </w:p>
        </w:tc>
      </w:tr>
    </w:tbl>
    <w:p>
      <w:pPr>
        <w:numPr>
          <w:ilvl w:val="0"/>
          <w:numId w:val="0"/>
        </w:numPr>
        <w:jc w:val="center"/>
        <w:rPr>
          <w:rFonts w:hint="eastAsia" w:ascii="宋体" w:hAnsi="宋体"/>
          <w:sz w:val="28"/>
          <w:szCs w:val="28"/>
          <w:highlight w:val="none"/>
        </w:rPr>
      </w:pPr>
    </w:p>
    <w:p>
      <w:pPr>
        <w:rPr>
          <w:rFonts w:hint="eastAsia"/>
        </w:rPr>
      </w:pPr>
      <w:bookmarkStart w:id="11" w:name="_Toc533771869"/>
    </w:p>
    <w:p>
      <w:pPr>
        <w:pStyle w:val="3"/>
        <w:spacing w:before="120" w:after="120" w:line="240" w:lineRule="auto"/>
        <w:rPr>
          <w:rFonts w:hint="eastAsia" w:ascii="宋体" w:hAnsi="宋体"/>
          <w:b/>
          <w:sz w:val="30"/>
          <w:szCs w:val="30"/>
          <w:highlight w:val="none"/>
        </w:rPr>
      </w:pPr>
      <w:r>
        <w:rPr>
          <w:rFonts w:hint="eastAsia" w:ascii="宋体" w:hAnsi="宋体"/>
          <w:b/>
          <w:sz w:val="30"/>
          <w:szCs w:val="30"/>
          <w:highlight w:val="none"/>
        </w:rPr>
        <w:t>3.2本周成品油市场行情</w:t>
      </w:r>
      <w:bookmarkEnd w:id="11"/>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bookmarkStart w:id="12" w:name="_Toc533771870"/>
      <w:r>
        <w:rPr>
          <w:rFonts w:hint="eastAsia" w:ascii="宋体" w:hAnsi="宋体" w:eastAsia="宋体" w:cs="宋体"/>
          <w:color w:val="333335"/>
          <w:kern w:val="2"/>
          <w:sz w:val="28"/>
          <w:szCs w:val="28"/>
          <w:shd w:val="clear" w:color="auto" w:fill="FFFFFF"/>
          <w:lang w:eastAsia="zh-CN"/>
        </w:rPr>
        <w:t>本周，国际原油期货震荡下行，第一个工作日参考原油变化率为-12.97%。受此影响，国内成品油市场购销氛围持淡，各地主营单位汽柴油执行优惠政策。与此同时，山东地炼成品油行情先扬后抑，各炼厂实际成交保持100元/吨左右优惠。具体来看出货方面：周初，受原油盘中反弹提振，区内油市看涨气氛渐起，买卖双方操作积极性提升，地炼油价趁机推涨。然而好景不长，临近周末外盘油价连续两日大跌，使得中下游商家采购步伐戛然而止，从而导致地炼仅能采取降价促销策略来吸引买家，但社会单位库存充足抑制下游入市采购，市场交投气氛平平。</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后市前瞻：进入下周，全球疫情数据将决定油价的走势，18和25美元/桶为WTI和布伦特的下一个支撑位。以WTI为例，主流运行区间在18-23(均值20.5)美元/桶之间，环比下降0.79美元/桶或3.71%。在缺少实质性利好因素提振下，山东地区成品油行情疲软态势难改，地炼汽柴油价格仍将被原油走势所左右，建议中下游商家短线操作采取快进快出策略，切忌大量囤货。综上所述，预计山东地炼汽柴油价格低位震荡。</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本周(4月10日-4月16日)供需占据主导，华中区内油价震荡上行。具体分析如下，本周，国际原油弱势下行，零售价依然受“地板价”机制影响未能调整，消息面整体指向偏空。然市场受消息面影响有限，随着区内终端需求不断向好，下游一度集中抄底补货，主营销售进展十分乐观，据悉，目前已有部分主营提前完成月度销量。加上部分地区主营受资源配置调整等因素影响，资源出现短暂趋紧态势，供需面更占据主导，主营侧重提价保利。尤其柴油价格涨势明显，目前区内柴油均已涨至甚至超过批发限价，因汽油终端需求提量有限，整体行情表现弱于柴油。业者建仓后陆续退市观望，购销气氛逐渐转淡。后市而言，国际原油近期或难改疲态，消息面难寻支撑。主营或侧重保利们价格易涨难跌，不过柴油已居于高位水平。故预计后期区内汽柴油价格或将维持窄幅波动为主。</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本周(4月10日-4月16日)，华东地区成品油行情震荡下行，市场整体交投气氛一般。具体来看，周内国际原油期价涨跌不一，消息面支撑有限，区内成品油价格保持窄幅震荡运行。与此同时，调价窗口迎来“三连停”，区内工矿、基建等大型项目开启让柴油需求旺盛，柴油价格随之走高，柴油多为挺价，而民众出行长途旅行受限，汽油需求疲软且价格波动不及柴油，故汽油多以稳价为主。且进入中旬大部分主营销售任务已完成超三分之二，优惠政策适时收窄，市场多消库观望为主，下游商家多按需小单成交。综上所述，市场购进意识淡薄，区内整体交投气氛清淡。后期来看，原油期价或震荡偏下行，消息面难寻支撑，市场观望情绪仍存，故业者补货受限。故预计下周华东地区成品油行情或稳中上涨。</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本周(4月10日-4月16日)，华南地区成品油行情窄幅波动，市场购销气氛维持清淡。具体来看，国际原油期货震荡下跌，变化率负向区间运行，受“地板价”影响，本轮零售价依然停调，消息方面影响有限。与此同时，山东地炼汽柴油价格稳中下跌，主营单位外采成本稍有降低。然而，由于大多主营单位销售进度良好，部分单位甚至已完成本月销售任务，故试探性推涨汽柴油价格，其中柴油价格涨幅略大。而后，随着原油期货价格一度连跌，消息面施压油市，区内汽柴油价格稳中走跌，市场购销氛围清淡不已。后市来看，国际原油期货不乏继续下探可能，消息方面依然偏空。与此同时，业者消库之余按需购进，主营单位出货节奏放缓。预计下周华南地区汽柴油行情或承压下探。</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本周(4月10日-4月16日)，华北地区主营汽柴油行情稳中有涨，下游业者观望气氛不减。分析来看，周内国际原油弱势下行，消息面对市场指向利空。山东地炼汽柴油行情涨后回落，主营外采成本略有支撑。需求方面来看，目前基建、工矿企业恢复正常，柴油终端需求提升;汽油方面随着民众出行增多，汽油耗油量亦有所增长。加之区内部分主营保利润政策为主，故区内主营成品油多稳定整理，个别单位涨至批发到位价，实盘成交优惠商谈。下游业者观望气氛不减，入市成交小单按需为主。后市来看，国际原油短期或维持弱势区间震荡，消息面指引偏空，预计短期区内成品油行情弱势整理。</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本周(4月10日-4月16日)，西南地区汽柴行情震荡走高，市场成交氛围平淡。分析来看：周内国际油价震荡下行，原油均价低于40美元/桶，国内成品油零售价继续停调，消息面对市场影响有限。不过，由于北海石化、广西石化及延长旗下延炼检修，市场供应减量。同时，山东地炼及延长集团汽柴价格仍有所走高，尤其，柴油价格处于高位，主营外采资源以汽油为主，区内柴油资源出现紧张局面。主营汽柴价格多有推涨，其中，柴油价格已接近批发限价。随着汽柴价格涨至高位，业者抵触情绪明显增加，近期消耗库存为主，市场购销两淡。就后市而言，国际油价低位震荡，消息面对市场难有指引，业者消库之余按需采购，市场成交难有提升。不过，部分地区资源偏紧，加之，主营单位为消化高企的客存量，或继续推价限销。预计短期内西南地区汽柴行情偏强震荡。</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本周(4月10日-4月16日)，西北地炼汽柴行情有所提升，市场成交转淡。分析来看：周内国际油价震荡下行，消息面对市场难有支撑。不过，延炼检修期间，市场供应减少。此外，随着下游需求持续向好，业者近期补货积极，销售公司出货好转，汽柴价格有所推涨。其中，柴油涨200元/吨，汽油涨100元/吨。不过，随着下游补货到位，市场成交逐步转淡。就后市而言，国际油价弱势震荡，且国内成品油零售价将继续停调，消息面对市场指引有限。不过，延炼检修对价格仍有支撑。预计短线西北地炼汽柴行情维持坚挺。不过，柴油价格涨至高位，业者补货心态趋于谨慎，市场成交转淡;汽油价格仍处于低位，但需求面支撑力度有限，业者大单补货亦有限。</w:t>
      </w:r>
    </w:p>
    <w:p>
      <w:pPr>
        <w:pStyle w:val="3"/>
        <w:spacing w:before="120" w:after="120" w:line="240" w:lineRule="auto"/>
        <w:rPr>
          <w:rFonts w:ascii="宋体" w:hAnsi="宋体"/>
          <w:b/>
          <w:sz w:val="30"/>
          <w:szCs w:val="30"/>
        </w:rPr>
      </w:pPr>
      <w:r>
        <w:rPr>
          <w:rFonts w:hint="eastAsia" w:ascii="宋体" w:hAnsi="宋体"/>
          <w:b/>
          <w:sz w:val="30"/>
          <w:szCs w:val="30"/>
        </w:rPr>
        <w:t>3.3 国内汽油价格周报</w:t>
      </w:r>
      <w:bookmarkEnd w:id="12"/>
    </w:p>
    <w:p>
      <w:pPr>
        <w:rPr>
          <w:rFonts w:hint="eastAsia"/>
        </w:rPr>
      </w:pPr>
      <w:r>
        <w:rPr>
          <w:rFonts w:hint="eastAsia"/>
        </w:rPr>
        <w:t>单位：元/吨</w:t>
      </w:r>
    </w:p>
    <w:tbl>
      <w:tblPr>
        <w:tblStyle w:val="24"/>
        <w:tblW w:w="9615" w:type="dxa"/>
        <w:tblInd w:w="0" w:type="dxa"/>
        <w:shd w:val="clear" w:color="auto" w:fill="auto"/>
        <w:tblLayout w:type="fixed"/>
        <w:tblCellMar>
          <w:top w:w="0" w:type="dxa"/>
          <w:left w:w="0" w:type="dxa"/>
          <w:bottom w:w="0" w:type="dxa"/>
          <w:right w:w="0" w:type="dxa"/>
        </w:tblCellMar>
      </w:tblPr>
      <w:tblGrid>
        <w:gridCol w:w="825"/>
        <w:gridCol w:w="1080"/>
        <w:gridCol w:w="1005"/>
        <w:gridCol w:w="945"/>
        <w:gridCol w:w="1080"/>
        <w:gridCol w:w="1080"/>
        <w:gridCol w:w="1080"/>
        <w:gridCol w:w="1260"/>
        <w:gridCol w:w="1260"/>
      </w:tblGrid>
      <w:tr>
        <w:tblPrEx>
          <w:shd w:val="clear" w:color="auto" w:fill="auto"/>
          <w:tblCellMar>
            <w:top w:w="0" w:type="dxa"/>
            <w:left w:w="0" w:type="dxa"/>
            <w:bottom w:w="0" w:type="dxa"/>
            <w:right w:w="0" w:type="dxa"/>
          </w:tblCellMar>
        </w:tblPrEx>
        <w:trPr>
          <w:trHeight w:val="2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2020/4/16</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2020/4/9</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-90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5560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5160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5560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5160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390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7240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7730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7730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7240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7730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7730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4950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533771871"/>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tbl>
      <w:tblPr>
        <w:tblStyle w:val="24"/>
        <w:tblW w:w="9675" w:type="dxa"/>
        <w:tblInd w:w="0" w:type="dxa"/>
        <w:shd w:val="clear" w:color="auto" w:fill="auto"/>
        <w:tblLayout w:type="autofit"/>
        <w:tblCellMar>
          <w:top w:w="0" w:type="dxa"/>
          <w:left w:w="0" w:type="dxa"/>
          <w:bottom w:w="0" w:type="dxa"/>
          <w:right w:w="0" w:type="dxa"/>
        </w:tblCellMar>
      </w:tblPr>
      <w:tblGrid>
        <w:gridCol w:w="780"/>
        <w:gridCol w:w="1080"/>
        <w:gridCol w:w="1080"/>
        <w:gridCol w:w="945"/>
        <w:gridCol w:w="795"/>
        <w:gridCol w:w="1080"/>
        <w:gridCol w:w="885"/>
        <w:gridCol w:w="1515"/>
        <w:gridCol w:w="1515"/>
      </w:tblGrid>
      <w:tr>
        <w:tblPrEx>
          <w:shd w:val="clear" w:color="auto" w:fill="auto"/>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2020/4/16</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2020/4/9</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连云港市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舟山市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潮州市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海口市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5390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5595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5390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5595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5390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5615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5510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115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5615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115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5615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九江市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5785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5785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5595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5595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5280</w:t>
            </w:r>
          </w:p>
        </w:tc>
      </w:tr>
    </w:tbl>
    <w:p>
      <w:pPr>
        <w:pStyle w:val="3"/>
        <w:spacing w:before="120" w:after="120" w:line="240" w:lineRule="auto"/>
        <w:rPr>
          <w:rFonts w:hint="eastAsia" w:ascii="宋体" w:hAnsi="宋体"/>
          <w:b/>
          <w:sz w:val="30"/>
          <w:szCs w:val="30"/>
          <w:lang w:val="en-US" w:eastAsia="zh-CN"/>
        </w:rPr>
      </w:pPr>
      <w:bookmarkStart w:id="14" w:name="_Toc533771872"/>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tbl>
      <w:tblPr>
        <w:tblStyle w:val="24"/>
        <w:tblW w:w="9405" w:type="dxa"/>
        <w:tblInd w:w="0" w:type="dxa"/>
        <w:shd w:val="clear" w:color="auto" w:fill="auto"/>
        <w:tblLayout w:type="fixed"/>
        <w:tblCellMar>
          <w:top w:w="0" w:type="dxa"/>
          <w:left w:w="0" w:type="dxa"/>
          <w:bottom w:w="0" w:type="dxa"/>
          <w:right w:w="0" w:type="dxa"/>
        </w:tblCellMar>
      </w:tblPr>
      <w:tblGrid>
        <w:gridCol w:w="945"/>
        <w:gridCol w:w="1470"/>
        <w:gridCol w:w="1170"/>
        <w:gridCol w:w="1155"/>
        <w:gridCol w:w="1065"/>
        <w:gridCol w:w="1080"/>
        <w:gridCol w:w="1260"/>
        <w:gridCol w:w="1260"/>
      </w:tblGrid>
      <w:tr>
        <w:tblPrEx>
          <w:shd w:val="clear" w:color="auto" w:fill="auto"/>
          <w:tblCellMar>
            <w:top w:w="0" w:type="dxa"/>
            <w:left w:w="0" w:type="dxa"/>
            <w:bottom w:w="0" w:type="dxa"/>
            <w:right w:w="0"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1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2020/4/16</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2020/4/9</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5025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5045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5175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5195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5022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5075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5156</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5266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5313</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5" w:name="_Toc533771873"/>
      <w:r>
        <w:rPr>
          <w:rFonts w:hint="eastAsia" w:ascii="宋体" w:hAnsi="宋体"/>
          <w:b/>
          <w:sz w:val="30"/>
          <w:szCs w:val="30"/>
          <w:lang w:val="en-US" w:eastAsia="zh-CN"/>
        </w:rPr>
        <w:t>3.6 山东地炼柴油出厂价格周报</w:t>
      </w:r>
      <w:bookmarkEnd w:id="15"/>
    </w:p>
    <w:p>
      <w:pPr>
        <w:rPr>
          <w:rFonts w:hint="eastAsia"/>
          <w:bCs/>
          <w:szCs w:val="21"/>
          <w:lang w:val="en-US" w:eastAsia="zh-CN"/>
        </w:rPr>
      </w:pPr>
      <w:r>
        <w:rPr>
          <w:rFonts w:hint="eastAsia"/>
          <w:bCs/>
          <w:szCs w:val="21"/>
          <w:lang w:val="en-US" w:eastAsia="zh-CN"/>
        </w:rPr>
        <w:t>单位：元/吨</w:t>
      </w:r>
    </w:p>
    <w:tbl>
      <w:tblPr>
        <w:tblStyle w:val="24"/>
        <w:tblW w:w="9300" w:type="dxa"/>
        <w:tblInd w:w="0" w:type="dxa"/>
        <w:shd w:val="clear" w:color="auto" w:fill="auto"/>
        <w:tblLayout w:type="fixed"/>
        <w:tblCellMar>
          <w:top w:w="0" w:type="dxa"/>
          <w:left w:w="0" w:type="dxa"/>
          <w:bottom w:w="0" w:type="dxa"/>
          <w:right w:w="0" w:type="dxa"/>
        </w:tblCellMar>
      </w:tblPr>
      <w:tblGrid>
        <w:gridCol w:w="675"/>
        <w:gridCol w:w="1875"/>
        <w:gridCol w:w="1080"/>
        <w:gridCol w:w="1080"/>
        <w:gridCol w:w="1080"/>
        <w:gridCol w:w="1080"/>
        <w:gridCol w:w="1215"/>
        <w:gridCol w:w="1215"/>
      </w:tblGrid>
      <w:tr>
        <w:tblPrEx>
          <w:shd w:val="clear" w:color="auto" w:fill="auto"/>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2020/4/16</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2020/4/9</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5020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5020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w:t>
            </w: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5090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5130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常压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5180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鑫泰石化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岚桥港口石化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5390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bl>
    <w:p>
      <w:pPr>
        <w:pStyle w:val="3"/>
        <w:spacing w:before="120" w:after="120" w:line="240" w:lineRule="auto"/>
        <w:rPr>
          <w:rFonts w:hint="eastAsia" w:ascii="宋体" w:hAnsi="宋体"/>
          <w:b/>
          <w:sz w:val="10"/>
          <w:szCs w:val="10"/>
          <w:lang w:val="en-US" w:eastAsia="zh-CN"/>
        </w:rPr>
      </w:pPr>
      <w:bookmarkStart w:id="16" w:name="_Toc533771874"/>
    </w:p>
    <w:p>
      <w:pPr>
        <w:rPr>
          <w:rFonts w:hint="eastAsia"/>
          <w:lang w:val="en-US" w:eastAsia="zh-CN"/>
        </w:rPr>
      </w:pPr>
    </w:p>
    <w:p>
      <w:pPr>
        <w:pStyle w:val="3"/>
        <w:spacing w:before="120" w:after="120" w:line="240" w:lineRule="auto"/>
        <w:rPr>
          <w:rFonts w:hint="eastAsia"/>
          <w:lang w:val="en-US" w:eastAsia="zh-CN"/>
        </w:rPr>
      </w:pPr>
      <w:r>
        <w:rPr>
          <w:rFonts w:hint="eastAsia" w:ascii="宋体" w:hAnsi="宋体"/>
          <w:b/>
          <w:sz w:val="30"/>
          <w:szCs w:val="30"/>
          <w:lang w:val="en-US" w:eastAsia="zh-CN"/>
        </w:rPr>
        <w:t>四、2019年12月份进出口统计数据</w:t>
      </w:r>
      <w:bookmarkEnd w:id="16"/>
      <w:bookmarkStart w:id="17" w:name="_Toc533771875"/>
    </w:p>
    <w:p>
      <w:pPr>
        <w:pStyle w:val="3"/>
        <w:spacing w:before="120" w:after="120" w:line="240" w:lineRule="auto"/>
        <w:rPr>
          <w:rFonts w:hint="eastAsia" w:ascii="宋体" w:hAnsi="宋体"/>
          <w:b/>
          <w:sz w:val="30"/>
          <w:szCs w:val="30"/>
        </w:rPr>
      </w:pPr>
      <w:r>
        <w:rPr>
          <w:rFonts w:hint="eastAsia" w:ascii="宋体" w:hAnsi="宋体"/>
          <w:b/>
          <w:sz w:val="30"/>
          <w:szCs w:val="30"/>
        </w:rPr>
        <w:t>4.1 201</w:t>
      </w:r>
      <w:r>
        <w:rPr>
          <w:rFonts w:hint="eastAsia" w:ascii="宋体" w:hAnsi="宋体"/>
          <w:b/>
          <w:sz w:val="30"/>
          <w:szCs w:val="30"/>
          <w:lang w:val="en-US" w:eastAsia="zh-CN"/>
        </w:rPr>
        <w:t>9</w:t>
      </w:r>
      <w:r>
        <w:rPr>
          <w:rFonts w:hint="eastAsia" w:ascii="宋体" w:hAnsi="宋体"/>
          <w:b/>
          <w:sz w:val="30"/>
          <w:szCs w:val="30"/>
        </w:rPr>
        <w:t>年1</w:t>
      </w:r>
      <w:r>
        <w:rPr>
          <w:rFonts w:hint="eastAsia" w:ascii="宋体" w:hAnsi="宋体"/>
          <w:b/>
          <w:sz w:val="30"/>
          <w:szCs w:val="30"/>
          <w:lang w:val="en-US" w:eastAsia="zh-CN"/>
        </w:rPr>
        <w:t>2</w:t>
      </w:r>
      <w:r>
        <w:rPr>
          <w:rFonts w:hint="eastAsia" w:ascii="宋体" w:hAnsi="宋体"/>
          <w:b/>
          <w:sz w:val="30"/>
          <w:szCs w:val="30"/>
        </w:rPr>
        <w:t>份全国车用汽油和航空汽油进出口统计数据</w:t>
      </w:r>
      <w:bookmarkEnd w:id="17"/>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pPr w:leftFromText="180" w:rightFromText="180" w:vertAnchor="text" w:horzAnchor="page" w:tblpX="1305" w:tblpY="376"/>
        <w:tblOverlap w:val="never"/>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415"/>
        <w:gridCol w:w="2415"/>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shd w:val="clear" w:color="auto" w:fill="00CCFF"/>
            <w:vAlign w:val="center"/>
          </w:tcPr>
          <w:p>
            <w:pPr>
              <w:rPr>
                <w:bCs/>
                <w:szCs w:val="21"/>
              </w:rPr>
            </w:pPr>
            <w:r>
              <w:rPr>
                <w:rFonts w:hint="eastAsia"/>
                <w:bCs/>
                <w:szCs w:val="21"/>
                <w:lang w:val="en-US" w:eastAsia="zh-CN"/>
              </w:rPr>
              <w:t>产销国</w:t>
            </w:r>
          </w:p>
        </w:tc>
        <w:tc>
          <w:tcPr>
            <w:tcW w:w="2415" w:type="dxa"/>
            <w:shd w:val="clear" w:color="auto" w:fill="00CCFF"/>
            <w:vAlign w:val="center"/>
          </w:tcPr>
          <w:p>
            <w:pPr>
              <w:rPr>
                <w:bCs/>
                <w:szCs w:val="21"/>
              </w:rPr>
            </w:pPr>
            <w:r>
              <w:rPr>
                <w:rFonts w:hint="eastAsia"/>
                <w:bCs/>
                <w:szCs w:val="21"/>
                <w:lang w:val="en-US" w:eastAsia="zh-CN"/>
              </w:rPr>
              <w:t>出口数量</w:t>
            </w:r>
          </w:p>
        </w:tc>
        <w:tc>
          <w:tcPr>
            <w:tcW w:w="2415" w:type="dxa"/>
            <w:shd w:val="clear" w:color="auto" w:fill="00CCFF"/>
            <w:vAlign w:val="center"/>
          </w:tcPr>
          <w:p>
            <w:pPr>
              <w:rPr>
                <w:bCs/>
                <w:szCs w:val="21"/>
              </w:rPr>
            </w:pPr>
            <w:r>
              <w:rPr>
                <w:rFonts w:hint="eastAsia"/>
                <w:bCs/>
                <w:szCs w:val="21"/>
                <w:lang w:val="en-US" w:eastAsia="zh-CN"/>
              </w:rPr>
              <w:t>出口美元</w:t>
            </w:r>
          </w:p>
        </w:tc>
        <w:tc>
          <w:tcPr>
            <w:tcW w:w="2640" w:type="dxa"/>
            <w:shd w:val="clear" w:color="auto" w:fill="00CCFF"/>
            <w:vAlign w:val="center"/>
          </w:tcPr>
          <w:p>
            <w:pPr>
              <w:rPr>
                <w:bCs/>
                <w:szCs w:val="21"/>
              </w:rPr>
            </w:pPr>
            <w:r>
              <w:rPr>
                <w:rFonts w:hint="eastAsia"/>
                <w:bCs/>
                <w:szCs w:val="21"/>
                <w:lang w:val="en-US" w:eastAsia="zh-CN"/>
              </w:rPr>
              <w:t>出口均价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rPr>
                <w:bCs/>
                <w:szCs w:val="21"/>
              </w:rPr>
            </w:pPr>
            <w:r>
              <w:rPr>
                <w:rFonts w:hint="default"/>
                <w:bCs/>
                <w:szCs w:val="21"/>
                <w:lang w:val="en-US" w:eastAsia="zh-CN"/>
              </w:rPr>
              <w:t>澳大利亚</w:t>
            </w:r>
          </w:p>
        </w:tc>
        <w:tc>
          <w:tcPr>
            <w:tcW w:w="2415" w:type="dxa"/>
            <w:vAlign w:val="center"/>
          </w:tcPr>
          <w:p>
            <w:pPr>
              <w:rPr>
                <w:bCs/>
                <w:szCs w:val="21"/>
              </w:rPr>
            </w:pPr>
            <w:r>
              <w:rPr>
                <w:rFonts w:hint="default"/>
                <w:bCs/>
                <w:szCs w:val="21"/>
                <w:lang w:val="en-US" w:eastAsia="zh-CN"/>
              </w:rPr>
              <w:t>35065.127</w:t>
            </w:r>
          </w:p>
        </w:tc>
        <w:tc>
          <w:tcPr>
            <w:tcW w:w="2415" w:type="dxa"/>
            <w:vAlign w:val="center"/>
          </w:tcPr>
          <w:p>
            <w:pPr>
              <w:rPr>
                <w:bCs/>
                <w:szCs w:val="21"/>
              </w:rPr>
            </w:pPr>
            <w:r>
              <w:rPr>
                <w:rFonts w:hint="default"/>
                <w:bCs/>
                <w:szCs w:val="21"/>
                <w:lang w:val="en-US" w:eastAsia="zh-CN"/>
              </w:rPr>
              <w:t>21318750</w:t>
            </w:r>
          </w:p>
        </w:tc>
        <w:tc>
          <w:tcPr>
            <w:tcW w:w="2640" w:type="dxa"/>
            <w:vAlign w:val="center"/>
          </w:tcPr>
          <w:p>
            <w:pPr>
              <w:rPr>
                <w:bCs/>
                <w:szCs w:val="21"/>
              </w:rPr>
            </w:pPr>
            <w:r>
              <w:rPr>
                <w:rFonts w:hint="default"/>
                <w:bCs/>
                <w:szCs w:val="21"/>
                <w:lang w:val="en-US" w:eastAsia="zh-CN"/>
              </w:rPr>
              <w:t>607.98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rPr>
                <w:bCs/>
                <w:szCs w:val="21"/>
              </w:rPr>
            </w:pPr>
            <w:r>
              <w:rPr>
                <w:rFonts w:hint="default"/>
                <w:bCs/>
                <w:szCs w:val="21"/>
                <w:lang w:val="en-US" w:eastAsia="zh-CN"/>
              </w:rPr>
              <w:t>澳门</w:t>
            </w:r>
          </w:p>
        </w:tc>
        <w:tc>
          <w:tcPr>
            <w:tcW w:w="2415" w:type="dxa"/>
            <w:vAlign w:val="center"/>
          </w:tcPr>
          <w:p>
            <w:pPr>
              <w:rPr>
                <w:bCs/>
                <w:szCs w:val="21"/>
              </w:rPr>
            </w:pPr>
            <w:r>
              <w:rPr>
                <w:rFonts w:hint="default"/>
                <w:bCs/>
                <w:szCs w:val="21"/>
                <w:lang w:val="en-US" w:eastAsia="zh-CN"/>
              </w:rPr>
              <w:t>6553.082</w:t>
            </w:r>
          </w:p>
        </w:tc>
        <w:tc>
          <w:tcPr>
            <w:tcW w:w="2415" w:type="dxa"/>
            <w:vAlign w:val="center"/>
          </w:tcPr>
          <w:p>
            <w:pPr>
              <w:rPr>
                <w:bCs/>
                <w:szCs w:val="21"/>
              </w:rPr>
            </w:pPr>
            <w:r>
              <w:rPr>
                <w:rFonts w:hint="default"/>
                <w:bCs/>
                <w:szCs w:val="21"/>
                <w:lang w:val="en-US" w:eastAsia="zh-CN"/>
              </w:rPr>
              <w:t>4193972</w:t>
            </w:r>
          </w:p>
        </w:tc>
        <w:tc>
          <w:tcPr>
            <w:tcW w:w="2640" w:type="dxa"/>
            <w:vAlign w:val="center"/>
          </w:tcPr>
          <w:p>
            <w:pPr>
              <w:rPr>
                <w:bCs/>
                <w:szCs w:val="21"/>
              </w:rPr>
            </w:pPr>
            <w:r>
              <w:rPr>
                <w:rFonts w:hint="default"/>
                <w:bCs/>
                <w:szCs w:val="21"/>
                <w:lang w:val="en-US" w:eastAsia="zh-CN"/>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rPr>
                <w:bCs/>
                <w:szCs w:val="21"/>
              </w:rPr>
            </w:pPr>
            <w:r>
              <w:rPr>
                <w:rFonts w:hint="default"/>
                <w:bCs/>
                <w:szCs w:val="21"/>
                <w:lang w:val="en-US" w:eastAsia="zh-CN"/>
              </w:rPr>
              <w:t>菲律宾</w:t>
            </w:r>
          </w:p>
        </w:tc>
        <w:tc>
          <w:tcPr>
            <w:tcW w:w="2415" w:type="dxa"/>
            <w:vAlign w:val="center"/>
          </w:tcPr>
          <w:p>
            <w:pPr>
              <w:rPr>
                <w:bCs/>
                <w:szCs w:val="21"/>
              </w:rPr>
            </w:pPr>
            <w:r>
              <w:rPr>
                <w:rFonts w:hint="default"/>
                <w:bCs/>
                <w:szCs w:val="21"/>
                <w:lang w:val="en-US" w:eastAsia="zh-CN"/>
              </w:rPr>
              <w:t>35000</w:t>
            </w:r>
          </w:p>
        </w:tc>
        <w:tc>
          <w:tcPr>
            <w:tcW w:w="2415" w:type="dxa"/>
            <w:vAlign w:val="center"/>
          </w:tcPr>
          <w:p>
            <w:pPr>
              <w:rPr>
                <w:bCs/>
                <w:szCs w:val="21"/>
              </w:rPr>
            </w:pPr>
            <w:r>
              <w:rPr>
                <w:rFonts w:hint="default"/>
                <w:bCs/>
                <w:szCs w:val="21"/>
                <w:lang w:val="en-US" w:eastAsia="zh-CN"/>
              </w:rPr>
              <w:t>23100000</w:t>
            </w:r>
          </w:p>
        </w:tc>
        <w:tc>
          <w:tcPr>
            <w:tcW w:w="2640" w:type="dxa"/>
            <w:vAlign w:val="center"/>
          </w:tcPr>
          <w:p>
            <w:pPr>
              <w:rPr>
                <w:bCs/>
                <w:szCs w:val="21"/>
              </w:rPr>
            </w:pPr>
            <w:r>
              <w:rPr>
                <w:rFonts w:hint="default"/>
                <w:bCs/>
                <w:szCs w:val="21"/>
                <w:lang w:val="en-US" w:eastAsia="zh-CN"/>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rPr>
                <w:bCs/>
                <w:szCs w:val="21"/>
              </w:rPr>
            </w:pPr>
            <w:r>
              <w:rPr>
                <w:rFonts w:hint="default"/>
                <w:bCs/>
                <w:szCs w:val="21"/>
                <w:lang w:val="en-US" w:eastAsia="zh-CN"/>
              </w:rPr>
              <w:t>韩国</w:t>
            </w:r>
          </w:p>
        </w:tc>
        <w:tc>
          <w:tcPr>
            <w:tcW w:w="2415" w:type="dxa"/>
            <w:vAlign w:val="center"/>
          </w:tcPr>
          <w:p>
            <w:pPr>
              <w:rPr>
                <w:bCs/>
                <w:szCs w:val="21"/>
              </w:rPr>
            </w:pPr>
            <w:r>
              <w:rPr>
                <w:rFonts w:hint="default"/>
                <w:bCs/>
                <w:szCs w:val="21"/>
                <w:lang w:val="en-US" w:eastAsia="zh-CN"/>
              </w:rPr>
              <w:t>29932.458</w:t>
            </w:r>
          </w:p>
        </w:tc>
        <w:tc>
          <w:tcPr>
            <w:tcW w:w="2415" w:type="dxa"/>
            <w:vAlign w:val="center"/>
          </w:tcPr>
          <w:p>
            <w:pPr>
              <w:rPr>
                <w:bCs/>
                <w:szCs w:val="21"/>
              </w:rPr>
            </w:pPr>
            <w:r>
              <w:rPr>
                <w:rFonts w:hint="default"/>
                <w:bCs/>
                <w:szCs w:val="21"/>
                <w:lang w:val="en-US" w:eastAsia="zh-CN"/>
              </w:rPr>
              <w:t>16746119</w:t>
            </w:r>
          </w:p>
        </w:tc>
        <w:tc>
          <w:tcPr>
            <w:tcW w:w="2640" w:type="dxa"/>
            <w:vAlign w:val="center"/>
          </w:tcPr>
          <w:p>
            <w:pPr>
              <w:rPr>
                <w:bCs/>
                <w:szCs w:val="21"/>
              </w:rPr>
            </w:pPr>
            <w:r>
              <w:rPr>
                <w:rFonts w:hint="default"/>
                <w:bCs/>
                <w:szCs w:val="21"/>
                <w:lang w:val="en-US" w:eastAsia="zh-CN"/>
              </w:rPr>
              <w:t>559.46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rPr>
                <w:bCs/>
                <w:szCs w:val="21"/>
              </w:rPr>
            </w:pPr>
            <w:r>
              <w:rPr>
                <w:rFonts w:hint="default"/>
                <w:bCs/>
                <w:szCs w:val="21"/>
                <w:lang w:val="en-US" w:eastAsia="zh-CN"/>
              </w:rPr>
              <w:t>马来西亚</w:t>
            </w:r>
          </w:p>
        </w:tc>
        <w:tc>
          <w:tcPr>
            <w:tcW w:w="2415" w:type="dxa"/>
            <w:vAlign w:val="center"/>
          </w:tcPr>
          <w:p>
            <w:pPr>
              <w:rPr>
                <w:bCs/>
                <w:szCs w:val="21"/>
              </w:rPr>
            </w:pPr>
            <w:r>
              <w:rPr>
                <w:rFonts w:hint="default"/>
                <w:bCs/>
                <w:szCs w:val="21"/>
                <w:lang w:val="en-US" w:eastAsia="zh-CN"/>
              </w:rPr>
              <w:t>267948.487</w:t>
            </w:r>
          </w:p>
        </w:tc>
        <w:tc>
          <w:tcPr>
            <w:tcW w:w="2415" w:type="dxa"/>
            <w:vAlign w:val="center"/>
          </w:tcPr>
          <w:p>
            <w:pPr>
              <w:rPr>
                <w:bCs/>
                <w:szCs w:val="21"/>
              </w:rPr>
            </w:pPr>
            <w:r>
              <w:rPr>
                <w:rFonts w:hint="default"/>
                <w:bCs/>
                <w:szCs w:val="21"/>
                <w:lang w:val="en-US" w:eastAsia="zh-CN"/>
              </w:rPr>
              <w:t>155514099</w:t>
            </w:r>
          </w:p>
        </w:tc>
        <w:tc>
          <w:tcPr>
            <w:tcW w:w="2640" w:type="dxa"/>
            <w:vAlign w:val="center"/>
          </w:tcPr>
          <w:p>
            <w:pPr>
              <w:rPr>
                <w:bCs/>
                <w:szCs w:val="21"/>
              </w:rPr>
            </w:pPr>
            <w:r>
              <w:rPr>
                <w:rFonts w:hint="default"/>
                <w:bCs/>
                <w:szCs w:val="21"/>
                <w:lang w:val="en-US" w:eastAsia="zh-CN"/>
              </w:rPr>
              <w:t>580.39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rPr>
                <w:bCs/>
                <w:szCs w:val="21"/>
              </w:rPr>
            </w:pPr>
            <w:r>
              <w:rPr>
                <w:rFonts w:hint="default"/>
                <w:bCs/>
                <w:szCs w:val="21"/>
                <w:lang w:val="en-US" w:eastAsia="zh-CN"/>
              </w:rPr>
              <w:t>蒙古</w:t>
            </w:r>
          </w:p>
        </w:tc>
        <w:tc>
          <w:tcPr>
            <w:tcW w:w="2415" w:type="dxa"/>
            <w:vAlign w:val="center"/>
          </w:tcPr>
          <w:p>
            <w:pPr>
              <w:rPr>
                <w:bCs/>
                <w:szCs w:val="21"/>
              </w:rPr>
            </w:pPr>
            <w:r>
              <w:rPr>
                <w:rFonts w:hint="default"/>
                <w:bCs/>
                <w:szCs w:val="21"/>
                <w:lang w:val="en-US" w:eastAsia="zh-CN"/>
              </w:rPr>
              <w:t>9829.859</w:t>
            </w:r>
          </w:p>
        </w:tc>
        <w:tc>
          <w:tcPr>
            <w:tcW w:w="2415" w:type="dxa"/>
            <w:vAlign w:val="center"/>
          </w:tcPr>
          <w:p>
            <w:pPr>
              <w:rPr>
                <w:bCs/>
                <w:szCs w:val="21"/>
              </w:rPr>
            </w:pPr>
            <w:r>
              <w:rPr>
                <w:rFonts w:hint="default"/>
                <w:bCs/>
                <w:szCs w:val="21"/>
                <w:lang w:val="en-US" w:eastAsia="zh-CN"/>
              </w:rPr>
              <w:t>5972593</w:t>
            </w:r>
          </w:p>
        </w:tc>
        <w:tc>
          <w:tcPr>
            <w:tcW w:w="2640" w:type="dxa"/>
            <w:vAlign w:val="center"/>
          </w:tcPr>
          <w:p>
            <w:pPr>
              <w:rPr>
                <w:bCs/>
                <w:szCs w:val="21"/>
              </w:rPr>
            </w:pPr>
            <w:r>
              <w:rPr>
                <w:rFonts w:hint="default"/>
                <w:bCs/>
                <w:szCs w:val="21"/>
                <w:lang w:val="en-US" w:eastAsia="zh-CN"/>
              </w:rPr>
              <w:t>607.6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rPr>
                <w:bCs/>
                <w:szCs w:val="21"/>
              </w:rPr>
            </w:pPr>
            <w:r>
              <w:rPr>
                <w:rFonts w:hint="default"/>
                <w:bCs/>
                <w:szCs w:val="21"/>
                <w:lang w:val="en-US" w:eastAsia="zh-CN"/>
              </w:rPr>
              <w:t>缅甸</w:t>
            </w:r>
          </w:p>
        </w:tc>
        <w:tc>
          <w:tcPr>
            <w:tcW w:w="2415" w:type="dxa"/>
            <w:vAlign w:val="center"/>
          </w:tcPr>
          <w:p>
            <w:pPr>
              <w:rPr>
                <w:bCs/>
                <w:szCs w:val="21"/>
              </w:rPr>
            </w:pPr>
            <w:r>
              <w:rPr>
                <w:rFonts w:hint="default"/>
                <w:bCs/>
                <w:szCs w:val="21"/>
                <w:lang w:val="en-US" w:eastAsia="zh-CN"/>
              </w:rPr>
              <w:t>8449.862</w:t>
            </w:r>
          </w:p>
        </w:tc>
        <w:tc>
          <w:tcPr>
            <w:tcW w:w="2415" w:type="dxa"/>
            <w:vAlign w:val="center"/>
          </w:tcPr>
          <w:p>
            <w:pPr>
              <w:rPr>
                <w:bCs/>
                <w:szCs w:val="21"/>
              </w:rPr>
            </w:pPr>
            <w:r>
              <w:rPr>
                <w:rFonts w:hint="default"/>
                <w:bCs/>
                <w:szCs w:val="21"/>
                <w:lang w:val="en-US" w:eastAsia="zh-CN"/>
              </w:rPr>
              <w:t>5420356</w:t>
            </w:r>
          </w:p>
        </w:tc>
        <w:tc>
          <w:tcPr>
            <w:tcW w:w="2640" w:type="dxa"/>
            <w:vAlign w:val="center"/>
          </w:tcPr>
          <w:p>
            <w:pPr>
              <w:rPr>
                <w:bCs/>
                <w:szCs w:val="21"/>
              </w:rPr>
            </w:pPr>
            <w:r>
              <w:rPr>
                <w:rFonts w:hint="default"/>
                <w:bCs/>
                <w:szCs w:val="21"/>
                <w:lang w:val="en-US" w:eastAsia="zh-CN"/>
              </w:rPr>
              <w:t>641.47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rPr>
                <w:bCs/>
                <w:szCs w:val="21"/>
              </w:rPr>
            </w:pPr>
            <w:r>
              <w:rPr>
                <w:rFonts w:hint="default"/>
                <w:bCs/>
                <w:szCs w:val="21"/>
                <w:lang w:val="en-US" w:eastAsia="zh-CN"/>
              </w:rPr>
              <w:t>墨西哥</w:t>
            </w:r>
          </w:p>
        </w:tc>
        <w:tc>
          <w:tcPr>
            <w:tcW w:w="2415" w:type="dxa"/>
            <w:vAlign w:val="center"/>
          </w:tcPr>
          <w:p>
            <w:pPr>
              <w:rPr>
                <w:bCs/>
                <w:szCs w:val="21"/>
              </w:rPr>
            </w:pPr>
            <w:r>
              <w:rPr>
                <w:rFonts w:hint="default"/>
                <w:bCs/>
                <w:szCs w:val="21"/>
                <w:lang w:val="en-US" w:eastAsia="zh-CN"/>
              </w:rPr>
              <w:t>33426.8</w:t>
            </w:r>
          </w:p>
        </w:tc>
        <w:tc>
          <w:tcPr>
            <w:tcW w:w="2415" w:type="dxa"/>
            <w:vAlign w:val="center"/>
          </w:tcPr>
          <w:p>
            <w:pPr>
              <w:rPr>
                <w:bCs/>
                <w:szCs w:val="21"/>
              </w:rPr>
            </w:pPr>
            <w:r>
              <w:rPr>
                <w:rFonts w:hint="default"/>
                <w:bCs/>
                <w:szCs w:val="21"/>
                <w:lang w:val="en-US" w:eastAsia="zh-CN"/>
              </w:rPr>
              <w:t>20632211</w:t>
            </w:r>
          </w:p>
        </w:tc>
        <w:tc>
          <w:tcPr>
            <w:tcW w:w="2640" w:type="dxa"/>
            <w:vAlign w:val="center"/>
          </w:tcPr>
          <w:p>
            <w:pPr>
              <w:rPr>
                <w:bCs/>
                <w:szCs w:val="21"/>
              </w:rPr>
            </w:pPr>
            <w:r>
              <w:rPr>
                <w:rFonts w:hint="default"/>
                <w:bCs/>
                <w:szCs w:val="21"/>
                <w:lang w:val="en-US" w:eastAsia="zh-CN"/>
              </w:rPr>
              <w:t>617.24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rPr>
                <w:bCs/>
                <w:szCs w:val="21"/>
              </w:rPr>
            </w:pPr>
            <w:r>
              <w:rPr>
                <w:rFonts w:hint="default"/>
                <w:bCs/>
                <w:szCs w:val="21"/>
                <w:lang w:val="en-US" w:eastAsia="zh-CN"/>
              </w:rPr>
              <w:t>日本</w:t>
            </w:r>
          </w:p>
        </w:tc>
        <w:tc>
          <w:tcPr>
            <w:tcW w:w="2415" w:type="dxa"/>
            <w:vAlign w:val="center"/>
          </w:tcPr>
          <w:p>
            <w:pPr>
              <w:rPr>
                <w:bCs/>
                <w:szCs w:val="21"/>
              </w:rPr>
            </w:pPr>
            <w:r>
              <w:rPr>
                <w:rFonts w:hint="default"/>
                <w:bCs/>
                <w:szCs w:val="21"/>
                <w:lang w:val="en-US" w:eastAsia="zh-CN"/>
              </w:rPr>
              <w:t>35000</w:t>
            </w:r>
          </w:p>
        </w:tc>
        <w:tc>
          <w:tcPr>
            <w:tcW w:w="2415" w:type="dxa"/>
            <w:vAlign w:val="center"/>
          </w:tcPr>
          <w:p>
            <w:pPr>
              <w:rPr>
                <w:bCs/>
                <w:szCs w:val="21"/>
              </w:rPr>
            </w:pPr>
            <w:r>
              <w:rPr>
                <w:rFonts w:hint="default"/>
                <w:bCs/>
                <w:szCs w:val="21"/>
                <w:lang w:val="en-US" w:eastAsia="zh-CN"/>
              </w:rPr>
              <w:t>23100000</w:t>
            </w:r>
          </w:p>
        </w:tc>
        <w:tc>
          <w:tcPr>
            <w:tcW w:w="2640" w:type="dxa"/>
            <w:vAlign w:val="center"/>
          </w:tcPr>
          <w:p>
            <w:pPr>
              <w:rPr>
                <w:bCs/>
                <w:szCs w:val="21"/>
              </w:rPr>
            </w:pPr>
            <w:r>
              <w:rPr>
                <w:rFonts w:hint="default"/>
                <w:bCs/>
                <w:szCs w:val="21"/>
                <w:lang w:val="en-US" w:eastAsia="zh-CN"/>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rPr>
                <w:bCs/>
                <w:szCs w:val="21"/>
              </w:rPr>
            </w:pPr>
            <w:r>
              <w:rPr>
                <w:rFonts w:hint="default"/>
                <w:bCs/>
                <w:szCs w:val="21"/>
                <w:lang w:val="en-US" w:eastAsia="zh-CN"/>
              </w:rPr>
              <w:t>斯里兰卡</w:t>
            </w:r>
          </w:p>
        </w:tc>
        <w:tc>
          <w:tcPr>
            <w:tcW w:w="2415" w:type="dxa"/>
            <w:vAlign w:val="center"/>
          </w:tcPr>
          <w:p>
            <w:pPr>
              <w:rPr>
                <w:bCs/>
                <w:szCs w:val="21"/>
              </w:rPr>
            </w:pPr>
            <w:r>
              <w:rPr>
                <w:rFonts w:hint="default"/>
                <w:bCs/>
                <w:szCs w:val="21"/>
                <w:lang w:val="en-US" w:eastAsia="zh-CN"/>
              </w:rPr>
              <w:t>68350.1</w:t>
            </w:r>
          </w:p>
        </w:tc>
        <w:tc>
          <w:tcPr>
            <w:tcW w:w="2415" w:type="dxa"/>
            <w:vAlign w:val="center"/>
          </w:tcPr>
          <w:p>
            <w:pPr>
              <w:rPr>
                <w:bCs/>
                <w:szCs w:val="21"/>
              </w:rPr>
            </w:pPr>
            <w:r>
              <w:rPr>
                <w:rFonts w:hint="default"/>
                <w:bCs/>
                <w:szCs w:val="21"/>
                <w:lang w:val="en-US" w:eastAsia="zh-CN"/>
              </w:rPr>
              <w:t>36179040</w:t>
            </w:r>
          </w:p>
        </w:tc>
        <w:tc>
          <w:tcPr>
            <w:tcW w:w="2640" w:type="dxa"/>
            <w:vAlign w:val="center"/>
          </w:tcPr>
          <w:p>
            <w:pPr>
              <w:rPr>
                <w:bCs/>
                <w:szCs w:val="21"/>
              </w:rPr>
            </w:pPr>
            <w:r>
              <w:rPr>
                <w:rFonts w:hint="default"/>
                <w:bCs/>
                <w:szCs w:val="21"/>
                <w:lang w:val="en-US" w:eastAsia="zh-CN"/>
              </w:rPr>
              <w:t>529.32</w:t>
            </w:r>
          </w:p>
        </w:tc>
      </w:tr>
    </w:tbl>
    <w:p>
      <w:pPr>
        <w:rPr>
          <w:rFonts w:hint="eastAsia"/>
        </w:rPr>
      </w:pPr>
      <w:bookmarkStart w:id="18" w:name="_Toc533771876"/>
    </w:p>
    <w:p>
      <w:pPr>
        <w:pStyle w:val="3"/>
        <w:spacing w:before="120" w:after="120" w:line="240" w:lineRule="auto"/>
        <w:rPr>
          <w:rFonts w:hint="eastAsia" w:ascii="宋体" w:hAnsi="宋体"/>
          <w:b/>
          <w:sz w:val="30"/>
          <w:szCs w:val="30"/>
        </w:rPr>
      </w:pPr>
      <w:r>
        <w:rPr>
          <w:rFonts w:hint="eastAsia" w:ascii="宋体" w:hAnsi="宋体"/>
          <w:b/>
          <w:sz w:val="30"/>
          <w:szCs w:val="30"/>
        </w:rPr>
        <w:t>4.2 201</w:t>
      </w:r>
      <w:r>
        <w:rPr>
          <w:rFonts w:hint="eastAsia" w:ascii="宋体" w:hAnsi="宋体"/>
          <w:b/>
          <w:sz w:val="30"/>
          <w:szCs w:val="30"/>
          <w:lang w:val="en-US" w:eastAsia="zh-CN"/>
        </w:rPr>
        <w:t>8</w:t>
      </w:r>
      <w:r>
        <w:rPr>
          <w:rFonts w:hint="eastAsia" w:ascii="宋体" w:hAnsi="宋体"/>
          <w:b/>
          <w:sz w:val="30"/>
          <w:szCs w:val="30"/>
        </w:rPr>
        <w:t>年1</w:t>
      </w:r>
      <w:r>
        <w:rPr>
          <w:rFonts w:hint="eastAsia" w:ascii="宋体" w:hAnsi="宋体"/>
          <w:b/>
          <w:sz w:val="30"/>
          <w:szCs w:val="30"/>
          <w:lang w:val="en-US" w:eastAsia="zh-CN"/>
        </w:rPr>
        <w:t>1</w:t>
      </w:r>
      <w:r>
        <w:rPr>
          <w:rFonts w:hint="eastAsia" w:ascii="宋体" w:hAnsi="宋体"/>
          <w:b/>
          <w:sz w:val="30"/>
          <w:szCs w:val="30"/>
        </w:rPr>
        <w:t>月份全国轻柴油进出口统计数据</w:t>
      </w:r>
      <w:bookmarkEnd w:id="18"/>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726"/>
        <w:gridCol w:w="1726"/>
        <w:gridCol w:w="1882"/>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shd w:val="clear" w:color="auto" w:fill="00CCFF"/>
            <w:vAlign w:val="center"/>
          </w:tcPr>
          <w:p>
            <w:pPr>
              <w:keepNext w:val="0"/>
              <w:keepLines w:val="0"/>
              <w:widowControl/>
              <w:suppressLineNumbers w:val="0"/>
              <w:jc w:val="both"/>
              <w:textAlignment w:val="center"/>
              <w:rPr>
                <w:bCs/>
                <w:color w:val="00B0F0"/>
                <w:szCs w:val="21"/>
              </w:rPr>
            </w:pPr>
            <w:r>
              <w:rPr>
                <w:rFonts w:hint="eastAsia" w:ascii="宋体" w:hAnsi="宋体" w:eastAsia="宋体" w:cs="宋体"/>
                <w:b/>
                <w:i w:val="0"/>
                <w:color w:val="191919"/>
                <w:kern w:val="0"/>
                <w:sz w:val="21"/>
                <w:szCs w:val="21"/>
                <w:u w:val="none"/>
                <w:lang w:val="en-US" w:eastAsia="zh-CN" w:bidi="ar"/>
              </w:rPr>
              <w:t>产销国</w:t>
            </w:r>
          </w:p>
        </w:tc>
        <w:tc>
          <w:tcPr>
            <w:tcW w:w="1726" w:type="dxa"/>
            <w:shd w:val="clear" w:color="auto" w:fill="00CCFF"/>
            <w:vAlign w:val="center"/>
          </w:tcPr>
          <w:p>
            <w:pPr>
              <w:keepNext w:val="0"/>
              <w:keepLines w:val="0"/>
              <w:widowControl/>
              <w:suppressLineNumbers w:val="0"/>
              <w:jc w:val="both"/>
              <w:textAlignment w:val="center"/>
              <w:rPr>
                <w:bCs/>
                <w:szCs w:val="21"/>
              </w:rPr>
            </w:pPr>
            <w:r>
              <w:rPr>
                <w:rFonts w:hint="eastAsia" w:ascii="宋体" w:hAnsi="宋体" w:eastAsia="宋体" w:cs="宋体"/>
                <w:b/>
                <w:i w:val="0"/>
                <w:color w:val="191919"/>
                <w:kern w:val="0"/>
                <w:sz w:val="21"/>
                <w:szCs w:val="21"/>
                <w:u w:val="none"/>
                <w:lang w:val="en-US" w:eastAsia="zh-CN" w:bidi="ar"/>
              </w:rPr>
              <w:t>进口数量</w:t>
            </w:r>
          </w:p>
        </w:tc>
        <w:tc>
          <w:tcPr>
            <w:tcW w:w="1726" w:type="dxa"/>
            <w:shd w:val="clear" w:color="auto" w:fill="00CCFF"/>
            <w:vAlign w:val="center"/>
          </w:tcPr>
          <w:p>
            <w:pPr>
              <w:keepNext w:val="0"/>
              <w:keepLines w:val="0"/>
              <w:widowControl/>
              <w:suppressLineNumbers w:val="0"/>
              <w:jc w:val="both"/>
              <w:textAlignment w:val="center"/>
              <w:rPr>
                <w:bCs/>
                <w:szCs w:val="21"/>
              </w:rPr>
            </w:pPr>
            <w:r>
              <w:rPr>
                <w:rFonts w:hint="eastAsia" w:ascii="宋体" w:hAnsi="宋体" w:eastAsia="宋体" w:cs="宋体"/>
                <w:b/>
                <w:i w:val="0"/>
                <w:color w:val="191919"/>
                <w:kern w:val="0"/>
                <w:sz w:val="21"/>
                <w:szCs w:val="21"/>
                <w:u w:val="none"/>
                <w:lang w:val="en-US" w:eastAsia="zh-CN" w:bidi="ar"/>
              </w:rPr>
              <w:t>进口美元</w:t>
            </w:r>
          </w:p>
        </w:tc>
        <w:tc>
          <w:tcPr>
            <w:tcW w:w="1882" w:type="dxa"/>
            <w:shd w:val="clear" w:color="auto" w:fill="00CCFF"/>
            <w:vAlign w:val="center"/>
          </w:tcPr>
          <w:p>
            <w:pPr>
              <w:keepNext w:val="0"/>
              <w:keepLines w:val="0"/>
              <w:widowControl/>
              <w:suppressLineNumbers w:val="0"/>
              <w:jc w:val="both"/>
              <w:textAlignment w:val="center"/>
              <w:rPr>
                <w:bCs/>
                <w:szCs w:val="21"/>
              </w:rPr>
            </w:pPr>
            <w:r>
              <w:rPr>
                <w:rFonts w:hint="eastAsia" w:ascii="宋体" w:hAnsi="宋体" w:eastAsia="宋体" w:cs="宋体"/>
                <w:b/>
                <w:i w:val="0"/>
                <w:color w:val="191919"/>
                <w:kern w:val="0"/>
                <w:sz w:val="21"/>
                <w:szCs w:val="21"/>
                <w:u w:val="none"/>
                <w:lang w:val="en-US" w:eastAsia="zh-CN" w:bidi="ar"/>
              </w:rPr>
              <w:t>出口数量</w:t>
            </w:r>
          </w:p>
        </w:tc>
        <w:tc>
          <w:tcPr>
            <w:tcW w:w="1882" w:type="dxa"/>
            <w:shd w:val="clear" w:color="auto" w:fill="00CCFF"/>
            <w:vAlign w:val="center"/>
          </w:tcPr>
          <w:p>
            <w:pPr>
              <w:keepNext w:val="0"/>
              <w:keepLines w:val="0"/>
              <w:widowControl/>
              <w:suppressLineNumbers w:val="0"/>
              <w:jc w:val="both"/>
              <w:textAlignment w:val="center"/>
              <w:rPr>
                <w:bCs/>
                <w:szCs w:val="21"/>
              </w:rPr>
            </w:pPr>
            <w:r>
              <w:rPr>
                <w:rFonts w:hint="eastAsia" w:ascii="宋体" w:hAnsi="宋体" w:eastAsia="宋体" w:cs="宋体"/>
                <w:b/>
                <w:i w:val="0"/>
                <w:color w:val="191919"/>
                <w:kern w:val="0"/>
                <w:sz w:val="21"/>
                <w:szCs w:val="21"/>
                <w:u w:val="none"/>
                <w:lang w:val="en-US" w:eastAsia="zh-CN" w:bidi="ar"/>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孟加拉国</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105125.293</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69892814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缅甸</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18170.052</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12976857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塞浦路斯</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966.84</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759340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香港</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262963.309</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179445201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印度尼西亚</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99.5</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64576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日本</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397.4</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327750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老挝</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63.913</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47224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澳门</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6847.894</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4588089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马来西亚</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3995.198</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2556927</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94.515</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77748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巴基斯坦</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74.2</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61438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菲律宾</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175973.373</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119332061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新加坡</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499.536</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399629</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270770.818</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188315354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韩国</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49882.569</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34382246</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173054.409</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117620635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泰国</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82.765</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72922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土耳其</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32.8</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27060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越南</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41937</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28282001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台澎金马关税区</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188.9</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156577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利比里亚</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4541.022</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3624752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多哥</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25</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比利时</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139.8</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125261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丹麦</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509.5</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423410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英国</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981.955</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787173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意大利</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180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130290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荷兰</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40755.789</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26653192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希腊</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384.8</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313417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葡萄牙</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224.073</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156493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直布罗陀</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114.5</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82350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马耳他</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1318.39</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1072844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挪威</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216.847</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165273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摩尔多瓦</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367.5</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294000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俄罗斯联邦</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90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72475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克罗地亚</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安提瓜和巴布达</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263.103</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206211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巴哈马</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506.059</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397552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伯利兹</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多米尼克</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170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136400</w:t>
            </w:r>
          </w:p>
        </w:tc>
      </w:tr>
    </w:tbl>
    <w:p>
      <w:pPr>
        <w:pStyle w:val="3"/>
        <w:spacing w:before="120" w:after="120" w:line="240" w:lineRule="auto"/>
        <w:rPr>
          <w:rFonts w:hint="eastAsia" w:ascii="宋体" w:hAnsi="宋体"/>
          <w:b/>
          <w:sz w:val="30"/>
          <w:szCs w:val="30"/>
        </w:rPr>
      </w:pPr>
      <w:bookmarkStart w:id="19" w:name="_Toc533771877"/>
      <w:r>
        <w:rPr>
          <w:rFonts w:hint="eastAsia" w:ascii="宋体" w:hAnsi="宋体"/>
          <w:b/>
          <w:sz w:val="30"/>
          <w:szCs w:val="30"/>
        </w:rPr>
        <w:t>4.3 201</w:t>
      </w:r>
      <w:r>
        <w:rPr>
          <w:rFonts w:hint="eastAsia" w:ascii="宋体" w:hAnsi="宋体"/>
          <w:b/>
          <w:sz w:val="30"/>
          <w:szCs w:val="30"/>
          <w:lang w:val="en-US" w:eastAsia="zh-CN"/>
        </w:rPr>
        <w:t>9</w:t>
      </w:r>
      <w:r>
        <w:rPr>
          <w:rFonts w:hint="eastAsia" w:ascii="宋体" w:hAnsi="宋体"/>
          <w:b/>
          <w:sz w:val="30"/>
          <w:szCs w:val="30"/>
        </w:rPr>
        <w:t>年1</w:t>
      </w:r>
      <w:r>
        <w:rPr>
          <w:rFonts w:hint="eastAsia" w:ascii="宋体" w:hAnsi="宋体"/>
          <w:b/>
          <w:sz w:val="30"/>
          <w:szCs w:val="30"/>
          <w:lang w:val="en-US" w:eastAsia="zh-CN"/>
        </w:rPr>
        <w:t>2</w:t>
      </w:r>
      <w:r>
        <w:rPr>
          <w:rFonts w:hint="eastAsia" w:ascii="宋体" w:hAnsi="宋体"/>
          <w:b/>
          <w:sz w:val="30"/>
          <w:szCs w:val="30"/>
        </w:rPr>
        <w:t>月份全国原油进出口统计数据</w:t>
      </w:r>
      <w:bookmarkEnd w:id="19"/>
    </w:p>
    <w:p>
      <w:pPr>
        <w:rPr>
          <w:rFonts w:hint="eastAsia"/>
          <w:bCs/>
          <w:szCs w:val="21"/>
        </w:rPr>
      </w:pP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867" w:type="dxa"/>
        <w:tblInd w:w="0" w:type="dxa"/>
        <w:shd w:val="clear" w:color="auto" w:fill="auto"/>
        <w:tblLayout w:type="fixed"/>
        <w:tblCellMar>
          <w:top w:w="0" w:type="dxa"/>
          <w:left w:w="0" w:type="dxa"/>
          <w:bottom w:w="0" w:type="dxa"/>
          <w:right w:w="0" w:type="dxa"/>
        </w:tblCellMar>
      </w:tblPr>
      <w:tblGrid>
        <w:gridCol w:w="2652"/>
        <w:gridCol w:w="1710"/>
        <w:gridCol w:w="1710"/>
        <w:gridCol w:w="1905"/>
        <w:gridCol w:w="1890"/>
      </w:tblGrid>
      <w:tr>
        <w:tblPrEx>
          <w:shd w:val="clear" w:color="auto" w:fill="auto"/>
          <w:tblCellMar>
            <w:top w:w="0" w:type="dxa"/>
            <w:left w:w="0" w:type="dxa"/>
            <w:bottom w:w="0" w:type="dxa"/>
            <w:right w:w="0" w:type="dxa"/>
          </w:tblCellMar>
        </w:tblPrEx>
        <w:trPr>
          <w:trHeight w:val="510" w:hRule="atLeast"/>
        </w:trPr>
        <w:tc>
          <w:tcPr>
            <w:tcW w:w="2652"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bottom"/>
          </w:tcPr>
          <w:p>
            <w:pPr>
              <w:rPr>
                <w:rFonts w:hint="eastAsia"/>
                <w:bCs/>
                <w:szCs w:val="21"/>
              </w:rPr>
            </w:pPr>
            <w:r>
              <w:rPr>
                <w:rFonts w:hint="eastAsia"/>
                <w:bCs/>
                <w:szCs w:val="21"/>
                <w:lang w:val="en-US" w:eastAsia="zh-CN"/>
              </w:rPr>
              <w:t>产销国</w:t>
            </w:r>
          </w:p>
        </w:tc>
        <w:tc>
          <w:tcPr>
            <w:tcW w:w="1710"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bottom"/>
          </w:tcPr>
          <w:p>
            <w:pPr>
              <w:rPr>
                <w:rFonts w:hint="eastAsia"/>
                <w:bCs/>
                <w:szCs w:val="21"/>
              </w:rPr>
            </w:pPr>
            <w:r>
              <w:rPr>
                <w:rFonts w:hint="eastAsia"/>
                <w:bCs/>
                <w:szCs w:val="21"/>
                <w:lang w:val="en-US" w:eastAsia="zh-CN"/>
              </w:rPr>
              <w:t>进口数量</w:t>
            </w:r>
            <w:r>
              <w:rPr>
                <w:rFonts w:hint="default"/>
                <w:bCs/>
                <w:szCs w:val="21"/>
                <w:lang w:val="en-US" w:eastAsia="zh-CN"/>
              </w:rPr>
              <w:t>/</w:t>
            </w:r>
            <w:r>
              <w:rPr>
                <w:rFonts w:hint="eastAsia"/>
                <w:bCs/>
                <w:szCs w:val="21"/>
                <w:lang w:val="en-US" w:eastAsia="zh-CN"/>
              </w:rPr>
              <w:t>吨</w:t>
            </w:r>
          </w:p>
        </w:tc>
        <w:tc>
          <w:tcPr>
            <w:tcW w:w="1710"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bottom"/>
          </w:tcPr>
          <w:p>
            <w:pPr>
              <w:rPr>
                <w:rFonts w:hint="eastAsia"/>
                <w:bCs/>
                <w:szCs w:val="21"/>
              </w:rPr>
            </w:pPr>
            <w:r>
              <w:rPr>
                <w:rFonts w:hint="eastAsia"/>
                <w:bCs/>
                <w:szCs w:val="21"/>
                <w:lang w:val="en-US" w:eastAsia="zh-CN"/>
              </w:rPr>
              <w:t>进口金额</w:t>
            </w:r>
            <w:r>
              <w:rPr>
                <w:rFonts w:hint="default"/>
                <w:bCs/>
                <w:szCs w:val="21"/>
                <w:lang w:val="en-US" w:eastAsia="zh-CN"/>
              </w:rPr>
              <w:t>/</w:t>
            </w:r>
            <w:r>
              <w:rPr>
                <w:rFonts w:hint="eastAsia"/>
                <w:bCs/>
                <w:szCs w:val="21"/>
                <w:lang w:val="en-US" w:eastAsia="zh-CN"/>
              </w:rPr>
              <w:t>美元</w:t>
            </w:r>
          </w:p>
        </w:tc>
        <w:tc>
          <w:tcPr>
            <w:tcW w:w="1905"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bottom"/>
          </w:tcPr>
          <w:p>
            <w:pPr>
              <w:rPr>
                <w:rFonts w:hint="eastAsia"/>
                <w:bCs/>
                <w:szCs w:val="21"/>
              </w:rPr>
            </w:pPr>
            <w:r>
              <w:rPr>
                <w:rFonts w:hint="eastAsia"/>
                <w:bCs/>
                <w:szCs w:val="21"/>
                <w:lang w:val="en-US" w:eastAsia="zh-CN"/>
              </w:rPr>
              <w:t>出口数量</w:t>
            </w:r>
            <w:r>
              <w:rPr>
                <w:rFonts w:hint="default"/>
                <w:bCs/>
                <w:szCs w:val="21"/>
                <w:lang w:val="en-US" w:eastAsia="zh-CN"/>
              </w:rPr>
              <w:t>/</w:t>
            </w:r>
            <w:r>
              <w:rPr>
                <w:rFonts w:hint="eastAsia"/>
                <w:bCs/>
                <w:szCs w:val="21"/>
                <w:lang w:val="en-US" w:eastAsia="zh-CN"/>
              </w:rPr>
              <w:t>吨</w:t>
            </w:r>
          </w:p>
        </w:tc>
        <w:tc>
          <w:tcPr>
            <w:tcW w:w="1890"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bottom"/>
          </w:tcPr>
          <w:p>
            <w:pPr>
              <w:rPr>
                <w:rFonts w:hint="eastAsia"/>
                <w:bCs/>
                <w:szCs w:val="21"/>
              </w:rPr>
            </w:pPr>
            <w:r>
              <w:rPr>
                <w:rFonts w:hint="eastAsia"/>
                <w:bCs/>
                <w:szCs w:val="21"/>
                <w:lang w:val="en-US" w:eastAsia="zh-CN"/>
              </w:rPr>
              <w:t>出口金额</w:t>
            </w:r>
            <w:r>
              <w:rPr>
                <w:rFonts w:hint="default"/>
                <w:bCs/>
                <w:szCs w:val="21"/>
                <w:lang w:val="en-US" w:eastAsia="zh-CN"/>
              </w:rPr>
              <w:t>/</w:t>
            </w:r>
            <w:r>
              <w:rPr>
                <w:rFonts w:hint="eastAsia"/>
                <w:bCs/>
                <w:szCs w:val="21"/>
                <w:lang w:val="en-US" w:eastAsia="zh-CN"/>
              </w:rPr>
              <w:t>美元</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印度尼西亚</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35234.63</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35.23</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伊朗</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404716</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404.72</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伊拉克</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4714096.36</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4714.1</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科威特</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2120465.52</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2120.47</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马来西亚</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953093.39</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953.09</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蒙古</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77782.26</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77.78</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阿曼</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4157725.34</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4157.73</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卡塔尔</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70022.1</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70.02</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沙特阿拉伯</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6991258.87</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6991.26</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泰国</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75880.46</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75.88</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阿联酋</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1582454.56</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1582.45</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也门</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270730.91</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270.73</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越南</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65572.91</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65.57</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哈萨克斯坦</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295094.2</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295.09</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安哥拉</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4744611.42</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4744.61</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喀麦隆</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127624.9</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127.62</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乍得</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192502.86</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192.5</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70"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刚果</w:t>
            </w:r>
            <w:r>
              <w:rPr>
                <w:rFonts w:hint="default"/>
                <w:bCs/>
                <w:szCs w:val="21"/>
                <w:lang w:val="en-US" w:eastAsia="zh-CN"/>
              </w:rPr>
              <w:t>(</w:t>
            </w:r>
            <w:r>
              <w:rPr>
                <w:rFonts w:hint="eastAsia"/>
                <w:bCs/>
                <w:szCs w:val="21"/>
                <w:lang w:val="en-US" w:eastAsia="zh-CN"/>
              </w:rPr>
              <w:t>布</w:t>
            </w:r>
            <w:r>
              <w:rPr>
                <w:rFonts w:hint="default"/>
                <w:bCs/>
                <w:szCs w:val="21"/>
                <w:lang w:val="en-US" w:eastAsia="zh-CN"/>
              </w:rPr>
              <w:t>)</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1314270.58</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1314.27</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赤道几内亚</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185069.92</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185.07</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加蓬</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344562.9</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344.56</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加纳</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258978.65</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258.98</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利比亚</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1317949.94</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1317.95</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尼日利亚</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270651</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270.65</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49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南苏丹共和国</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249510.59</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249.51</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英国</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1042440.07</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1042.44</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阿尔巴尼亚</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0.01</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挪威</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298652</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298.65</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俄罗斯联邦</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7362320.82</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7362.32</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巴西</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3093433.62</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3093.43</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哥伦比亚</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1674776.27</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1674.78</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厄瓜多尔</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592849.29</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592.85</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墨西哥</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65400.25</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65.4</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加拿大</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301133.58</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301.13</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澳大利亚</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232115.32</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232.12</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r>
    </w:tbl>
    <w:p>
      <w:pPr>
        <w:rPr>
          <w:rFonts w:hint="eastAsia"/>
          <w:bCs/>
          <w:szCs w:val="21"/>
        </w:rPr>
      </w:pPr>
    </w:p>
    <w:p>
      <w:pPr>
        <w:rPr>
          <w:rFonts w:hint="eastAsia"/>
          <w:bCs/>
          <w:szCs w:val="21"/>
        </w:rPr>
      </w:pPr>
    </w:p>
    <w:p>
      <w:pPr>
        <w:pStyle w:val="3"/>
        <w:spacing w:before="120" w:after="120" w:line="240" w:lineRule="auto"/>
        <w:rPr>
          <w:rFonts w:hint="eastAsia" w:ascii="宋体" w:hAnsi="宋体"/>
          <w:b/>
          <w:sz w:val="30"/>
          <w:szCs w:val="30"/>
        </w:rPr>
      </w:pPr>
      <w:bookmarkStart w:id="20" w:name="_Toc533771878"/>
      <w:r>
        <w:rPr>
          <w:rFonts w:hint="eastAsia" w:ascii="宋体" w:hAnsi="宋体"/>
          <w:b/>
          <w:sz w:val="30"/>
          <w:szCs w:val="30"/>
        </w:rPr>
        <w:t>4.4 201</w:t>
      </w:r>
      <w:r>
        <w:rPr>
          <w:rFonts w:hint="eastAsia" w:ascii="宋体" w:hAnsi="宋体"/>
          <w:b/>
          <w:sz w:val="30"/>
          <w:szCs w:val="30"/>
          <w:lang w:val="en-US" w:eastAsia="zh-CN"/>
        </w:rPr>
        <w:t>9</w:t>
      </w:r>
      <w:r>
        <w:rPr>
          <w:rFonts w:hint="eastAsia" w:ascii="宋体" w:hAnsi="宋体"/>
          <w:b/>
          <w:sz w:val="30"/>
          <w:szCs w:val="30"/>
        </w:rPr>
        <w:t>年1</w:t>
      </w:r>
      <w:r>
        <w:rPr>
          <w:rFonts w:hint="eastAsia" w:ascii="宋体" w:hAnsi="宋体"/>
          <w:b/>
          <w:sz w:val="30"/>
          <w:szCs w:val="30"/>
          <w:lang w:val="en-US" w:eastAsia="zh-CN"/>
        </w:rPr>
        <w:t>2</w:t>
      </w:r>
      <w:r>
        <w:rPr>
          <w:rFonts w:hint="eastAsia" w:ascii="宋体" w:hAnsi="宋体"/>
          <w:b/>
          <w:sz w:val="30"/>
          <w:szCs w:val="30"/>
        </w:rPr>
        <w:t>月份全国航空煤油进出口统计数据</w:t>
      </w:r>
      <w:bookmarkEnd w:id="20"/>
    </w:p>
    <w:p>
      <w:pPr>
        <w:ind w:firstLine="420" w:firstLineChars="200"/>
        <w:jc w:val="left"/>
      </w:pPr>
      <w:r>
        <w:rPr>
          <w:rFonts w:hint="eastAsia" w:ascii="宋体" w:hAnsi="宋体"/>
        </w:rPr>
        <w:t>单位：</w:t>
      </w:r>
      <w:r>
        <w:rPr>
          <w:rFonts w:hint="eastAsia" w:ascii="宋体" w:hAnsi="宋体"/>
          <w:lang w:eastAsia="zh-CN"/>
        </w:rPr>
        <w:t>吨</w:t>
      </w:r>
      <w:r>
        <w:rPr>
          <w:rFonts w:hint="eastAsia" w:ascii="宋体" w:hAnsi="宋体"/>
        </w:rPr>
        <w:t>，美元</w:t>
      </w:r>
    </w:p>
    <w:tbl>
      <w:tblPr>
        <w:tblStyle w:val="24"/>
        <w:tblpPr w:leftFromText="180" w:rightFromText="180" w:vertAnchor="text" w:horzAnchor="page" w:tblpX="1590" w:tblpY="617"/>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1548"/>
        <w:gridCol w:w="1688"/>
        <w:gridCol w:w="154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shd w:val="clear" w:color="auto" w:fill="00CCFF"/>
            <w:vAlign w:val="top"/>
          </w:tcPr>
          <w:p>
            <w:pPr>
              <w:keepNext w:val="0"/>
              <w:keepLines w:val="0"/>
              <w:widowControl/>
              <w:suppressLineNumbers w:val="0"/>
              <w:jc w:val="both"/>
              <w:textAlignment w:val="top"/>
              <w:rPr>
                <w:rFonts w:ascii="宋体" w:hAnsi="宋体" w:cs="宋体"/>
                <w:b/>
                <w:bCs/>
                <w:szCs w:val="21"/>
              </w:rPr>
            </w:pPr>
            <w:r>
              <w:rPr>
                <w:rFonts w:hint="default" w:ascii="Times New Roman" w:hAnsi="Times New Roman" w:eastAsia="宋体" w:cs="Times New Roman"/>
                <w:b/>
                <w:i w:val="0"/>
                <w:color w:val="000000"/>
                <w:kern w:val="0"/>
                <w:sz w:val="21"/>
                <w:szCs w:val="21"/>
                <w:u w:val="none"/>
                <w:lang w:val="en-US" w:eastAsia="zh-CN" w:bidi="ar"/>
              </w:rPr>
              <w:t>产销国</w:t>
            </w:r>
          </w:p>
        </w:tc>
        <w:tc>
          <w:tcPr>
            <w:tcW w:w="1548" w:type="dxa"/>
            <w:shd w:val="clear" w:color="auto" w:fill="00CCFF"/>
            <w:vAlign w:val="top"/>
          </w:tcPr>
          <w:p>
            <w:pPr>
              <w:keepNext w:val="0"/>
              <w:keepLines w:val="0"/>
              <w:widowControl/>
              <w:suppressLineNumbers w:val="0"/>
              <w:jc w:val="both"/>
              <w:textAlignment w:val="top"/>
              <w:rPr>
                <w:rFonts w:ascii="宋体" w:hAnsi="宋体" w:cs="宋体"/>
                <w:b/>
                <w:bCs/>
                <w:szCs w:val="21"/>
              </w:rPr>
            </w:pPr>
            <w:r>
              <w:rPr>
                <w:rFonts w:hint="default" w:ascii="Times New Roman" w:hAnsi="Times New Roman" w:eastAsia="宋体" w:cs="Times New Roman"/>
                <w:b/>
                <w:i w:val="0"/>
                <w:color w:val="000000"/>
                <w:kern w:val="0"/>
                <w:sz w:val="21"/>
                <w:szCs w:val="21"/>
                <w:u w:val="none"/>
                <w:lang w:val="en-US" w:eastAsia="zh-CN" w:bidi="ar"/>
              </w:rPr>
              <w:t>进口数量</w:t>
            </w:r>
          </w:p>
        </w:tc>
        <w:tc>
          <w:tcPr>
            <w:tcW w:w="1688" w:type="dxa"/>
            <w:shd w:val="clear" w:color="auto" w:fill="00CCFF"/>
            <w:vAlign w:val="top"/>
          </w:tcPr>
          <w:p>
            <w:pPr>
              <w:keepNext w:val="0"/>
              <w:keepLines w:val="0"/>
              <w:widowControl/>
              <w:suppressLineNumbers w:val="0"/>
              <w:jc w:val="both"/>
              <w:textAlignment w:val="top"/>
              <w:rPr>
                <w:rFonts w:ascii="宋体" w:hAnsi="宋体" w:cs="宋体"/>
                <w:b/>
                <w:bCs/>
                <w:szCs w:val="21"/>
              </w:rPr>
            </w:pPr>
            <w:r>
              <w:rPr>
                <w:rFonts w:hint="default" w:ascii="Times New Roman" w:hAnsi="Times New Roman" w:eastAsia="宋体" w:cs="Times New Roman"/>
                <w:b/>
                <w:i w:val="0"/>
                <w:color w:val="000000"/>
                <w:kern w:val="0"/>
                <w:sz w:val="21"/>
                <w:szCs w:val="21"/>
                <w:u w:val="none"/>
                <w:lang w:val="en-US" w:eastAsia="zh-CN" w:bidi="ar"/>
              </w:rPr>
              <w:t>进口美元</w:t>
            </w:r>
          </w:p>
        </w:tc>
        <w:tc>
          <w:tcPr>
            <w:tcW w:w="1548" w:type="dxa"/>
            <w:shd w:val="clear" w:color="auto" w:fill="00CCFF"/>
            <w:vAlign w:val="top"/>
          </w:tcPr>
          <w:p>
            <w:pPr>
              <w:keepNext w:val="0"/>
              <w:keepLines w:val="0"/>
              <w:widowControl/>
              <w:suppressLineNumbers w:val="0"/>
              <w:jc w:val="both"/>
              <w:textAlignment w:val="top"/>
              <w:rPr>
                <w:rFonts w:ascii="宋体" w:hAnsi="宋体" w:cs="宋体"/>
                <w:b/>
                <w:bCs/>
                <w:szCs w:val="21"/>
              </w:rPr>
            </w:pPr>
            <w:r>
              <w:rPr>
                <w:rFonts w:hint="default" w:ascii="Times New Roman" w:hAnsi="Times New Roman" w:eastAsia="宋体" w:cs="Times New Roman"/>
                <w:b/>
                <w:i w:val="0"/>
                <w:color w:val="000000"/>
                <w:kern w:val="0"/>
                <w:sz w:val="21"/>
                <w:szCs w:val="21"/>
                <w:u w:val="none"/>
                <w:lang w:val="en-US" w:eastAsia="zh-CN" w:bidi="ar"/>
              </w:rPr>
              <w:t>出口数量</w:t>
            </w:r>
          </w:p>
        </w:tc>
        <w:tc>
          <w:tcPr>
            <w:tcW w:w="1688" w:type="dxa"/>
            <w:shd w:val="clear" w:color="auto" w:fill="00CCFF"/>
            <w:vAlign w:val="top"/>
          </w:tcPr>
          <w:p>
            <w:pPr>
              <w:keepNext w:val="0"/>
              <w:keepLines w:val="0"/>
              <w:widowControl/>
              <w:suppressLineNumbers w:val="0"/>
              <w:jc w:val="both"/>
              <w:textAlignment w:val="top"/>
              <w:rPr>
                <w:rFonts w:ascii="宋体" w:hAnsi="宋体" w:cs="宋体"/>
                <w:b/>
                <w:bCs/>
                <w:szCs w:val="21"/>
              </w:rPr>
            </w:pPr>
            <w:r>
              <w:rPr>
                <w:rFonts w:hint="default" w:ascii="Times New Roman" w:hAnsi="Times New Roman" w:eastAsia="宋体" w:cs="Times New Roman"/>
                <w:b/>
                <w:i w:val="0"/>
                <w:color w:val="000000"/>
                <w:kern w:val="0"/>
                <w:sz w:val="21"/>
                <w:szCs w:val="21"/>
                <w:u w:val="none"/>
                <w:lang w:val="en-US" w:eastAsia="zh-CN" w:bidi="ar"/>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不丹</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15.295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11818.00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文莱</w:t>
            </w:r>
          </w:p>
        </w:tc>
        <w:tc>
          <w:tcPr>
            <w:tcW w:w="1548" w:type="dxa"/>
            <w:vAlign w:val="center"/>
          </w:tcPr>
          <w:p>
            <w:pPr>
              <w:keepNext w:val="0"/>
              <w:keepLines w:val="0"/>
              <w:widowControl/>
              <w:suppressLineNumbers w:val="0"/>
              <w:jc w:val="righ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29252.589</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17776051.00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94.928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67480.00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缅甸</w:t>
            </w:r>
          </w:p>
        </w:tc>
        <w:tc>
          <w:tcPr>
            <w:tcW w:w="1548" w:type="dxa"/>
            <w:vAlign w:val="center"/>
          </w:tcPr>
          <w:p>
            <w:pPr>
              <w:keepNext w:val="0"/>
              <w:keepLines w:val="0"/>
              <w:widowControl/>
              <w:suppressLineNumbers w:val="0"/>
              <w:jc w:val="righ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0</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166.922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121853.00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柬埔寨</w:t>
            </w:r>
          </w:p>
        </w:tc>
        <w:tc>
          <w:tcPr>
            <w:tcW w:w="1548" w:type="dxa"/>
            <w:vAlign w:val="center"/>
          </w:tcPr>
          <w:p>
            <w:pPr>
              <w:keepNext w:val="0"/>
              <w:keepLines w:val="0"/>
              <w:widowControl/>
              <w:suppressLineNumbers w:val="0"/>
              <w:jc w:val="righ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0</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1215.541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853660.00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朝鲜</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360.424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255415.00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香港</w:t>
            </w:r>
          </w:p>
        </w:tc>
        <w:tc>
          <w:tcPr>
            <w:tcW w:w="1548" w:type="dxa"/>
            <w:vAlign w:val="center"/>
          </w:tcPr>
          <w:p>
            <w:pPr>
              <w:keepNext w:val="0"/>
              <w:keepLines w:val="0"/>
              <w:widowControl/>
              <w:suppressLineNumbers w:val="0"/>
              <w:jc w:val="righ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0</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535195.602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321995603.00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印度</w:t>
            </w:r>
          </w:p>
        </w:tc>
        <w:tc>
          <w:tcPr>
            <w:tcW w:w="1548" w:type="dxa"/>
            <w:vAlign w:val="center"/>
          </w:tcPr>
          <w:p>
            <w:pPr>
              <w:keepNext w:val="0"/>
              <w:keepLines w:val="0"/>
              <w:widowControl/>
              <w:suppressLineNumbers w:val="0"/>
              <w:jc w:val="righ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0</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3802.265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2492505.00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印度尼西亚</w:t>
            </w:r>
          </w:p>
        </w:tc>
        <w:tc>
          <w:tcPr>
            <w:tcW w:w="1548" w:type="dxa"/>
            <w:vAlign w:val="center"/>
          </w:tcPr>
          <w:p>
            <w:pPr>
              <w:keepNext w:val="0"/>
              <w:keepLines w:val="0"/>
              <w:widowControl/>
              <w:suppressLineNumbers w:val="0"/>
              <w:jc w:val="righ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0</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6472.757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4412418.00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伊朗</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2884.594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2017955.00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伊拉克</w:t>
            </w:r>
          </w:p>
        </w:tc>
        <w:tc>
          <w:tcPr>
            <w:tcW w:w="1548" w:type="dxa"/>
            <w:vAlign w:val="center"/>
          </w:tcPr>
          <w:p>
            <w:pPr>
              <w:keepNext w:val="0"/>
              <w:keepLines w:val="0"/>
              <w:widowControl/>
              <w:suppressLineNumbers w:val="0"/>
              <w:jc w:val="righ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0</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238.574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183641.00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以色列</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1051.223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745277.00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日本</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69942.845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44525111.00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老挝</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2036.002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1289026.00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澳门</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27122.822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16905272.00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马来西亚</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11520.559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7913423.00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马尔代夫</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66.681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49974.00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蒙古</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7795.276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4821842.00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巴基斯坦</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966.740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686378.00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菲律宾</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56803.617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29819115.00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卡塔尔</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15067.264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10587938.00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沙特阿拉伯</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1512.057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943784.00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新加坡</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25894.823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16128240.00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83418.606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53871600.00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韩国</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297395.642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182117302.00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167407.149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103145743.00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斯里兰卡</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4577.075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3078538.00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泰国</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19214.610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13739105.00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土耳其</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16478.676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11486368.00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阿联酋</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39079.369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27277006.00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越南</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137591.125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77774569.00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台澎金马关税区</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3216.613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2266301.00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哈萨克斯坦</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635.710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467785.00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土库曼斯坦</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9.606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6118.00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乌兹别克斯坦</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744.983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533538.00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埃及</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14124.392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8626036.00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埃塞俄比亚</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11768.391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8172930.00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毛里求斯</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1153.918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812446.00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比利时</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4371.402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3116088.00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英国</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124237.946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81572629.00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德国</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36068.225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25220334.00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法国</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18782.916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13162118.00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卢森堡</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21769.405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15971283.00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荷兰</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110821.616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70648429.00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西班牙</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1840.339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1294113.00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奥地利</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4472.473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3117626.00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芬兰</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6280.878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4446283.00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冰岛</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3.134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2256.00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波兰</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1235.972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877800.00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瑞典</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6836.822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4832562.00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瑞士</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6576.046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4585301.00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阿塞拜疆</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5571.003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3963052.00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俄罗斯联邦</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40649.127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28762389.00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乌克兰</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315.831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236234.00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墨西哥</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1285.114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905300.00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加拿大</w:t>
            </w:r>
          </w:p>
        </w:tc>
        <w:tc>
          <w:tcPr>
            <w:tcW w:w="154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 xml:space="preserve">16519.007 </w:t>
            </w:r>
          </w:p>
        </w:tc>
        <w:tc>
          <w:tcPr>
            <w:tcW w:w="168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 xml:space="preserve">11630663.00 </w:t>
            </w:r>
          </w:p>
        </w:tc>
      </w:tr>
    </w:tbl>
    <w:p>
      <w:pPr>
        <w:pStyle w:val="3"/>
        <w:spacing w:before="120" w:after="120" w:line="240" w:lineRule="auto"/>
        <w:rPr>
          <w:rFonts w:hint="eastAsia" w:ascii="宋体" w:hAnsi="宋体"/>
          <w:b/>
          <w:sz w:val="30"/>
          <w:szCs w:val="30"/>
        </w:rPr>
      </w:pPr>
      <w:bookmarkStart w:id="21" w:name="_Toc533771879"/>
    </w:p>
    <w:bookmarkEnd w:id="21"/>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9139BB"/>
    <w:rsid w:val="01A95B6A"/>
    <w:rsid w:val="01BD1D63"/>
    <w:rsid w:val="01FE2CFE"/>
    <w:rsid w:val="029F2908"/>
    <w:rsid w:val="02AC60AA"/>
    <w:rsid w:val="03211A1D"/>
    <w:rsid w:val="034407FB"/>
    <w:rsid w:val="034F6246"/>
    <w:rsid w:val="03562125"/>
    <w:rsid w:val="035F2635"/>
    <w:rsid w:val="036D5E24"/>
    <w:rsid w:val="03A57F11"/>
    <w:rsid w:val="044E5434"/>
    <w:rsid w:val="048101D3"/>
    <w:rsid w:val="048C7CAA"/>
    <w:rsid w:val="04BF7371"/>
    <w:rsid w:val="053B1A3D"/>
    <w:rsid w:val="06300679"/>
    <w:rsid w:val="067746D4"/>
    <w:rsid w:val="069C6A8D"/>
    <w:rsid w:val="06B9287B"/>
    <w:rsid w:val="06DA3028"/>
    <w:rsid w:val="06F31CB3"/>
    <w:rsid w:val="0718687A"/>
    <w:rsid w:val="076C6634"/>
    <w:rsid w:val="07820AB4"/>
    <w:rsid w:val="07D15C8A"/>
    <w:rsid w:val="07E76A1F"/>
    <w:rsid w:val="0820276D"/>
    <w:rsid w:val="08573B5A"/>
    <w:rsid w:val="086F6B65"/>
    <w:rsid w:val="09371EEF"/>
    <w:rsid w:val="093F6B95"/>
    <w:rsid w:val="095B63CA"/>
    <w:rsid w:val="09717916"/>
    <w:rsid w:val="098251C0"/>
    <w:rsid w:val="09F11ACB"/>
    <w:rsid w:val="09FB6243"/>
    <w:rsid w:val="0A29795D"/>
    <w:rsid w:val="0A2D68BE"/>
    <w:rsid w:val="0A3C22BA"/>
    <w:rsid w:val="0AA33DAF"/>
    <w:rsid w:val="0AC60296"/>
    <w:rsid w:val="0AD32487"/>
    <w:rsid w:val="0B421176"/>
    <w:rsid w:val="0BCE6861"/>
    <w:rsid w:val="0BDC4FBC"/>
    <w:rsid w:val="0C08318F"/>
    <w:rsid w:val="0C586B50"/>
    <w:rsid w:val="0CE32FB8"/>
    <w:rsid w:val="0CE44838"/>
    <w:rsid w:val="0D731CA1"/>
    <w:rsid w:val="0DC46B30"/>
    <w:rsid w:val="0DD115AA"/>
    <w:rsid w:val="0DEA06F6"/>
    <w:rsid w:val="0E04318C"/>
    <w:rsid w:val="0E31785B"/>
    <w:rsid w:val="0E8B35C9"/>
    <w:rsid w:val="0EAF107B"/>
    <w:rsid w:val="0EC1627E"/>
    <w:rsid w:val="0ED36950"/>
    <w:rsid w:val="0F034AA6"/>
    <w:rsid w:val="0F125E7D"/>
    <w:rsid w:val="0F26373F"/>
    <w:rsid w:val="0F446A41"/>
    <w:rsid w:val="0F5808CC"/>
    <w:rsid w:val="0F666559"/>
    <w:rsid w:val="0F7D42FE"/>
    <w:rsid w:val="101C7D06"/>
    <w:rsid w:val="1265739D"/>
    <w:rsid w:val="12662947"/>
    <w:rsid w:val="13267B35"/>
    <w:rsid w:val="134A6D86"/>
    <w:rsid w:val="13594CF7"/>
    <w:rsid w:val="135A728A"/>
    <w:rsid w:val="138744BB"/>
    <w:rsid w:val="13E7373B"/>
    <w:rsid w:val="144B6D3F"/>
    <w:rsid w:val="147759A4"/>
    <w:rsid w:val="147A75E5"/>
    <w:rsid w:val="154F205D"/>
    <w:rsid w:val="15615E0F"/>
    <w:rsid w:val="15D83B2E"/>
    <w:rsid w:val="16600954"/>
    <w:rsid w:val="16734EEE"/>
    <w:rsid w:val="16E22B33"/>
    <w:rsid w:val="17194D7A"/>
    <w:rsid w:val="173C1948"/>
    <w:rsid w:val="17464B66"/>
    <w:rsid w:val="175B5D81"/>
    <w:rsid w:val="17652D76"/>
    <w:rsid w:val="177778D5"/>
    <w:rsid w:val="177C4324"/>
    <w:rsid w:val="18CA4E8D"/>
    <w:rsid w:val="191B1724"/>
    <w:rsid w:val="195D29F2"/>
    <w:rsid w:val="19850C75"/>
    <w:rsid w:val="198A3D94"/>
    <w:rsid w:val="198F27F8"/>
    <w:rsid w:val="1A555BDB"/>
    <w:rsid w:val="1ACC4B7F"/>
    <w:rsid w:val="1B816F9A"/>
    <w:rsid w:val="1B9C1B61"/>
    <w:rsid w:val="1BFE2971"/>
    <w:rsid w:val="1C01336C"/>
    <w:rsid w:val="1C1669BA"/>
    <w:rsid w:val="1C2230E8"/>
    <w:rsid w:val="1C2E2C8D"/>
    <w:rsid w:val="1D2B7B9F"/>
    <w:rsid w:val="1D3F5714"/>
    <w:rsid w:val="1D466011"/>
    <w:rsid w:val="1D547E28"/>
    <w:rsid w:val="1D655DB6"/>
    <w:rsid w:val="1D980258"/>
    <w:rsid w:val="1DB113DA"/>
    <w:rsid w:val="1E2278F4"/>
    <w:rsid w:val="1E5542CC"/>
    <w:rsid w:val="1E6D6ABE"/>
    <w:rsid w:val="1E755624"/>
    <w:rsid w:val="1EBE2AB5"/>
    <w:rsid w:val="1F092A2D"/>
    <w:rsid w:val="1F6B3A34"/>
    <w:rsid w:val="1F963D6D"/>
    <w:rsid w:val="1F98363F"/>
    <w:rsid w:val="1FCD7675"/>
    <w:rsid w:val="1FFC155B"/>
    <w:rsid w:val="20261774"/>
    <w:rsid w:val="203A4D2E"/>
    <w:rsid w:val="205B78B2"/>
    <w:rsid w:val="206901B1"/>
    <w:rsid w:val="20C12FDC"/>
    <w:rsid w:val="211001E9"/>
    <w:rsid w:val="21147D43"/>
    <w:rsid w:val="2119067D"/>
    <w:rsid w:val="21216F1B"/>
    <w:rsid w:val="21862B07"/>
    <w:rsid w:val="224E7428"/>
    <w:rsid w:val="2261560B"/>
    <w:rsid w:val="22944164"/>
    <w:rsid w:val="229674ED"/>
    <w:rsid w:val="22D174A6"/>
    <w:rsid w:val="230F16FC"/>
    <w:rsid w:val="23B946BE"/>
    <w:rsid w:val="24322A62"/>
    <w:rsid w:val="24554136"/>
    <w:rsid w:val="245C2B3F"/>
    <w:rsid w:val="24836E94"/>
    <w:rsid w:val="24974A9D"/>
    <w:rsid w:val="24A21A55"/>
    <w:rsid w:val="24BC74B9"/>
    <w:rsid w:val="250D3E66"/>
    <w:rsid w:val="25955E96"/>
    <w:rsid w:val="259B6E31"/>
    <w:rsid w:val="25B904A8"/>
    <w:rsid w:val="261447E7"/>
    <w:rsid w:val="26442276"/>
    <w:rsid w:val="26DF7D7C"/>
    <w:rsid w:val="26EE1723"/>
    <w:rsid w:val="270D21C6"/>
    <w:rsid w:val="27A7464B"/>
    <w:rsid w:val="28892109"/>
    <w:rsid w:val="28A325B7"/>
    <w:rsid w:val="28B71571"/>
    <w:rsid w:val="29D84ABC"/>
    <w:rsid w:val="2A252C4C"/>
    <w:rsid w:val="2AC063B7"/>
    <w:rsid w:val="2ACD0874"/>
    <w:rsid w:val="2B0F004D"/>
    <w:rsid w:val="2B6638DE"/>
    <w:rsid w:val="2BED5A7C"/>
    <w:rsid w:val="2BF858F4"/>
    <w:rsid w:val="2BFC6315"/>
    <w:rsid w:val="2BFD5564"/>
    <w:rsid w:val="2CAD067B"/>
    <w:rsid w:val="2D4D17E5"/>
    <w:rsid w:val="2DF5641D"/>
    <w:rsid w:val="2E2F56E6"/>
    <w:rsid w:val="2E4A7323"/>
    <w:rsid w:val="2EA56E95"/>
    <w:rsid w:val="2ED4404D"/>
    <w:rsid w:val="2F13732E"/>
    <w:rsid w:val="2FD85581"/>
    <w:rsid w:val="2FE513F6"/>
    <w:rsid w:val="302909D7"/>
    <w:rsid w:val="30A00CB5"/>
    <w:rsid w:val="30E73B0D"/>
    <w:rsid w:val="30FC61C2"/>
    <w:rsid w:val="31363ABC"/>
    <w:rsid w:val="314614BA"/>
    <w:rsid w:val="31490B7D"/>
    <w:rsid w:val="3189708E"/>
    <w:rsid w:val="319434F7"/>
    <w:rsid w:val="31B05A1F"/>
    <w:rsid w:val="31FC35FB"/>
    <w:rsid w:val="32010D04"/>
    <w:rsid w:val="32574FD8"/>
    <w:rsid w:val="327C3888"/>
    <w:rsid w:val="32CE45BC"/>
    <w:rsid w:val="32E42D0F"/>
    <w:rsid w:val="33435E16"/>
    <w:rsid w:val="34005D95"/>
    <w:rsid w:val="34173060"/>
    <w:rsid w:val="34474FF1"/>
    <w:rsid w:val="34B63281"/>
    <w:rsid w:val="34D564C3"/>
    <w:rsid w:val="34EC4B86"/>
    <w:rsid w:val="3572663B"/>
    <w:rsid w:val="357D4C50"/>
    <w:rsid w:val="35AF3549"/>
    <w:rsid w:val="364A7C84"/>
    <w:rsid w:val="36605016"/>
    <w:rsid w:val="366B7A53"/>
    <w:rsid w:val="368259EE"/>
    <w:rsid w:val="36C76D40"/>
    <w:rsid w:val="36F44E23"/>
    <w:rsid w:val="371D2966"/>
    <w:rsid w:val="373062E8"/>
    <w:rsid w:val="37785098"/>
    <w:rsid w:val="37A6234C"/>
    <w:rsid w:val="37AF1535"/>
    <w:rsid w:val="37D337D1"/>
    <w:rsid w:val="38781C56"/>
    <w:rsid w:val="38E95212"/>
    <w:rsid w:val="391C1C7A"/>
    <w:rsid w:val="39600E80"/>
    <w:rsid w:val="3A01261A"/>
    <w:rsid w:val="3A1A4CEB"/>
    <w:rsid w:val="3A481E25"/>
    <w:rsid w:val="3A632ED3"/>
    <w:rsid w:val="3A6F255F"/>
    <w:rsid w:val="3A90237F"/>
    <w:rsid w:val="3B0A7991"/>
    <w:rsid w:val="3B100A85"/>
    <w:rsid w:val="3B691338"/>
    <w:rsid w:val="3BD837A5"/>
    <w:rsid w:val="3C317DDD"/>
    <w:rsid w:val="3C742BEB"/>
    <w:rsid w:val="3CB004C5"/>
    <w:rsid w:val="3CB35047"/>
    <w:rsid w:val="3CB47F7E"/>
    <w:rsid w:val="3D8D1DDC"/>
    <w:rsid w:val="3E037731"/>
    <w:rsid w:val="3E0F09D9"/>
    <w:rsid w:val="3E305EE4"/>
    <w:rsid w:val="3E3D25F5"/>
    <w:rsid w:val="3E752011"/>
    <w:rsid w:val="3E8E2505"/>
    <w:rsid w:val="3E9953AC"/>
    <w:rsid w:val="3F310E2B"/>
    <w:rsid w:val="3F4D19AF"/>
    <w:rsid w:val="3F837DDF"/>
    <w:rsid w:val="3FA21405"/>
    <w:rsid w:val="3FCB012B"/>
    <w:rsid w:val="3FEE1DE8"/>
    <w:rsid w:val="40171145"/>
    <w:rsid w:val="40742438"/>
    <w:rsid w:val="40932E75"/>
    <w:rsid w:val="41696F7F"/>
    <w:rsid w:val="418B25AA"/>
    <w:rsid w:val="419D7C05"/>
    <w:rsid w:val="41F604FA"/>
    <w:rsid w:val="421C0994"/>
    <w:rsid w:val="424F02B6"/>
    <w:rsid w:val="427133C0"/>
    <w:rsid w:val="42FD1410"/>
    <w:rsid w:val="431F563A"/>
    <w:rsid w:val="432D0CD2"/>
    <w:rsid w:val="4348259E"/>
    <w:rsid w:val="434C0977"/>
    <w:rsid w:val="43705840"/>
    <w:rsid w:val="43AF6845"/>
    <w:rsid w:val="44615639"/>
    <w:rsid w:val="448F5706"/>
    <w:rsid w:val="44944331"/>
    <w:rsid w:val="44A538D4"/>
    <w:rsid w:val="44B05905"/>
    <w:rsid w:val="44B67F0B"/>
    <w:rsid w:val="459B774E"/>
    <w:rsid w:val="47C254B8"/>
    <w:rsid w:val="47DF082A"/>
    <w:rsid w:val="47EB5003"/>
    <w:rsid w:val="483A31DC"/>
    <w:rsid w:val="48942C25"/>
    <w:rsid w:val="4898666C"/>
    <w:rsid w:val="489B75DE"/>
    <w:rsid w:val="48B5305A"/>
    <w:rsid w:val="490B579F"/>
    <w:rsid w:val="4969605D"/>
    <w:rsid w:val="496D1F2A"/>
    <w:rsid w:val="498A3B85"/>
    <w:rsid w:val="49AE3287"/>
    <w:rsid w:val="49D021B0"/>
    <w:rsid w:val="4A3546EB"/>
    <w:rsid w:val="4A526073"/>
    <w:rsid w:val="4A56215E"/>
    <w:rsid w:val="4A5D4A40"/>
    <w:rsid w:val="4A7E40F2"/>
    <w:rsid w:val="4A8561F1"/>
    <w:rsid w:val="4A943BC6"/>
    <w:rsid w:val="4AAF17A9"/>
    <w:rsid w:val="4BB317A2"/>
    <w:rsid w:val="4BC27F8D"/>
    <w:rsid w:val="4BCC6CCE"/>
    <w:rsid w:val="4BE44E6C"/>
    <w:rsid w:val="4BF446B8"/>
    <w:rsid w:val="4C061338"/>
    <w:rsid w:val="4C497215"/>
    <w:rsid w:val="4C5E08E0"/>
    <w:rsid w:val="4CBF4AE9"/>
    <w:rsid w:val="4D0A349B"/>
    <w:rsid w:val="4D0F04ED"/>
    <w:rsid w:val="4D427C91"/>
    <w:rsid w:val="4DBE12C2"/>
    <w:rsid w:val="4DCE6ED3"/>
    <w:rsid w:val="4E333BBB"/>
    <w:rsid w:val="4EC951FF"/>
    <w:rsid w:val="4ED04B02"/>
    <w:rsid w:val="4EE96853"/>
    <w:rsid w:val="4F121BEA"/>
    <w:rsid w:val="4F566ACF"/>
    <w:rsid w:val="4F8028EE"/>
    <w:rsid w:val="4FAD0DF7"/>
    <w:rsid w:val="4FBE1CEA"/>
    <w:rsid w:val="4FC15F00"/>
    <w:rsid w:val="51130AD6"/>
    <w:rsid w:val="51147068"/>
    <w:rsid w:val="51952A88"/>
    <w:rsid w:val="51EE27E3"/>
    <w:rsid w:val="5234477C"/>
    <w:rsid w:val="52515077"/>
    <w:rsid w:val="52B118DE"/>
    <w:rsid w:val="52CB6EC0"/>
    <w:rsid w:val="52D061DA"/>
    <w:rsid w:val="5315442E"/>
    <w:rsid w:val="5341530E"/>
    <w:rsid w:val="53434396"/>
    <w:rsid w:val="534D112E"/>
    <w:rsid w:val="5393301A"/>
    <w:rsid w:val="53971518"/>
    <w:rsid w:val="53B91D8C"/>
    <w:rsid w:val="53E56E6E"/>
    <w:rsid w:val="53F17662"/>
    <w:rsid w:val="54010C17"/>
    <w:rsid w:val="546C3F2D"/>
    <w:rsid w:val="547F46DA"/>
    <w:rsid w:val="549F75FE"/>
    <w:rsid w:val="556D2811"/>
    <w:rsid w:val="55F04C52"/>
    <w:rsid w:val="55F35D23"/>
    <w:rsid w:val="56281CBC"/>
    <w:rsid w:val="56333685"/>
    <w:rsid w:val="56A332D5"/>
    <w:rsid w:val="56C325A5"/>
    <w:rsid w:val="572D602C"/>
    <w:rsid w:val="57364D30"/>
    <w:rsid w:val="57B937A9"/>
    <w:rsid w:val="58E94F10"/>
    <w:rsid w:val="58FA15B8"/>
    <w:rsid w:val="58FF06B6"/>
    <w:rsid w:val="591C3F4A"/>
    <w:rsid w:val="593E6CC6"/>
    <w:rsid w:val="59591BB8"/>
    <w:rsid w:val="59820786"/>
    <w:rsid w:val="59A774F2"/>
    <w:rsid w:val="59AD15AB"/>
    <w:rsid w:val="59E474BD"/>
    <w:rsid w:val="59FC6B89"/>
    <w:rsid w:val="5A261D0E"/>
    <w:rsid w:val="5A412A61"/>
    <w:rsid w:val="5A527BDD"/>
    <w:rsid w:val="5A9311E7"/>
    <w:rsid w:val="5AF86253"/>
    <w:rsid w:val="5B081862"/>
    <w:rsid w:val="5B340596"/>
    <w:rsid w:val="5BB41290"/>
    <w:rsid w:val="5C9E10E9"/>
    <w:rsid w:val="5CDA6371"/>
    <w:rsid w:val="5D1516BF"/>
    <w:rsid w:val="5D1569ED"/>
    <w:rsid w:val="5D1B2A4F"/>
    <w:rsid w:val="5D623C65"/>
    <w:rsid w:val="5DC477E0"/>
    <w:rsid w:val="5DD05318"/>
    <w:rsid w:val="5DEF6C2B"/>
    <w:rsid w:val="5E4E3F80"/>
    <w:rsid w:val="5E5F4BD4"/>
    <w:rsid w:val="5ED20F44"/>
    <w:rsid w:val="5F123BC6"/>
    <w:rsid w:val="5F1A7A37"/>
    <w:rsid w:val="5F63419E"/>
    <w:rsid w:val="5F880842"/>
    <w:rsid w:val="5FFC4765"/>
    <w:rsid w:val="60046C0F"/>
    <w:rsid w:val="602C01A9"/>
    <w:rsid w:val="603B1B21"/>
    <w:rsid w:val="607F2EF2"/>
    <w:rsid w:val="610D2A7D"/>
    <w:rsid w:val="61175A9A"/>
    <w:rsid w:val="615F1F60"/>
    <w:rsid w:val="61BC217C"/>
    <w:rsid w:val="61D9772A"/>
    <w:rsid w:val="61DB33CF"/>
    <w:rsid w:val="61EF0933"/>
    <w:rsid w:val="61F2327B"/>
    <w:rsid w:val="61F6471A"/>
    <w:rsid w:val="625E2011"/>
    <w:rsid w:val="62EF16C5"/>
    <w:rsid w:val="63356B20"/>
    <w:rsid w:val="63F34E27"/>
    <w:rsid w:val="642E2D6E"/>
    <w:rsid w:val="642F141D"/>
    <w:rsid w:val="6439179D"/>
    <w:rsid w:val="643A7D3D"/>
    <w:rsid w:val="645E071A"/>
    <w:rsid w:val="652A5D21"/>
    <w:rsid w:val="65480BBE"/>
    <w:rsid w:val="65B955CA"/>
    <w:rsid w:val="661A0E12"/>
    <w:rsid w:val="66214D7C"/>
    <w:rsid w:val="66B56D61"/>
    <w:rsid w:val="67056631"/>
    <w:rsid w:val="6779797F"/>
    <w:rsid w:val="6789047F"/>
    <w:rsid w:val="68382592"/>
    <w:rsid w:val="68A742AD"/>
    <w:rsid w:val="68C731B8"/>
    <w:rsid w:val="691052CA"/>
    <w:rsid w:val="69194464"/>
    <w:rsid w:val="698B1B24"/>
    <w:rsid w:val="69BB0755"/>
    <w:rsid w:val="6A7A60F7"/>
    <w:rsid w:val="6AEE1969"/>
    <w:rsid w:val="6B0A125F"/>
    <w:rsid w:val="6B7308B4"/>
    <w:rsid w:val="6BA2498F"/>
    <w:rsid w:val="6BCA0F7D"/>
    <w:rsid w:val="6BDE4DDD"/>
    <w:rsid w:val="6BE972DB"/>
    <w:rsid w:val="6BFE0452"/>
    <w:rsid w:val="6C0F2440"/>
    <w:rsid w:val="6C176418"/>
    <w:rsid w:val="6C392A9F"/>
    <w:rsid w:val="6C762792"/>
    <w:rsid w:val="6C801375"/>
    <w:rsid w:val="6CEF6EBD"/>
    <w:rsid w:val="6CF01C95"/>
    <w:rsid w:val="6D18295E"/>
    <w:rsid w:val="6D206AE2"/>
    <w:rsid w:val="6DD23F1E"/>
    <w:rsid w:val="6DEE2081"/>
    <w:rsid w:val="6E336938"/>
    <w:rsid w:val="6E5D68D3"/>
    <w:rsid w:val="6E7251F0"/>
    <w:rsid w:val="6E757524"/>
    <w:rsid w:val="6E7934F3"/>
    <w:rsid w:val="6EAD6286"/>
    <w:rsid w:val="6EB24C59"/>
    <w:rsid w:val="6F2428C0"/>
    <w:rsid w:val="6F591B5D"/>
    <w:rsid w:val="6F7E65DB"/>
    <w:rsid w:val="705F37D3"/>
    <w:rsid w:val="709143C4"/>
    <w:rsid w:val="70930271"/>
    <w:rsid w:val="70DB5146"/>
    <w:rsid w:val="712776C4"/>
    <w:rsid w:val="7181738B"/>
    <w:rsid w:val="71820038"/>
    <w:rsid w:val="71990145"/>
    <w:rsid w:val="71C90ED8"/>
    <w:rsid w:val="71E12038"/>
    <w:rsid w:val="72112B83"/>
    <w:rsid w:val="72887B37"/>
    <w:rsid w:val="72910320"/>
    <w:rsid w:val="73092FAA"/>
    <w:rsid w:val="734608F5"/>
    <w:rsid w:val="736D4BAC"/>
    <w:rsid w:val="74090510"/>
    <w:rsid w:val="740E2D2D"/>
    <w:rsid w:val="746B6757"/>
    <w:rsid w:val="74E97F38"/>
    <w:rsid w:val="74F13E40"/>
    <w:rsid w:val="752A3F7B"/>
    <w:rsid w:val="75B35E00"/>
    <w:rsid w:val="766C7968"/>
    <w:rsid w:val="76936F16"/>
    <w:rsid w:val="76A64EB2"/>
    <w:rsid w:val="76BC1014"/>
    <w:rsid w:val="77025DC3"/>
    <w:rsid w:val="7781654E"/>
    <w:rsid w:val="77B92312"/>
    <w:rsid w:val="7827423F"/>
    <w:rsid w:val="7850391E"/>
    <w:rsid w:val="78703EBE"/>
    <w:rsid w:val="78805A36"/>
    <w:rsid w:val="78AE0946"/>
    <w:rsid w:val="79331EC1"/>
    <w:rsid w:val="79404911"/>
    <w:rsid w:val="7986601A"/>
    <w:rsid w:val="79AE14B2"/>
    <w:rsid w:val="79CE4B72"/>
    <w:rsid w:val="7A055366"/>
    <w:rsid w:val="7A292C38"/>
    <w:rsid w:val="7A5F22B4"/>
    <w:rsid w:val="7A680094"/>
    <w:rsid w:val="7A81102C"/>
    <w:rsid w:val="7AA37ECA"/>
    <w:rsid w:val="7AB16073"/>
    <w:rsid w:val="7ABB5514"/>
    <w:rsid w:val="7ADE3222"/>
    <w:rsid w:val="7AF04DB0"/>
    <w:rsid w:val="7B322761"/>
    <w:rsid w:val="7B3C2640"/>
    <w:rsid w:val="7BB43296"/>
    <w:rsid w:val="7BDE6C84"/>
    <w:rsid w:val="7CCC4E54"/>
    <w:rsid w:val="7CF41D8D"/>
    <w:rsid w:val="7D2D2CA0"/>
    <w:rsid w:val="7DD90B59"/>
    <w:rsid w:val="7E660C33"/>
    <w:rsid w:val="7E733B66"/>
    <w:rsid w:val="7EC52141"/>
    <w:rsid w:val="7ED12FEE"/>
    <w:rsid w:val="7F1648D6"/>
    <w:rsid w:val="7F23784E"/>
    <w:rsid w:val="7F486BDC"/>
    <w:rsid w:val="7F4C71A0"/>
    <w:rsid w:val="7FB745D2"/>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4</TotalTime>
  <ScaleCrop>false</ScaleCrop>
  <LinksUpToDate>false</LinksUpToDate>
  <CharactersWithSpaces>26786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2020-04-16T07:58:03Z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2052-11.1.0.9584</vt:lpwstr>
  </property>
</Properties>
</file>