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-695960</wp:posOffset>
            </wp:positionH>
            <wp:positionV relativeFrom="paragraph">
              <wp:posOffset>-534035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5.7</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29</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3</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33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3</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影响因素</w:t>
            </w:r>
          </w:p>
        </w:tc>
      </w:tr>
      <w:tr>
        <w:tblPrEx>
          <w:tblCellMar>
            <w:top w:w="15" w:type="dxa"/>
            <w:left w:w="15" w:type="dxa"/>
            <w:bottom w:w="15" w:type="dxa"/>
            <w:right w:w="15" w:type="dxa"/>
          </w:tblCellMar>
        </w:tblPrEx>
        <w:trPr>
          <w:trHeight w:val="1643"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2020/5/6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23.99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29.72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尽管此前随着OPEC+减产实施以及部分国家放松疫情管控为原油价格的上涨提供了一定的支撑，但市场对疫情影响原油需求的担忧仍然存在，且EIA原油库存连续15周录得增长也令油价承压，原油价格在连续上涨后小幅回调。</w:t>
            </w:r>
          </w:p>
        </w:tc>
      </w:tr>
      <w:tr>
        <w:tblPrEx>
          <w:tblCellMar>
            <w:top w:w="15" w:type="dxa"/>
            <w:left w:w="15" w:type="dxa"/>
            <w:bottom w:w="15" w:type="dxa"/>
            <w:right w:w="15" w:type="dxa"/>
          </w:tblCellMar>
        </w:tblPrEx>
        <w:trPr>
          <w:trHeight w:val="198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2020/5/5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24.56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30.97</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在OPEC+减产计划正式实施后，市场乐观预期认为目前产油国的减产将有效缓解当前原油供过于求的情况,与此同时市场对原油仓储危机的忧虑也有所缓解。此外，部分国家开始逐步放松管控措施复工复产，令市场预期原油需求量将迎来复苏，为油价涨势提供了有力支撑。</w:t>
            </w:r>
          </w:p>
        </w:tc>
      </w:tr>
      <w:tr>
        <w:tblPrEx>
          <w:tblCellMar>
            <w:top w:w="15" w:type="dxa"/>
            <w:left w:w="15" w:type="dxa"/>
            <w:bottom w:w="15" w:type="dxa"/>
            <w:right w:w="15" w:type="dxa"/>
          </w:tblCellMar>
        </w:tblPrEx>
        <w:trPr>
          <w:trHeight w:val="177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2020/5/4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20.39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27.2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世界多国宣布将开始放松控制疫情的封锁措施,且主要产油国的减产协议生效为油价提供了有力支撑，但是，需求大降之际全球原油供应过剩局面可能持续的忧虑仍令油价涨幅受限。</w:t>
            </w:r>
          </w:p>
        </w:tc>
      </w:tr>
      <w:tr>
        <w:tblPrEx>
          <w:tblCellMar>
            <w:top w:w="15" w:type="dxa"/>
            <w:left w:w="15" w:type="dxa"/>
            <w:bottom w:w="15" w:type="dxa"/>
            <w:right w:w="15" w:type="dxa"/>
          </w:tblCellMar>
        </w:tblPrEx>
        <w:trPr>
          <w:trHeight w:val="231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2020/5/1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19.78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26.44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随着疫情扩散逐渐趋于稳定，当前部分国家正逐步放松对疫情的封锁措施，经济恢复提振原油需求，加之OPEC及其他部分产油国减产970万桶/日的协议于5月1日正式实施，市场对于供需失衡的忧虑有所缓解，油价获得一定支撑。</w:t>
            </w:r>
          </w:p>
        </w:tc>
      </w:tr>
      <w:tr>
        <w:tblPrEx>
          <w:tblCellMar>
            <w:top w:w="15" w:type="dxa"/>
            <w:left w:w="15" w:type="dxa"/>
            <w:bottom w:w="15" w:type="dxa"/>
            <w:right w:w="15" w:type="dxa"/>
          </w:tblCellMar>
        </w:tblPrEx>
        <w:trPr>
          <w:trHeight w:val="259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2020/4/30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18.84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25.27</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jc w:val="both"/>
              <w:rPr>
                <w:rFonts w:hint="eastAsia" w:ascii="宋体" w:hAnsi="宋体" w:eastAsia="宋体" w:cs="宋体"/>
                <w:color w:val="333335"/>
                <w:sz w:val="24"/>
                <w:szCs w:val="24"/>
                <w:shd w:val="clear" w:color="auto" w:fill="FFFFFF"/>
              </w:rPr>
            </w:pPr>
            <w:r>
              <w:rPr>
                <w:rFonts w:hint="eastAsia" w:ascii="宋体" w:hAnsi="宋体" w:eastAsia="宋体" w:cs="宋体"/>
                <w:color w:val="333335"/>
                <w:sz w:val="24"/>
                <w:szCs w:val="24"/>
                <w:shd w:val="clear" w:color="auto" w:fill="FFFFFF"/>
              </w:rPr>
              <w:t>挪威近20年来首次宣布加入原油减产行动，随着全球各产油国减产的消息不断传出，市场人士认为未来一到两个月，石油供应可能将慢慢接近需求，市场对供应过剩的担忧正在逐渐下降。此外，尽管前日公布的EIA库存数据仍然增加，但增量大大低于市场预期令市场利空压力减少。</w:t>
            </w:r>
          </w:p>
        </w:tc>
      </w:tr>
    </w:tbl>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5523865" cy="381952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23865" cy="3819525"/>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6" w:name="_Toc10115992"/>
      <w:r>
        <w:rPr>
          <w:rFonts w:hint="eastAsia" w:ascii="宋体" w:hAnsi="宋体" w:eastAsia="宋体" w:cs="宋体"/>
          <w:color w:val="333335"/>
          <w:kern w:val="2"/>
          <w:sz w:val="28"/>
          <w:szCs w:val="28"/>
          <w:shd w:val="clear" w:color="auto" w:fill="FFFFFF"/>
          <w:lang w:eastAsia="zh-CN"/>
        </w:rPr>
        <w:t>本周美国能源信息署(EIA)周三(4月29日)报告显示，截至4月24日当周美国除却战略储备的商业原油库存增幅不及预期，精炼油库存增幅超预期，汽油库存意外录得下降。具体数据显示，美国截至4月24日当周EIA原油库存变动实际公布增加899.10万桶，预期增加1167.8万桶，前值增加1502.2万桶。此外，美国截至4月24日当周EIA汽油库存实际公布减少366.90万桶，预期增加275.6万桶，前值增加101.7万桶;美国截至4月24日当周EIA精炼油库存实际公布增加509.20万桶，预期增加388.8万桶，前值增加787.6万桶。周二(4月28日)美国石油学会(API)报告显示，美国原油库存增幅小于预期。截止4月24日，美国原油库存增加998万桶，前值增加1322.6万桶，预期值增加1060万桶。当周API库欣地区原油库存增加249万桶，前值增加491.3万桶 。当周API汽油库存减少111万桶，前值增加343.5万桶。预期值增加267.3万桶。当周API精炼油库存546万桶，前值763.9万桶，预期值增加375万桶。API报告称，美国上周原油库存增加1000万桶至5.1亿桶。美国上周原油进口增加22万桶/日。</w:t>
      </w:r>
    </w:p>
    <w:p>
      <w:pPr>
        <w:pStyle w:val="23"/>
        <w:spacing w:line="360" w:lineRule="auto"/>
        <w:ind w:firstLine="560" w:firstLineChars="200"/>
        <w:rPr>
          <w:rFonts w:ascii="华文仿宋" w:hAnsi="华文仿宋" w:eastAsia="华文仿宋"/>
          <w:sz w:val="28"/>
          <w:szCs w:val="28"/>
        </w:rPr>
      </w:pP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7" w:name="_Toc10115993"/>
      <w:r>
        <w:rPr>
          <w:rFonts w:hint="eastAsia" w:ascii="宋体" w:hAnsi="宋体" w:eastAsia="宋体" w:cs="宋体"/>
          <w:color w:val="333335"/>
          <w:kern w:val="2"/>
          <w:sz w:val="28"/>
          <w:szCs w:val="28"/>
          <w:shd w:val="clear" w:color="auto" w:fill="FFFFFF"/>
          <w:lang w:eastAsia="zh-CN"/>
        </w:rPr>
        <w:t>本周美财政部计划二季度发行3万亿美元国债国会酝酿新一轮疫情救援法案</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在冠状病毒疫情大流行冲击全球经济的背景下，美国财政部预计，今年二季度增加发行3万亿美元国债，规模创单季历史新高。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美国财政部还预计，今年三季度将额外借款6770亿美元。今年一季度，美国财政部的借款为4770亿美元。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声明指出，今年二季度发债规模大幅增加主要受新冠疫情影响。由于美国国会出台多项法案增加对个人和企业的援助，导致财政开支猛增，而延长纳税申报期限也导致了政府财政收入出现变化。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美国众议院多数党(民主党)领袖霍耶周三表示，民主党人正在研究新的应对病毒疫情救援法案。他称，新的法案将主要关注对各州政府的援助。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美国国会预算办公室预计，2020财年(2019年10月1日至2020年9月30日)美国联邦预算赤字将达创纪录的3.7万亿美元。自3月1日以来，美国联邦债务增加了1.5万亿美元，至24.9万亿美元，增长了6.4%。</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美4月ADP就业人数减少2023.6万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ADP就业机构报告称，美国4月ADP就业人数减少2023.6万人，预估为减少2100万人，前值为减少2.7万人。该数据远超前纪录低位的减少70.8万人(修正前为-74.2万人)。ADP报告称，4月建筑业就业人数减少247.7万人，3月减少1.6万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这份数据凸显出冠状病毒疫情使美国劳动力市场陷入近一个世纪以来最大的危机。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ADP报告中惊人的就业岗位流失，预示着将于本周五上午公布的非农就业报告也将出现类似的大幅下滑。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失业率可能或从两个月前的3.5%飙升至有记录以来的最高水平，有财经媒体预测该数字将会达到15%。此外，ADP报告或没有完全涵盖失业数量，也不包括政府的工作岗位。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分析认为，当前美国劳动力市场已经遭受了巨大的打击，冠状病毒疫情消退后，劳动力市场将使经济更难恢复。尽管可能是杯水车薪，但美国政府仍进行了大规模的补贴，以保障经济运转。</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ADP就业数据公司副总裁表示，这种规模的失业是前所未有的。仅4月份的失业总人数就超过了大萧条期间失业总人数的两倍。ADP报告没有反映出新冠疫情的全部影响。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联储布拉德表示，ADP就业数据“并不意外”。他表示，4月的就业报告将是历史上最差的报告之一。封锁措施的主要经济影响将在第二季度显现，失业率可能达到20%，甚至更高水平;预计第三季度是过渡期，第四季度将相对较快地复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欧盟预测欧元区今年的经济将萎缩7.7%</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欧洲经济数据显示，欧洲各国为控制冠状病毒疫情实施的封锁政策给经济带来了沉重打击。有迹象表明，欧洲经济正遭受数十年来最严重的衰退。</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欧盟委员会在春季预测报告中表示，欧元区今年的经济将萎缩7.7%，通胀将降至0.2%，意大利、希腊、西班牙和葡萄牙受到的影响最为严重。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据欧盟委员会的预测报告，到年底英国经济将收缩8.3%，投资下降14%，失业率增加一倍。预计到2020年欧盟经济将收缩7.5%，到2021年将增长6%左右。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最新数据显示，仅德国3月份的工厂订单就暴跌了15.6%，年度订单量比2019年3月减少了16%，这是自1991年数据系列开始以来最严重的暴跌。统计公司Destatis解释称：“2020年3月，德国国内订单下降14.8%，国外订单下降16.1%。”这甚至比预期的还要糟糕——经济学家曾预测德国工厂订单将下降10%。</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德国将宣布重启经济计划。德国经济部将订单急剧下降归咎于冠状病毒疫情的全球经济冲击，并警告说情况将会恶化，声明中说：“受到冠状病毒疫情影响，预计从3月起产量将急剧下降。”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从欧元区来看，上个月，欧元区的私营部门以前所未有的速度萎缩，西班牙和意大利领跌。追踪私人部门活动的数据公司Markit欧元区综合PMI从3月份的29.7跌至4月份的13.6。这一数据创下历史新低，显示出有史以来最严重的下滑。欧元区各大公司的采购经理报告称，出口和新业务大幅下，而工作岗位流失加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周三，纽约商品交易所6月交割的西德州中质原油(WTI)期货价格下跌57美分，跌幅2.3%，收于每桶23.99美元。周二该期货上涨超过20%，收于4月17日以来新高。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作为全球原油价格基准的伦敦洲际交易所7月布伦特原油期货价格下跌1.25美元，跌幅4%，收于每桶29.72美元。昨日该期货收高14%。</w:t>
      </w:r>
    </w:p>
    <w:p>
      <w:pPr>
        <w:pStyle w:val="23"/>
        <w:rPr>
          <w:rFonts w:hint="eastAsia" w:ascii="华文仿宋" w:hAnsi="华文仿宋" w:eastAsia="华文仿宋" w:cs="华文仿宋"/>
          <w:color w:val="333335"/>
          <w:kern w:val="2"/>
          <w:sz w:val="28"/>
          <w:szCs w:val="28"/>
          <w:shd w:val="clear" w:color="auto" w:fill="FFFFFF"/>
        </w:rPr>
      </w:pP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根据经济学家谢坦-艾哈亚(Chetan Ahya)的报告，摩根士丹利(Morgan Stanley)看到了全球经济正在触底反弹的迹象。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该银行预测，今年第二季度全球经济增长将降至-7.5%，但预计全球和发达市场的经济水平将分别在一两个财年后恢复到衰退前的水平。这比他们从严重的金融危机中恢复过来所花费的六个季度和十四个季度要快。</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“这场衰退的触发因素是公共卫生危机形式的外源性冲击，而不是由失衡加剧引发的传统的内源性调整，”艾哈亚写道。“这也并不是从金融危机开始的，如今的银行系统比金融危机之前的状况更好。”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尽管冠状病毒大流行给全球经济造成了严重破坏，但摩根士丹利(Morgan Stanley)看到有迹象表明，复苏正在进行中，而且复苏速度将超过重大的金融危机。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该报告称，摩根士丹利的许多经济指标均显示触底反弹的迹象。艾哈亚写道：“消费者的未来期望有所改善，出行趋势已经从低谷开始上升，而消费者支出的收缩速度比疫情爆发的最初几周要慢。”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该银行表示，它认为美国可能从4月下旬达到最低点，欧元区经济则在4月触底。摩根士丹利还表示，中欧和东欧，中东，非洲和拉丁美洲的经济将在今年下半年跌至谷底。</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此外，全球经济的缓慢开放可能会进一步改善流动性和生产趋势。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“在美国，一些州已经开始重新开放，而我们的美国经济和生物技术团队估计，到5月中旬，美国经济中54%的参与者将处于有意义的重新开放阶段，” 艾哈亚写道。</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摩根士丹利一直在密切观察疫情得到控制国家的开放情况，以衡量世界其他地区的发展趋势。该报告称，该银行的关注重点在于复苏的途径，而不是复苏的持续时间和幅度。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此外，摩根士丹利表示，重新开放引发了人们对可能爆发第二波新冠病毒疫情的质疑。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“我们不得不承认，有关该病毒的许多未知因素仍然存在，但我们确实认为可能还会再发生另一波感染。”艾哈亚写道。</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他继续说：“我们感到欣慰的是，分阶段重新开放，扩大公共卫生部门进行测试和追踪的能力，开发用于治疗和预防该疾病的医学解决方案以及提高广大民众的意识，这意味着我们有更大的机会减少未来爆发的规模和范围。”</w:t>
      </w: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8" w:name="_Toc533771866"/>
      <w:r>
        <w:rPr>
          <w:rFonts w:hint="eastAsia" w:ascii="宋体" w:hAnsi="宋体" w:eastAsia="宋体" w:cs="宋体"/>
          <w:color w:val="333335"/>
          <w:kern w:val="2"/>
          <w:sz w:val="28"/>
          <w:szCs w:val="28"/>
          <w:shd w:val="clear" w:color="auto" w:fill="FFFFFF"/>
          <w:lang w:eastAsia="zh-CN"/>
        </w:rPr>
        <w:t>本周美国WTI原油原油价格在18.84-24.56美元/桶。布伦特原油价格在25.27-30.97美元/桶震荡。周内国际油窄幅震荡。油价周三(5月6日)收盘下跌，结束了五日连涨的势头：美国WTI原油6月期货下跌0.57美元，跌幅2.3%，报23.99美元/桶;布伦特原油7月期货下跌1.25美元，跌幅4%，报29.72美元/桶。WTI原油较2019年12月的61.06美元/桶下跌了60.71%，布油较去年的66美元/桶下跌近55%。基本面利好因素：美国能源信息署(EIA)周三晚间公布报告显示，至5月1日当周，EIA汽油库存减少315.8万桶，此前预期增加4.3万桶，此前一周减少366.9万桶;除却战略储备的商业原油库存增加459万桶至5.322亿桶，增幅0.9%。美国上周原油出口增加24.4万桶/日至354.6万桶/日，原油产量减少20万桶至1190万桶/日，跌至2019年7月以来新低。美国石油协会(API)周三公布报告显示，至5月1日当周，API汽油库存减少223.7万桶，此前一周汽油库存减少111万桶，好于预期的增加32.5万桶;瑞士石油风险咨询公司PetroMatrix的创始人雅各布(Olivier Jakob)表示:“WTI原油期货溢价已有所收窄，不再处于允许在任何地方(如油罐车等)进行储存的超期货溢价状态。其溢价的消失降低了通过合约合约持有平价期货的风险，这在一定程度上支撑了原价。”加拿大管道公司安桥(Enbridge)在一份提交给加拿大能源监管机构的备案文件中称，其已与多家运输企业达成协议，将在北美地区最大的石油管道网络中暂时储存原油。与此同时，加拿大生产商正忙于应对炼油需求疲弱和油价低迷的局面。Enbridge表示，该协议将从6月1日起生效，有效期至2021年1月31日，料能提供大概91.2万桶原油的储存空间。即将用于储存的Mainline油管是加拿大最长的原油管道系统，每日运输量近300万桶，此前为用于将加拿大西部的石油输送到美国炼油厂。基本面利空因素：美国能源信息署(EIA)周三晚间公布报告显示，至5月1日当周，EIA精炼油库存上周增加了951.8万桶，为预期增加290万桶的三倍之多，此前一周精炼油库存增加509.2万桶。除却战略储备的商业原油上周进口571.2万桶/日，较前一周增加41万桶/日。美国石油协会(API)周三公布报告显示，至5月1日当周，API原油库存增加844万桶，至5.186亿桶。该值高于此前预期的812.5万桶，低于998万桶的前值;API精炼油库存增加614.3万桶，高于此前一周的546万桶以及295万桶的预;API库欣原油库存增加268.1万桶，高于此前一周的267万桶。OPEC在近期公布的夏季原油展望报告中表示，二季度原油需求将遭到最大程度的破坏，并且这一影响将在三季度和四季度延伸，预计分别造成的需求损失为1200万桶/日、600万桶/日和350万桶/日。今年夏季美国出游高峰汽油需求也将遭遇重大损失，尤其是在美国成品油出口国需求也大幅下降的情况下，可能会导致夏季汽油库存进一步增加。因沙特在4月放开了原油供应，4月中东地区的欧佩克国家原油供应激增，原油和凝析油装运量增加200万桶/日。除去伊朗的中东欧佩克国家4月原油供应增至至少2017年1月以来新高。3月早些时候欧佩克+未能就深化减产协议达成一致，其后，沙特和阿联酋不再限制原油产量。沙特、伊拉克、科威特和阿联酋原油产量占欧佩克产量70%，追踪数据显示，其在4月原油和凝析油装载量平均为1890万桶/日，较3月增加200万桶/日。纽约能源对冲基金Again Capital的创始合伙人John Kilduff称:“对石油而言，复苏之路漫长而艰辛，任何让这一过程缩短的企图，只会导致人们做空这轮涨势。”北卡罗莱纳州达勒姆ICAP能源期货经纪人谢尔顿(Scott Shelton)也持类似观点，他称:“目前，尽管WTI的利差在曲线的最前端仍有上行空间，但由于新冠疫情的消息有许多负面风险，油价有明显偏向下行空间。”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预测下周WTI油价将触及17-25美元/桶，布油在之后几个月触及24-31美元/桶。</w:t>
      </w: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308.00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70.49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283.60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72.93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5月4日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240.70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64.95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289.75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65.38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4月30日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252.50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61.53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275.25 </w:t>
            </w:r>
          </w:p>
        </w:tc>
      </w:tr>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180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2020/4/8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2020年6月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抚顺石化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2020年6月底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2020年10月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1"/>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延期、待定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延期、待定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计划2020年5月份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2020年4月25日左右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2020年3月20日陆续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2020年4月23日陆续</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计划2020年5月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待定</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rPr>
      </w:pPr>
      <w:r>
        <w:rPr>
          <w:rFonts w:hint="eastAsia" w:ascii="宋体" w:hAnsi="宋体" w:eastAsia="宋体" w:cs="宋体"/>
          <w:color w:val="333335"/>
          <w:kern w:val="2"/>
          <w:sz w:val="28"/>
          <w:szCs w:val="28"/>
          <w:shd w:val="clear" w:color="auto" w:fill="FFFFFF"/>
          <w:lang w:eastAsia="zh-CN"/>
        </w:rPr>
        <w:t>本周，国际原油期货震荡上行，据测算第四个工作日参考原油变化率为10.89%。节日期间，国内成品油市场购销氛围清淡，各地主营单位汽柴油价格基本稳定。与此同时，山东地炼成品油行情先抑后扬，其中炼厂柴油价格波动较为频繁，且主流成交保持100元/吨左右优惠。具体来看出货方面：五一长假期间，各地高速公路对危化品车辆限行，且小长假使得部分民众选择省内近途游玩，因此道路运输不畅对中间商购进操作起到一定抑制作用，另外绝大多数终端用户多以节前备货，市场整体购销氛围淡静。</w:t>
      </w:r>
      <w:bookmarkStart w:id="22" w:name="_GoBack"/>
      <w:bookmarkEnd w:id="22"/>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12" w:name="_Toc533771870"/>
      <w:r>
        <w:rPr>
          <w:rFonts w:hint="eastAsia" w:ascii="宋体" w:hAnsi="宋体" w:eastAsia="宋体" w:cs="宋体"/>
          <w:color w:val="333335"/>
          <w:kern w:val="2"/>
          <w:sz w:val="28"/>
          <w:szCs w:val="28"/>
          <w:shd w:val="clear" w:color="auto" w:fill="FFFFFF"/>
          <w:lang w:eastAsia="zh-CN"/>
        </w:rPr>
        <w:t>本周(5月1日-5月7日)华中地区消息面向好发展 主营积极赶量促销 具体分析如下，本周恰逢“五一”劳动假期，节日期间国际原油震荡走高，消息面向好发展。受此支撑，部分主营报价适度推涨，实盘成交维持宽松优惠。不过因节前部分主营价格处于高位水平，故节后归来，主营多积极赶量，汽柴油逐步贴近市场，报价高位回调。下游入市心态稍有好转，加上库存得以消化，故部分业者择低购进，局部地区成交有所提升，整体购销气氛仍显一般。后市而言，国际原油或维持偏强震荡走势，消息面或维持向好指引。目前多数单位价格已逐步贴近市场。故预计短期区内汽柴油价格或存适度反弹预期，然终端需求一般，下游库存仍有待消化，主营出货不容乐观，故价格涨幅或相对有限。</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1日-5月7日)，华东地区成品油价格窄幅波动，市场整体购销清淡。具体来看，周内国际原油期价宽幅震荡，消息面指引向好，区内成品油价格窄幅波动，整体呈现柴跌汽涨。与此同时，五一假期期间山东地炼和东北地炼汽柴油跌势明显，主营外采成本仍处低位，市场忧虑情绪主导，且月初主营积极造势促销赶销量，优惠政策宽松，但下游商家看空情绪居多，大部分消库观望为主，成交多刚需小单补仓。综上所述，业内入市采购谨慎，整体成交氛围清淡。后期来看，原油期价或震荡上行，但消息面支撑有限，难以大幅度反弹，业者或仍保持观望情绪。预计下周华东地区成品油行情或窄幅横盘整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1日-5月7日)，华北地区主营汽柴油行情高位回落，下游业者心态谨慎，入市操作小单按需。分析来看，国际原油期价涨后回落，消息面指引较为震荡。五一节假至今，山东地炼汽柴油行情跌势为主，主营外采成本仍处低位。鉴于上月下旬部分主营单位完成月度任务后，汽柴资源高挂，进入新一轮销售周期，部分主营单位适度回调;而亦有部分单位暂无销售压力挺价为主，故区内主营汽柴油表现为涨跌互现，实盘成交优惠商谈为主。下游业者心态谨慎，入市操作积极性有限，小单按需购进为主。后市来看，国际原油短期或有小涨，消息面支撑尚可，预计短期区内成品油行情偏强震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1日-5月7日)，华南地区成品油行情稳中小涨，市场购销气氛平平。具体来看，五一长假期间，国际原油期货震荡上涨，消息方面指引向好。假期归来，山东地炼汽柴油价格一度走高，受此影响，市场看涨气氛升温，业者入市适量购进，主营单位借机推涨汽柴油价格，其中汽油价格涨幅略大，市场交投气氛平平。而后，随着原油收盘回落，市场观望气氛重燃，购销随之转淡。后市来看，国际原油期货不乏继续走高可能，消息方面支撑尚可。然而由于社会库存高位，业者入市操作有限。预计下周华南地区汽柴油行情窄幅整理为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1日-5月7日)，西南地区汽柴行情走势震荡，市场交投氛围平淡。分析来看：“五一”小长假期间，国际油价连续收涨，消息面有所好转，但在此期间，市场处于消库存阶段，业者补货稀少。节后主营单位根据自身情况调整销售政策，汽柴价格涨跌不一。目前工矿基建等行业开工率涨至高位，柴油需求旺盛;而假期内短途出行增多，汽油需求亦有提升。近期下游库存得到一定消耗，业者逢低适量补货，局部地区成交稍有改善。就后市而言，国际原油价格震荡走高，消息面对市场略有支撑。不过，后期下游需求提升空间有限，业者操作心态较为谨慎，适量补货再度退市消库，市场成交难见活跃。预计短线西南地区汽柴行情横盘震荡为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1日-5月7日)，西北地炼汽柴行情走势平稳，整体交投氛围仍显平淡。分析来看：5月1日起OPEC+新版减产协议正式落地，加之，世界多国宣布将开始放松控制疫情的封锁措施，同时，市场对原油仓储危机的忧虑也有所缓解。受此影响，“五一”小长假期间，国际原油期价大幅反弹，但国内高速危化车辆限行，业者消化前期库存为主，市场购销两淡。节后高速解封，加之，假期内下游库存得到一定消耗，业者入市适量补货，市场成交稍有改善。就后市而言，国际油价震荡上行，消息面对市场略有支撑。但需求面难有明显提升，业者适量补货之后陆续退市消库，市场成交难见活跃。预计短线西北地炼汽柴行情偏弱势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后市前瞻：进入下周，随着多国放松控制疫情的封锁，加之减产正在落实，对于油价来说是很好的提振。以WTI为例，预计主流运行区间在20-26(均值23)美元/桶之间，环比上涨1.49美元/桶或6.93%。在消息面利好提振下，山东地区成品油行情震荡上行，买卖双方操作较为理性，市场交投气氛温和。综上所述，预计山东地炼汽柴油价格看涨，涨幅在100元/吨左右。</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7394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7394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7394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7394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吉林市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吉林市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5595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5500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pPr w:leftFromText="180" w:rightFromText="180" w:vertAnchor="text" w:horzAnchor="page" w:tblpX="1122" w:tblpY="502"/>
        <w:tblOverlap w:val="never"/>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Tahoma" w:hAnsi="Tahoma" w:eastAsia="Tahoma" w:cs="Tahoma"/>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kern w:val="0"/>
                <w:sz w:val="18"/>
                <w:szCs w:val="18"/>
                <w:u w:val="none"/>
                <w:lang w:val="en-US" w:eastAsia="zh-CN" w:bidi="ar"/>
              </w:rPr>
            </w:pPr>
            <w:r>
              <w:rPr>
                <w:rFonts w:hint="default" w:ascii="Tahoma" w:hAnsi="Tahoma" w:eastAsia="Tahoma" w:cs="Tahoma"/>
                <w:i w:val="0"/>
                <w:color w:val="000000"/>
                <w:kern w:val="0"/>
                <w:sz w:val="18"/>
                <w:szCs w:val="18"/>
                <w:u w:val="none"/>
                <w:lang w:val="en-US" w:eastAsia="zh-CN" w:bidi="ar"/>
              </w:rPr>
              <w:t>5595</w:t>
            </w:r>
          </w:p>
        </w:tc>
      </w:tr>
    </w:tbl>
    <w:p>
      <w:pPr>
        <w:pStyle w:val="3"/>
        <w:spacing w:before="120" w:after="120" w:line="240" w:lineRule="auto"/>
        <w:rPr>
          <w:rFonts w:hint="eastAsia" w:ascii="宋体" w:hAnsi="宋体"/>
          <w:b/>
          <w:sz w:val="30"/>
          <w:szCs w:val="30"/>
          <w:lang w:val="en-US" w:eastAsia="zh-CN"/>
        </w:rPr>
      </w:pPr>
      <w:bookmarkStart w:id="14" w:name="_Toc533771872"/>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4925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4867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4885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5112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10"/>
          <w:szCs w:val="10"/>
          <w:lang w:val="en-US" w:eastAsia="zh-CN"/>
        </w:rPr>
      </w:pPr>
      <w:bookmarkStart w:id="16" w:name="_Toc533771874"/>
    </w:p>
    <w:p>
      <w:pPr>
        <w:rPr>
          <w:rFonts w:hint="eastAsia"/>
          <w:lang w:val="en-US" w:eastAsia="zh-CN"/>
        </w:rPr>
      </w:pPr>
    </w:p>
    <w:p>
      <w:pPr>
        <w:pStyle w:val="3"/>
        <w:spacing w:before="120" w:after="120" w:line="240" w:lineRule="auto"/>
        <w:rPr>
          <w:rFonts w:hint="eastAsia"/>
          <w:lang w:val="en-US" w:eastAsia="zh-CN"/>
        </w:rPr>
      </w:pPr>
      <w:r>
        <w:rPr>
          <w:rFonts w:hint="eastAsia" w:ascii="宋体" w:hAnsi="宋体"/>
          <w:b/>
          <w:sz w:val="30"/>
          <w:szCs w:val="30"/>
          <w:lang w:val="en-US" w:eastAsia="zh-CN"/>
        </w:rPr>
        <w:t>四、2020年3月份进出口统计数据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285" w:type="dxa"/>
        <w:tblInd w:w="0" w:type="dxa"/>
        <w:shd w:val="clear" w:color="auto" w:fill="auto"/>
        <w:tblLayout w:type="autofit"/>
        <w:tblCellMar>
          <w:top w:w="0" w:type="dxa"/>
          <w:left w:w="0" w:type="dxa"/>
          <w:bottom w:w="0" w:type="dxa"/>
          <w:right w:w="0" w:type="dxa"/>
        </w:tblCellMar>
      </w:tblPr>
      <w:tblGrid>
        <w:gridCol w:w="1995"/>
        <w:gridCol w:w="2670"/>
        <w:gridCol w:w="2070"/>
        <w:gridCol w:w="2550"/>
      </w:tblGrid>
      <w:tr>
        <w:tblPrEx>
          <w:shd w:val="clear" w:color="auto" w:fill="auto"/>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bookmarkStart w:id="18" w:name="_Toc533771876"/>
            <w:r>
              <w:rPr>
                <w:rFonts w:hint="default" w:ascii="宋体" w:hAnsi="宋体" w:eastAsia="宋体" w:cs="宋体"/>
                <w:b/>
                <w:i w:val="0"/>
                <w:color w:val="auto"/>
                <w:kern w:val="0"/>
                <w:sz w:val="21"/>
                <w:szCs w:val="21"/>
                <w:u w:val="none"/>
                <w:lang w:val="en-US" w:eastAsia="zh-CN" w:bidi="ar"/>
              </w:rPr>
              <w:t>出口目的地</w:t>
            </w:r>
          </w:p>
        </w:tc>
        <w:tc>
          <w:tcPr>
            <w:tcW w:w="26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default" w:ascii="宋体" w:hAnsi="宋体" w:eastAsia="宋体" w:cs="宋体"/>
                <w:b/>
                <w:i w:val="0"/>
                <w:color w:val="auto"/>
                <w:kern w:val="0"/>
                <w:sz w:val="21"/>
                <w:szCs w:val="21"/>
                <w:u w:val="none"/>
                <w:lang w:val="en-US" w:eastAsia="zh-CN" w:bidi="ar"/>
              </w:rPr>
              <w:t>数量</w:t>
            </w:r>
          </w:p>
        </w:tc>
        <w:tc>
          <w:tcPr>
            <w:tcW w:w="20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default" w:ascii="宋体" w:hAnsi="宋体" w:eastAsia="宋体" w:cs="宋体"/>
                <w:b/>
                <w:i w:val="0"/>
                <w:color w:val="auto"/>
                <w:kern w:val="0"/>
                <w:sz w:val="21"/>
                <w:szCs w:val="21"/>
                <w:u w:val="none"/>
                <w:lang w:val="en-US" w:eastAsia="zh-CN" w:bidi="ar"/>
              </w:rPr>
              <w:t>单位</w:t>
            </w:r>
          </w:p>
        </w:tc>
        <w:tc>
          <w:tcPr>
            <w:tcW w:w="255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default" w:ascii="宋体" w:hAnsi="宋体" w:eastAsia="宋体" w:cs="宋体"/>
                <w:b/>
                <w:i w:val="0"/>
                <w:color w:val="auto"/>
                <w:kern w:val="0"/>
                <w:sz w:val="21"/>
                <w:szCs w:val="21"/>
                <w:u w:val="none"/>
                <w:lang w:val="en-US" w:eastAsia="zh-CN" w:bidi="ar"/>
              </w:rPr>
              <w:t>出口金额美元</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阿联酋</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88374.38</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48967317</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菲律宾</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183845.6</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82019375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马来西亚</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174496.7</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101958647</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蒙古</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7467.884</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2609624</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缅甸</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5398.171</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3624858</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墨西哥</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141052.5</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71964623</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日本</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4247.852</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2497705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斯里兰卡</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130571.8</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72994995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文莱</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35000</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23100000</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新加坡</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940840.5</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521139858</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印度</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58951.53</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33187387</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印度尼西亚</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33263.89</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19079143</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越南</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8700</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5220000</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中国澳门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2226.602</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1425025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中国香港</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9600</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6720000</w:t>
            </w:r>
          </w:p>
        </w:tc>
      </w:tr>
    </w:tbl>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2</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10020" w:type="dxa"/>
        <w:tblInd w:w="0" w:type="dxa"/>
        <w:shd w:val="clear" w:color="auto" w:fill="auto"/>
        <w:tblLayout w:type="autofit"/>
        <w:tblCellMar>
          <w:top w:w="0" w:type="dxa"/>
          <w:left w:w="0" w:type="dxa"/>
          <w:bottom w:w="0" w:type="dxa"/>
          <w:right w:w="0" w:type="dxa"/>
        </w:tblCellMar>
      </w:tblPr>
      <w:tblGrid>
        <w:gridCol w:w="1815"/>
        <w:gridCol w:w="2295"/>
        <w:gridCol w:w="2100"/>
        <w:gridCol w:w="1920"/>
        <w:gridCol w:w="1890"/>
      </w:tblGrid>
      <w:tr>
        <w:tblPrEx>
          <w:shd w:val="clear" w:color="auto" w:fill="auto"/>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产销国</w:t>
            </w:r>
          </w:p>
        </w:tc>
        <w:tc>
          <w:tcPr>
            <w:tcW w:w="22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进口数量/吨</w:t>
            </w:r>
          </w:p>
        </w:tc>
        <w:tc>
          <w:tcPr>
            <w:tcW w:w="21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进口金额/美元</w:t>
            </w:r>
          </w:p>
        </w:tc>
        <w:tc>
          <w:tcPr>
            <w:tcW w:w="19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出口数量/吨</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555"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50988.68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21344227.5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333327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171418888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伊拉克</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5312911.8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2569651603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科威特</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2269290.52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1144376708</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1790241.94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721909405.5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30723.4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11100379</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蒙古</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24119.91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9224962.5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阿曼</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2989182.25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1518049540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98393.3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49756002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沙特阿拉伯</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7369825.47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3727178034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111459.98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50440726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1629423.73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812790333.5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也门</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255725.72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131323493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61265.37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33168437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360199.23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189734133.5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阿尔及利亚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67393.85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34087089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安哥拉</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3157218.25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1550480137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乍得</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28064.61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14407536</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刚果(布)</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754960.8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368471873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埃及</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108059.18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57204614</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赤道几内亚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245503.62</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123981814.5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加蓬</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523554.13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262477122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加纳</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378802.3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189118242</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科特迪瓦</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65599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33498593</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利比亚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564174.51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311119981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尼日利亚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128606</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66218461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南苏丹共和国</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196686.57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103314456.5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570766.9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312610581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挪威</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1075213.97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488796214.5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7027375.57</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3463681940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191919"/>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191919"/>
                <w:sz w:val="21"/>
                <w:szCs w:val="21"/>
                <w:u w:val="none"/>
              </w:rPr>
            </w:pP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阿根廷</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72117.31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36877354.5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191919"/>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191919"/>
                <w:sz w:val="21"/>
                <w:szCs w:val="21"/>
                <w:u w:val="none"/>
              </w:rPr>
            </w:pP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巴西</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3826157.55</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1820770469</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哥伦比亚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1001741.81</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429963541</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厄瓜多尔</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205712.9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94386676.5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墨西哥</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32797.53</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14977167</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加拿大</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210422.59</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90484750</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270" w:hRule="atLeast"/>
        </w:trPr>
        <w:tc>
          <w:tcPr>
            <w:tcW w:w="18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澳大利亚</w:t>
            </w:r>
          </w:p>
        </w:tc>
        <w:tc>
          <w:tcPr>
            <w:tcW w:w="22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146729.94</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74926037.5</w:t>
            </w:r>
          </w:p>
        </w:tc>
        <w:tc>
          <w:tcPr>
            <w:tcW w:w="19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w:t>
            </w:r>
          </w:p>
        </w:tc>
      </w:tr>
      <w:tr>
        <w:tblPrEx>
          <w:tblCellMar>
            <w:top w:w="0" w:type="dxa"/>
            <w:left w:w="0" w:type="dxa"/>
            <w:bottom w:w="0" w:type="dxa"/>
            <w:right w:w="0" w:type="dxa"/>
          </w:tblCellMar>
        </w:tblPrEx>
        <w:trPr>
          <w:trHeight w:val="315" w:hRule="atLeast"/>
        </w:trPr>
        <w:tc>
          <w:tcPr>
            <w:tcW w:w="18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合计</w:t>
            </w:r>
          </w:p>
        </w:tc>
        <w:tc>
          <w:tcPr>
            <w:tcW w:w="229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43044013.78</w:t>
            </w:r>
          </w:p>
        </w:tc>
        <w:tc>
          <w:tcPr>
            <w:tcW w:w="21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21092221142</w:t>
            </w:r>
          </w:p>
        </w:tc>
        <w:tc>
          <w:tcPr>
            <w:tcW w:w="192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30723.4</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11100379</w:t>
            </w:r>
          </w:p>
        </w:tc>
      </w:tr>
    </w:tbl>
    <w:p>
      <w:pPr>
        <w:rPr>
          <w:rFonts w:hint="eastAsia"/>
          <w:bCs/>
          <w:szCs w:val="21"/>
        </w:rPr>
      </w:pPr>
    </w:p>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月份全国航空煤油进出口统计数据</w:t>
      </w:r>
      <w:bookmarkEnd w:id="20"/>
    </w:p>
    <w:tbl>
      <w:tblPr>
        <w:tblStyle w:val="24"/>
        <w:tblpPr w:leftFromText="180" w:rightFromText="180" w:vertAnchor="text" w:horzAnchor="page" w:tblpX="1108" w:tblpY="307"/>
        <w:tblOverlap w:val="never"/>
        <w:tblW w:w="9510" w:type="dxa"/>
        <w:tblInd w:w="0" w:type="dxa"/>
        <w:shd w:val="clear" w:color="auto" w:fill="auto"/>
        <w:tblLayout w:type="autofit"/>
        <w:tblCellMar>
          <w:top w:w="0" w:type="dxa"/>
          <w:left w:w="0" w:type="dxa"/>
          <w:bottom w:w="0" w:type="dxa"/>
          <w:right w:w="0" w:type="dxa"/>
        </w:tblCellMar>
      </w:tblPr>
      <w:tblGrid>
        <w:gridCol w:w="2280"/>
        <w:gridCol w:w="1680"/>
        <w:gridCol w:w="1845"/>
        <w:gridCol w:w="1725"/>
        <w:gridCol w:w="1980"/>
      </w:tblGrid>
      <w:tr>
        <w:tblPrEx>
          <w:shd w:val="clear" w:color="auto" w:fill="auto"/>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国家</w:t>
            </w:r>
          </w:p>
        </w:tc>
        <w:tc>
          <w:tcPr>
            <w:tcW w:w="16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进口数量/吨</w:t>
            </w:r>
          </w:p>
        </w:tc>
        <w:tc>
          <w:tcPr>
            <w:tcW w:w="184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进口金额/美元</w:t>
            </w:r>
          </w:p>
        </w:tc>
        <w:tc>
          <w:tcPr>
            <w:tcW w:w="172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出口数量/吨</w:t>
            </w:r>
          </w:p>
        </w:tc>
        <w:tc>
          <w:tcPr>
            <w:tcW w:w="19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41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孟加拉国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21678300</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文莱</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1.592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1146</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缅甸</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284.151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213707</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柬埔寨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1349.868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940486</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朝鲜</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11.912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8458</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中国香港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387762.064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218691498</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497.157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379292</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41280.873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23435019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747.207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481719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日本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304870.808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183558035</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老挝</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224.657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173057</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中国澳门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5.649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4913</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6508.366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4322709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42117.677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20777119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马尔代夫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72.263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54972</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蒙古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7728.33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2856643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尼泊尔联邦民主共和国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162.046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114513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巴基斯坦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99.155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70606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菲律宾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92140.515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51016077</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3116.866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2249580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新加坡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262.703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140730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89874.693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48389821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韩国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94462.38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48172018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86549.301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53841130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斯里兰卡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767.387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544390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13802.24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10172089</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土耳其</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1449.526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985768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7843.635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5524938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84070.042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46066024</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0.974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中国台湾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1775.571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1263631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43.638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32821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乌兹别克斯坦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82.19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59348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埃塞俄比亚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3056.997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2176996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比利时</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1902.492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1357279</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118535.113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48725402</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德国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2649.341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1898373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法国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299.455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210215</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意大利</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479.759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355508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卢森堡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757.846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537506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荷兰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98819.033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56730742</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奥地利</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48.464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33832</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芬兰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1238.08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895288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马耳他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15.02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9326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阿塞拜疆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4372.399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3175781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12429.47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8627584</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乌克兰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38.024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28673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加拿大</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1350.445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1021394</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美国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17324.163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12011975</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澳大利亚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2382.79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1736531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新西兰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121.131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85952</w:t>
            </w:r>
          </w:p>
        </w:tc>
      </w:tr>
      <w:tr>
        <w:tblPrEx>
          <w:tblCellMar>
            <w:top w:w="0" w:type="dxa"/>
            <w:left w:w="0" w:type="dxa"/>
            <w:bottom w:w="0" w:type="dxa"/>
            <w:right w:w="0" w:type="dxa"/>
          </w:tblCellMar>
        </w:tblPrEx>
        <w:trPr>
          <w:trHeight w:val="3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94731.706</w:t>
            </w:r>
          </w:p>
        </w:tc>
        <w:tc>
          <w:tcPr>
            <w:tcW w:w="184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48318259</w:t>
            </w:r>
          </w:p>
        </w:tc>
        <w:tc>
          <w:tcPr>
            <w:tcW w:w="172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1478253.752</w:t>
            </w:r>
          </w:p>
        </w:tc>
        <w:tc>
          <w:tcPr>
            <w:tcW w:w="19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837521253</w:t>
            </w:r>
          </w:p>
        </w:tc>
      </w:tr>
    </w:tbl>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p>
      <w:pPr>
        <w:pStyle w:val="3"/>
        <w:spacing w:before="120" w:after="120" w:line="240" w:lineRule="auto"/>
        <w:rPr>
          <w:rFonts w:hint="eastAsia" w:ascii="宋体" w:hAnsi="宋体"/>
          <w:b/>
          <w:sz w:val="30"/>
          <w:szCs w:val="30"/>
        </w:rPr>
      </w:pPr>
      <w:bookmarkStart w:id="21" w:name="_Toc533771879"/>
    </w:p>
    <w:bookmarkEnd w:id="21"/>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8C042F"/>
    <w:rsid w:val="019139BB"/>
    <w:rsid w:val="01A95B6A"/>
    <w:rsid w:val="01BD1D63"/>
    <w:rsid w:val="01FE2CFE"/>
    <w:rsid w:val="029F2908"/>
    <w:rsid w:val="02AC60AA"/>
    <w:rsid w:val="02FE589D"/>
    <w:rsid w:val="03211A1D"/>
    <w:rsid w:val="03331E75"/>
    <w:rsid w:val="034407FB"/>
    <w:rsid w:val="034F6246"/>
    <w:rsid w:val="03562125"/>
    <w:rsid w:val="035F2635"/>
    <w:rsid w:val="036D5E24"/>
    <w:rsid w:val="037413B6"/>
    <w:rsid w:val="03A57F11"/>
    <w:rsid w:val="044E5434"/>
    <w:rsid w:val="048101D3"/>
    <w:rsid w:val="048C7CAA"/>
    <w:rsid w:val="04987F00"/>
    <w:rsid w:val="04A45D71"/>
    <w:rsid w:val="04BF7371"/>
    <w:rsid w:val="04F36106"/>
    <w:rsid w:val="053B1A3D"/>
    <w:rsid w:val="05D708A6"/>
    <w:rsid w:val="06300679"/>
    <w:rsid w:val="067746D4"/>
    <w:rsid w:val="069C6A8D"/>
    <w:rsid w:val="06B9287B"/>
    <w:rsid w:val="06DA3028"/>
    <w:rsid w:val="06F31CB3"/>
    <w:rsid w:val="0718687A"/>
    <w:rsid w:val="07252677"/>
    <w:rsid w:val="076C6634"/>
    <w:rsid w:val="07820AB4"/>
    <w:rsid w:val="079B346A"/>
    <w:rsid w:val="07D15C8A"/>
    <w:rsid w:val="07E76A1F"/>
    <w:rsid w:val="0809715C"/>
    <w:rsid w:val="080A4814"/>
    <w:rsid w:val="0820276D"/>
    <w:rsid w:val="08573B5A"/>
    <w:rsid w:val="086F6B65"/>
    <w:rsid w:val="08CD17C0"/>
    <w:rsid w:val="09371EEF"/>
    <w:rsid w:val="093F6B95"/>
    <w:rsid w:val="095B63CA"/>
    <w:rsid w:val="09717916"/>
    <w:rsid w:val="098251C0"/>
    <w:rsid w:val="09F11ACB"/>
    <w:rsid w:val="09FB6243"/>
    <w:rsid w:val="0A29795D"/>
    <w:rsid w:val="0A2D68BE"/>
    <w:rsid w:val="0A3C22BA"/>
    <w:rsid w:val="0A5B4AF5"/>
    <w:rsid w:val="0AA33DAF"/>
    <w:rsid w:val="0AC60296"/>
    <w:rsid w:val="0AD32487"/>
    <w:rsid w:val="0B400CB2"/>
    <w:rsid w:val="0B421176"/>
    <w:rsid w:val="0B721C38"/>
    <w:rsid w:val="0BCE6861"/>
    <w:rsid w:val="0BDC4FBC"/>
    <w:rsid w:val="0C08318F"/>
    <w:rsid w:val="0C1E7ABD"/>
    <w:rsid w:val="0C586B50"/>
    <w:rsid w:val="0C586E44"/>
    <w:rsid w:val="0CE32FB8"/>
    <w:rsid w:val="0CE44838"/>
    <w:rsid w:val="0D731CA1"/>
    <w:rsid w:val="0DA7099A"/>
    <w:rsid w:val="0DB01CE1"/>
    <w:rsid w:val="0DC46B30"/>
    <w:rsid w:val="0DD115AA"/>
    <w:rsid w:val="0DEA06F6"/>
    <w:rsid w:val="0E04318C"/>
    <w:rsid w:val="0E274301"/>
    <w:rsid w:val="0E31785B"/>
    <w:rsid w:val="0E8B35C9"/>
    <w:rsid w:val="0EAF107B"/>
    <w:rsid w:val="0EC1627E"/>
    <w:rsid w:val="0ED36950"/>
    <w:rsid w:val="0EF248CA"/>
    <w:rsid w:val="0F034AA6"/>
    <w:rsid w:val="0F125E7D"/>
    <w:rsid w:val="0F26373F"/>
    <w:rsid w:val="0F446A41"/>
    <w:rsid w:val="0F5808CC"/>
    <w:rsid w:val="0F666559"/>
    <w:rsid w:val="0F7D42FE"/>
    <w:rsid w:val="0F820E85"/>
    <w:rsid w:val="101C7D06"/>
    <w:rsid w:val="1046198D"/>
    <w:rsid w:val="10CE39DE"/>
    <w:rsid w:val="10FA6B68"/>
    <w:rsid w:val="117F7F48"/>
    <w:rsid w:val="1265739D"/>
    <w:rsid w:val="12662947"/>
    <w:rsid w:val="13267B35"/>
    <w:rsid w:val="134A6D86"/>
    <w:rsid w:val="13594CF7"/>
    <w:rsid w:val="135A728A"/>
    <w:rsid w:val="138744BB"/>
    <w:rsid w:val="13E7373B"/>
    <w:rsid w:val="144B6D3F"/>
    <w:rsid w:val="147759A4"/>
    <w:rsid w:val="147A75E5"/>
    <w:rsid w:val="14BE2339"/>
    <w:rsid w:val="14D56BF6"/>
    <w:rsid w:val="151B73F8"/>
    <w:rsid w:val="15211EFF"/>
    <w:rsid w:val="15353F74"/>
    <w:rsid w:val="154F205D"/>
    <w:rsid w:val="15615E0F"/>
    <w:rsid w:val="15B939D5"/>
    <w:rsid w:val="15D83B2E"/>
    <w:rsid w:val="15E25134"/>
    <w:rsid w:val="16600954"/>
    <w:rsid w:val="16734EEE"/>
    <w:rsid w:val="16E22B33"/>
    <w:rsid w:val="17116BE2"/>
    <w:rsid w:val="17194D7A"/>
    <w:rsid w:val="172078E9"/>
    <w:rsid w:val="172D12A6"/>
    <w:rsid w:val="173C1948"/>
    <w:rsid w:val="17464B66"/>
    <w:rsid w:val="175B5D81"/>
    <w:rsid w:val="17652D76"/>
    <w:rsid w:val="177778D5"/>
    <w:rsid w:val="177C4324"/>
    <w:rsid w:val="18704C74"/>
    <w:rsid w:val="18CA4E8D"/>
    <w:rsid w:val="191B1724"/>
    <w:rsid w:val="195D29F2"/>
    <w:rsid w:val="196465FF"/>
    <w:rsid w:val="198154A5"/>
    <w:rsid w:val="19850C75"/>
    <w:rsid w:val="198A3D94"/>
    <w:rsid w:val="198F27F8"/>
    <w:rsid w:val="19B1121F"/>
    <w:rsid w:val="1A051BC1"/>
    <w:rsid w:val="1A555BDB"/>
    <w:rsid w:val="1A660755"/>
    <w:rsid w:val="1A703BC4"/>
    <w:rsid w:val="1ACC4B7F"/>
    <w:rsid w:val="1AE7665A"/>
    <w:rsid w:val="1B816F9A"/>
    <w:rsid w:val="1B9C1B61"/>
    <w:rsid w:val="1BFE2971"/>
    <w:rsid w:val="1C01336C"/>
    <w:rsid w:val="1C1669BA"/>
    <w:rsid w:val="1C1C3102"/>
    <w:rsid w:val="1C2230E8"/>
    <w:rsid w:val="1C2E2C8D"/>
    <w:rsid w:val="1CDC7753"/>
    <w:rsid w:val="1D2B7B9F"/>
    <w:rsid w:val="1D305274"/>
    <w:rsid w:val="1D3F5714"/>
    <w:rsid w:val="1D466011"/>
    <w:rsid w:val="1D547E28"/>
    <w:rsid w:val="1D655DB6"/>
    <w:rsid w:val="1D980258"/>
    <w:rsid w:val="1D9C1F14"/>
    <w:rsid w:val="1DB113DA"/>
    <w:rsid w:val="1DFB4E0B"/>
    <w:rsid w:val="1E2278F4"/>
    <w:rsid w:val="1E5542CC"/>
    <w:rsid w:val="1E6D6ABE"/>
    <w:rsid w:val="1E755624"/>
    <w:rsid w:val="1EB15364"/>
    <w:rsid w:val="1EBE2AB5"/>
    <w:rsid w:val="1F092A2D"/>
    <w:rsid w:val="1F6B3A34"/>
    <w:rsid w:val="1F963D6D"/>
    <w:rsid w:val="1F98363F"/>
    <w:rsid w:val="1FCD7675"/>
    <w:rsid w:val="1FFC155B"/>
    <w:rsid w:val="20137C9A"/>
    <w:rsid w:val="20261774"/>
    <w:rsid w:val="203A4D2E"/>
    <w:rsid w:val="205B78B2"/>
    <w:rsid w:val="206901B1"/>
    <w:rsid w:val="2078018B"/>
    <w:rsid w:val="20C12FDC"/>
    <w:rsid w:val="211001E9"/>
    <w:rsid w:val="21147D43"/>
    <w:rsid w:val="2119067D"/>
    <w:rsid w:val="21216F1B"/>
    <w:rsid w:val="215A4604"/>
    <w:rsid w:val="21862B07"/>
    <w:rsid w:val="21B2244C"/>
    <w:rsid w:val="224E7428"/>
    <w:rsid w:val="2261560B"/>
    <w:rsid w:val="22944164"/>
    <w:rsid w:val="229674ED"/>
    <w:rsid w:val="22AC485D"/>
    <w:rsid w:val="22D174A6"/>
    <w:rsid w:val="22E67532"/>
    <w:rsid w:val="230F16FC"/>
    <w:rsid w:val="232A4048"/>
    <w:rsid w:val="233344E4"/>
    <w:rsid w:val="23B946BE"/>
    <w:rsid w:val="24322A62"/>
    <w:rsid w:val="24554136"/>
    <w:rsid w:val="245C2B3F"/>
    <w:rsid w:val="24836E94"/>
    <w:rsid w:val="24974A9D"/>
    <w:rsid w:val="24A21A55"/>
    <w:rsid w:val="24BC74B9"/>
    <w:rsid w:val="250D3E66"/>
    <w:rsid w:val="25740BBD"/>
    <w:rsid w:val="25955E96"/>
    <w:rsid w:val="259B6E31"/>
    <w:rsid w:val="25B904A8"/>
    <w:rsid w:val="261447E7"/>
    <w:rsid w:val="26442276"/>
    <w:rsid w:val="26C17431"/>
    <w:rsid w:val="26C94300"/>
    <w:rsid w:val="26DF7D7C"/>
    <w:rsid w:val="26EE1723"/>
    <w:rsid w:val="270D21C6"/>
    <w:rsid w:val="27A7464B"/>
    <w:rsid w:val="283F32F7"/>
    <w:rsid w:val="286D2B55"/>
    <w:rsid w:val="28892109"/>
    <w:rsid w:val="28A325B7"/>
    <w:rsid w:val="28B71571"/>
    <w:rsid w:val="28BA104F"/>
    <w:rsid w:val="28EF11D1"/>
    <w:rsid w:val="29D84ABC"/>
    <w:rsid w:val="2A252C4C"/>
    <w:rsid w:val="2A9B26F1"/>
    <w:rsid w:val="2AC063B7"/>
    <w:rsid w:val="2ACD0874"/>
    <w:rsid w:val="2AD267B8"/>
    <w:rsid w:val="2B0D737C"/>
    <w:rsid w:val="2B0F004D"/>
    <w:rsid w:val="2B154A20"/>
    <w:rsid w:val="2B6638DE"/>
    <w:rsid w:val="2BED5A7C"/>
    <w:rsid w:val="2BF858F4"/>
    <w:rsid w:val="2BFC6315"/>
    <w:rsid w:val="2BFD5564"/>
    <w:rsid w:val="2CAD067B"/>
    <w:rsid w:val="2CFD0FC0"/>
    <w:rsid w:val="2D050EBF"/>
    <w:rsid w:val="2D4D17E5"/>
    <w:rsid w:val="2D892B5C"/>
    <w:rsid w:val="2DF5641D"/>
    <w:rsid w:val="2DF644E3"/>
    <w:rsid w:val="2E2F56E6"/>
    <w:rsid w:val="2E4A7323"/>
    <w:rsid w:val="2EA56E95"/>
    <w:rsid w:val="2ED4404D"/>
    <w:rsid w:val="2F13732E"/>
    <w:rsid w:val="2FD85581"/>
    <w:rsid w:val="2FE513F6"/>
    <w:rsid w:val="2FE91ED2"/>
    <w:rsid w:val="302909D7"/>
    <w:rsid w:val="30320AA9"/>
    <w:rsid w:val="30A00CB5"/>
    <w:rsid w:val="30E73B0D"/>
    <w:rsid w:val="30FC61C2"/>
    <w:rsid w:val="31363ABC"/>
    <w:rsid w:val="314614BA"/>
    <w:rsid w:val="31490B7D"/>
    <w:rsid w:val="3189708E"/>
    <w:rsid w:val="318B1F3D"/>
    <w:rsid w:val="319434F7"/>
    <w:rsid w:val="31AE660C"/>
    <w:rsid w:val="31B05A1F"/>
    <w:rsid w:val="31FC35FB"/>
    <w:rsid w:val="32010D04"/>
    <w:rsid w:val="320A7836"/>
    <w:rsid w:val="32574FD8"/>
    <w:rsid w:val="325C547C"/>
    <w:rsid w:val="327C3888"/>
    <w:rsid w:val="32CE45BC"/>
    <w:rsid w:val="32D9201A"/>
    <w:rsid w:val="32E42D0F"/>
    <w:rsid w:val="330D4D94"/>
    <w:rsid w:val="33435E16"/>
    <w:rsid w:val="339C5454"/>
    <w:rsid w:val="34005D95"/>
    <w:rsid w:val="34173060"/>
    <w:rsid w:val="342E5EA7"/>
    <w:rsid w:val="34474FF1"/>
    <w:rsid w:val="34B63281"/>
    <w:rsid w:val="34D564C3"/>
    <w:rsid w:val="34EC4B86"/>
    <w:rsid w:val="3572663B"/>
    <w:rsid w:val="357D4C50"/>
    <w:rsid w:val="35AF3549"/>
    <w:rsid w:val="35EE7B1B"/>
    <w:rsid w:val="35F65FAD"/>
    <w:rsid w:val="364A7C84"/>
    <w:rsid w:val="36605016"/>
    <w:rsid w:val="366B7A53"/>
    <w:rsid w:val="368259EE"/>
    <w:rsid w:val="36C76D40"/>
    <w:rsid w:val="36F44E23"/>
    <w:rsid w:val="371D2966"/>
    <w:rsid w:val="373062E8"/>
    <w:rsid w:val="37785098"/>
    <w:rsid w:val="37A6234C"/>
    <w:rsid w:val="37AF1535"/>
    <w:rsid w:val="37CB57CA"/>
    <w:rsid w:val="37D337D1"/>
    <w:rsid w:val="38781C56"/>
    <w:rsid w:val="38C30240"/>
    <w:rsid w:val="38E95212"/>
    <w:rsid w:val="391C1C7A"/>
    <w:rsid w:val="39600E80"/>
    <w:rsid w:val="3A01261A"/>
    <w:rsid w:val="3A1A4CEB"/>
    <w:rsid w:val="3A247020"/>
    <w:rsid w:val="3A446ABC"/>
    <w:rsid w:val="3A481E25"/>
    <w:rsid w:val="3A562007"/>
    <w:rsid w:val="3A632ED3"/>
    <w:rsid w:val="3A6F255F"/>
    <w:rsid w:val="3A90237F"/>
    <w:rsid w:val="3B0A7991"/>
    <w:rsid w:val="3B100A85"/>
    <w:rsid w:val="3B336F2F"/>
    <w:rsid w:val="3B691338"/>
    <w:rsid w:val="3BD837A5"/>
    <w:rsid w:val="3C317DDD"/>
    <w:rsid w:val="3C742BEB"/>
    <w:rsid w:val="3C8E02B7"/>
    <w:rsid w:val="3CB004C5"/>
    <w:rsid w:val="3CB35047"/>
    <w:rsid w:val="3CB47F7E"/>
    <w:rsid w:val="3CEA693F"/>
    <w:rsid w:val="3D475AFB"/>
    <w:rsid w:val="3D502422"/>
    <w:rsid w:val="3D5404DD"/>
    <w:rsid w:val="3D6A48AA"/>
    <w:rsid w:val="3D7C1281"/>
    <w:rsid w:val="3D8D1DDC"/>
    <w:rsid w:val="3E037731"/>
    <w:rsid w:val="3E0F09D9"/>
    <w:rsid w:val="3E305EE4"/>
    <w:rsid w:val="3E3D25F5"/>
    <w:rsid w:val="3E752011"/>
    <w:rsid w:val="3E8E2505"/>
    <w:rsid w:val="3E9953AC"/>
    <w:rsid w:val="3F310E2B"/>
    <w:rsid w:val="3F4D19AF"/>
    <w:rsid w:val="3F837DDF"/>
    <w:rsid w:val="3FA21405"/>
    <w:rsid w:val="3FCB012B"/>
    <w:rsid w:val="3FEE1DE8"/>
    <w:rsid w:val="40171145"/>
    <w:rsid w:val="402104DC"/>
    <w:rsid w:val="40742438"/>
    <w:rsid w:val="40932E75"/>
    <w:rsid w:val="410D75D5"/>
    <w:rsid w:val="411E3000"/>
    <w:rsid w:val="41402C24"/>
    <w:rsid w:val="41696F7F"/>
    <w:rsid w:val="417C0D06"/>
    <w:rsid w:val="418B25AA"/>
    <w:rsid w:val="41925E9B"/>
    <w:rsid w:val="419D7C05"/>
    <w:rsid w:val="41E3266D"/>
    <w:rsid w:val="41F604FA"/>
    <w:rsid w:val="420F24CA"/>
    <w:rsid w:val="421C0994"/>
    <w:rsid w:val="424F02B6"/>
    <w:rsid w:val="427133C0"/>
    <w:rsid w:val="42715180"/>
    <w:rsid w:val="42B45768"/>
    <w:rsid w:val="42FD1410"/>
    <w:rsid w:val="431F563A"/>
    <w:rsid w:val="432D0CD2"/>
    <w:rsid w:val="4348259E"/>
    <w:rsid w:val="434C0977"/>
    <w:rsid w:val="43705840"/>
    <w:rsid w:val="43AF6845"/>
    <w:rsid w:val="44615639"/>
    <w:rsid w:val="44762FC6"/>
    <w:rsid w:val="448F5706"/>
    <w:rsid w:val="44944331"/>
    <w:rsid w:val="44A538D4"/>
    <w:rsid w:val="44B05905"/>
    <w:rsid w:val="44B67F0B"/>
    <w:rsid w:val="45575AD5"/>
    <w:rsid w:val="459B774E"/>
    <w:rsid w:val="460D21F2"/>
    <w:rsid w:val="460E0469"/>
    <w:rsid w:val="46A075FA"/>
    <w:rsid w:val="46D7121E"/>
    <w:rsid w:val="47C254B8"/>
    <w:rsid w:val="47DF082A"/>
    <w:rsid w:val="47EB5003"/>
    <w:rsid w:val="483A31DC"/>
    <w:rsid w:val="48942C25"/>
    <w:rsid w:val="4898666C"/>
    <w:rsid w:val="489B75DE"/>
    <w:rsid w:val="48B5305A"/>
    <w:rsid w:val="48CC7D6E"/>
    <w:rsid w:val="48EB5A5C"/>
    <w:rsid w:val="490B579F"/>
    <w:rsid w:val="492A1C6E"/>
    <w:rsid w:val="4969605D"/>
    <w:rsid w:val="496D1F2A"/>
    <w:rsid w:val="498A3B85"/>
    <w:rsid w:val="49AE3287"/>
    <w:rsid w:val="49C65C46"/>
    <w:rsid w:val="49D021B0"/>
    <w:rsid w:val="49D7375C"/>
    <w:rsid w:val="4A11668C"/>
    <w:rsid w:val="4A3546EB"/>
    <w:rsid w:val="4A4A48A6"/>
    <w:rsid w:val="4A526073"/>
    <w:rsid w:val="4A56215E"/>
    <w:rsid w:val="4A5D4A40"/>
    <w:rsid w:val="4A7E40F2"/>
    <w:rsid w:val="4A8561F1"/>
    <w:rsid w:val="4A943BC6"/>
    <w:rsid w:val="4AAF17A9"/>
    <w:rsid w:val="4B3D4E30"/>
    <w:rsid w:val="4BB317A2"/>
    <w:rsid w:val="4BC27F8D"/>
    <w:rsid w:val="4BCC6CCE"/>
    <w:rsid w:val="4BE44E6C"/>
    <w:rsid w:val="4BF446B8"/>
    <w:rsid w:val="4C061338"/>
    <w:rsid w:val="4C497215"/>
    <w:rsid w:val="4C5D0817"/>
    <w:rsid w:val="4C5E08E0"/>
    <w:rsid w:val="4CBF4AE9"/>
    <w:rsid w:val="4D0A349B"/>
    <w:rsid w:val="4D0D2E78"/>
    <w:rsid w:val="4D0F04ED"/>
    <w:rsid w:val="4D3A0411"/>
    <w:rsid w:val="4D427C91"/>
    <w:rsid w:val="4D7706F2"/>
    <w:rsid w:val="4DBE12C2"/>
    <w:rsid w:val="4DCE6ED3"/>
    <w:rsid w:val="4E333BBB"/>
    <w:rsid w:val="4E6A06E9"/>
    <w:rsid w:val="4EC206BE"/>
    <w:rsid w:val="4EC951FF"/>
    <w:rsid w:val="4ED04B02"/>
    <w:rsid w:val="4EE96853"/>
    <w:rsid w:val="4F121BEA"/>
    <w:rsid w:val="4F4C2971"/>
    <w:rsid w:val="4F566ACF"/>
    <w:rsid w:val="4F8028EE"/>
    <w:rsid w:val="4FAD0DF7"/>
    <w:rsid w:val="4FBE1CEA"/>
    <w:rsid w:val="4FC15F00"/>
    <w:rsid w:val="503D6ACE"/>
    <w:rsid w:val="50ED0D36"/>
    <w:rsid w:val="51130AD6"/>
    <w:rsid w:val="51147068"/>
    <w:rsid w:val="512452DA"/>
    <w:rsid w:val="51777BA1"/>
    <w:rsid w:val="51952A88"/>
    <w:rsid w:val="51EE27E3"/>
    <w:rsid w:val="5234477C"/>
    <w:rsid w:val="52515077"/>
    <w:rsid w:val="52B118DE"/>
    <w:rsid w:val="52CB6EC0"/>
    <w:rsid w:val="52D061DA"/>
    <w:rsid w:val="52D211F8"/>
    <w:rsid w:val="5315442E"/>
    <w:rsid w:val="5341530E"/>
    <w:rsid w:val="53434396"/>
    <w:rsid w:val="534D112E"/>
    <w:rsid w:val="53761C93"/>
    <w:rsid w:val="5393301A"/>
    <w:rsid w:val="53971518"/>
    <w:rsid w:val="5399073D"/>
    <w:rsid w:val="53AB2CD5"/>
    <w:rsid w:val="53B91D8C"/>
    <w:rsid w:val="53E56E6E"/>
    <w:rsid w:val="53F17662"/>
    <w:rsid w:val="54010C17"/>
    <w:rsid w:val="54661F54"/>
    <w:rsid w:val="546C3F2D"/>
    <w:rsid w:val="547F46DA"/>
    <w:rsid w:val="549F75FE"/>
    <w:rsid w:val="54A51CC5"/>
    <w:rsid w:val="556D2811"/>
    <w:rsid w:val="55CE1AD5"/>
    <w:rsid w:val="55ED37B8"/>
    <w:rsid w:val="55F04C52"/>
    <w:rsid w:val="55F35D23"/>
    <w:rsid w:val="56281CBC"/>
    <w:rsid w:val="56333685"/>
    <w:rsid w:val="56A332D5"/>
    <w:rsid w:val="56C325A5"/>
    <w:rsid w:val="56FB32FA"/>
    <w:rsid w:val="570703AF"/>
    <w:rsid w:val="572D602C"/>
    <w:rsid w:val="57364D30"/>
    <w:rsid w:val="573D71D1"/>
    <w:rsid w:val="57A54C20"/>
    <w:rsid w:val="57B937A9"/>
    <w:rsid w:val="57C34B39"/>
    <w:rsid w:val="58A22BE9"/>
    <w:rsid w:val="58E44026"/>
    <w:rsid w:val="58E67C57"/>
    <w:rsid w:val="58E94F10"/>
    <w:rsid w:val="58FA15B8"/>
    <w:rsid w:val="58FF06B6"/>
    <w:rsid w:val="591C3F4A"/>
    <w:rsid w:val="593E6CC6"/>
    <w:rsid w:val="594B0A62"/>
    <w:rsid w:val="595461B1"/>
    <w:rsid w:val="59591BB8"/>
    <w:rsid w:val="59820786"/>
    <w:rsid w:val="59A774F2"/>
    <w:rsid w:val="59AD15AB"/>
    <w:rsid w:val="59E474BD"/>
    <w:rsid w:val="59FC6B89"/>
    <w:rsid w:val="5A261D0E"/>
    <w:rsid w:val="5A412A61"/>
    <w:rsid w:val="5A527BDD"/>
    <w:rsid w:val="5A905E59"/>
    <w:rsid w:val="5A9311E7"/>
    <w:rsid w:val="5AF86253"/>
    <w:rsid w:val="5B081862"/>
    <w:rsid w:val="5B340596"/>
    <w:rsid w:val="5B4B70AC"/>
    <w:rsid w:val="5BB41290"/>
    <w:rsid w:val="5BFA7DB5"/>
    <w:rsid w:val="5C9E10E9"/>
    <w:rsid w:val="5CA11D7F"/>
    <w:rsid w:val="5CDA6371"/>
    <w:rsid w:val="5CFC64A7"/>
    <w:rsid w:val="5D1516BF"/>
    <w:rsid w:val="5D1569ED"/>
    <w:rsid w:val="5D1B2A4F"/>
    <w:rsid w:val="5D4F34F7"/>
    <w:rsid w:val="5D623C65"/>
    <w:rsid w:val="5DC477E0"/>
    <w:rsid w:val="5DD05318"/>
    <w:rsid w:val="5DEF6C2B"/>
    <w:rsid w:val="5DF22741"/>
    <w:rsid w:val="5E2D7C7A"/>
    <w:rsid w:val="5E4E3F80"/>
    <w:rsid w:val="5E5F4BD4"/>
    <w:rsid w:val="5ED20F44"/>
    <w:rsid w:val="5EE7073E"/>
    <w:rsid w:val="5F123BC6"/>
    <w:rsid w:val="5F1A7A37"/>
    <w:rsid w:val="5F63419E"/>
    <w:rsid w:val="5F736746"/>
    <w:rsid w:val="5F880842"/>
    <w:rsid w:val="5FD95A66"/>
    <w:rsid w:val="5FFC4765"/>
    <w:rsid w:val="60046C0F"/>
    <w:rsid w:val="602717FC"/>
    <w:rsid w:val="602C01A9"/>
    <w:rsid w:val="603B1B21"/>
    <w:rsid w:val="607F2EF2"/>
    <w:rsid w:val="60D43BFA"/>
    <w:rsid w:val="610D2A7D"/>
    <w:rsid w:val="61111BF1"/>
    <w:rsid w:val="61175A9A"/>
    <w:rsid w:val="61375BEC"/>
    <w:rsid w:val="615F1F60"/>
    <w:rsid w:val="61BC217C"/>
    <w:rsid w:val="61D9772A"/>
    <w:rsid w:val="61DB33CF"/>
    <w:rsid w:val="61EF0933"/>
    <w:rsid w:val="61F2327B"/>
    <w:rsid w:val="61F6471A"/>
    <w:rsid w:val="625E2011"/>
    <w:rsid w:val="62921FA4"/>
    <w:rsid w:val="62EF16C5"/>
    <w:rsid w:val="63196725"/>
    <w:rsid w:val="631F3FB6"/>
    <w:rsid w:val="63356B20"/>
    <w:rsid w:val="63BD1F88"/>
    <w:rsid w:val="63F34E27"/>
    <w:rsid w:val="642E2D6E"/>
    <w:rsid w:val="642F141D"/>
    <w:rsid w:val="6439179D"/>
    <w:rsid w:val="643A7D3D"/>
    <w:rsid w:val="645E071A"/>
    <w:rsid w:val="64C61C82"/>
    <w:rsid w:val="64D124DB"/>
    <w:rsid w:val="65233DA8"/>
    <w:rsid w:val="652A5D21"/>
    <w:rsid w:val="65480BBE"/>
    <w:rsid w:val="65B955CA"/>
    <w:rsid w:val="65CC3546"/>
    <w:rsid w:val="661A0E12"/>
    <w:rsid w:val="66214D7C"/>
    <w:rsid w:val="66B56D61"/>
    <w:rsid w:val="66B56D68"/>
    <w:rsid w:val="67056631"/>
    <w:rsid w:val="6779797F"/>
    <w:rsid w:val="6789047F"/>
    <w:rsid w:val="67A720F6"/>
    <w:rsid w:val="68006207"/>
    <w:rsid w:val="68382592"/>
    <w:rsid w:val="68A742AD"/>
    <w:rsid w:val="68C731B8"/>
    <w:rsid w:val="691052CA"/>
    <w:rsid w:val="69194464"/>
    <w:rsid w:val="69312B59"/>
    <w:rsid w:val="69446209"/>
    <w:rsid w:val="698B1B24"/>
    <w:rsid w:val="69BB0755"/>
    <w:rsid w:val="6A7A60F7"/>
    <w:rsid w:val="6AEE1969"/>
    <w:rsid w:val="6B0A125F"/>
    <w:rsid w:val="6B23484A"/>
    <w:rsid w:val="6B30457A"/>
    <w:rsid w:val="6B5A1EC9"/>
    <w:rsid w:val="6B7308B4"/>
    <w:rsid w:val="6BA2498F"/>
    <w:rsid w:val="6BBC51E6"/>
    <w:rsid w:val="6BCA0F7D"/>
    <w:rsid w:val="6BDE4DDD"/>
    <w:rsid w:val="6BE82C3E"/>
    <w:rsid w:val="6BE972DB"/>
    <w:rsid w:val="6BFE0452"/>
    <w:rsid w:val="6C0F2440"/>
    <w:rsid w:val="6C176418"/>
    <w:rsid w:val="6C392A9F"/>
    <w:rsid w:val="6C5973BD"/>
    <w:rsid w:val="6C762792"/>
    <w:rsid w:val="6C801375"/>
    <w:rsid w:val="6CEF6EBD"/>
    <w:rsid w:val="6CF01C95"/>
    <w:rsid w:val="6CF542B7"/>
    <w:rsid w:val="6D18295E"/>
    <w:rsid w:val="6D206AE2"/>
    <w:rsid w:val="6DD23F1E"/>
    <w:rsid w:val="6DEE2081"/>
    <w:rsid w:val="6E336938"/>
    <w:rsid w:val="6E5D68D3"/>
    <w:rsid w:val="6E7251F0"/>
    <w:rsid w:val="6E757524"/>
    <w:rsid w:val="6E7934F3"/>
    <w:rsid w:val="6EAD6286"/>
    <w:rsid w:val="6EB24C59"/>
    <w:rsid w:val="6EBD3CCD"/>
    <w:rsid w:val="6F2428C0"/>
    <w:rsid w:val="6F591B5D"/>
    <w:rsid w:val="6F7E65DB"/>
    <w:rsid w:val="6F981073"/>
    <w:rsid w:val="705F37D3"/>
    <w:rsid w:val="709143C4"/>
    <w:rsid w:val="70930271"/>
    <w:rsid w:val="70DB5146"/>
    <w:rsid w:val="712776C4"/>
    <w:rsid w:val="7181738B"/>
    <w:rsid w:val="71820038"/>
    <w:rsid w:val="71990145"/>
    <w:rsid w:val="71C90ED8"/>
    <w:rsid w:val="71D72430"/>
    <w:rsid w:val="71E12038"/>
    <w:rsid w:val="72112B83"/>
    <w:rsid w:val="72412901"/>
    <w:rsid w:val="72887B37"/>
    <w:rsid w:val="72910320"/>
    <w:rsid w:val="72BD6DA9"/>
    <w:rsid w:val="72CB01B8"/>
    <w:rsid w:val="73092FAA"/>
    <w:rsid w:val="734608F5"/>
    <w:rsid w:val="736D4BAC"/>
    <w:rsid w:val="74090510"/>
    <w:rsid w:val="740E2D2D"/>
    <w:rsid w:val="746B6757"/>
    <w:rsid w:val="74C768EE"/>
    <w:rsid w:val="74E97F38"/>
    <w:rsid w:val="74F13E40"/>
    <w:rsid w:val="752A3F7B"/>
    <w:rsid w:val="759A2104"/>
    <w:rsid w:val="75B35E00"/>
    <w:rsid w:val="765B6CE9"/>
    <w:rsid w:val="766852F0"/>
    <w:rsid w:val="766C7968"/>
    <w:rsid w:val="76936F16"/>
    <w:rsid w:val="76A64EB2"/>
    <w:rsid w:val="76BC1014"/>
    <w:rsid w:val="77025DC3"/>
    <w:rsid w:val="772C68C6"/>
    <w:rsid w:val="776C53FF"/>
    <w:rsid w:val="7781654E"/>
    <w:rsid w:val="779231D8"/>
    <w:rsid w:val="77B92312"/>
    <w:rsid w:val="7827423F"/>
    <w:rsid w:val="7850391E"/>
    <w:rsid w:val="78703EBE"/>
    <w:rsid w:val="78805A36"/>
    <w:rsid w:val="78830880"/>
    <w:rsid w:val="78AE0946"/>
    <w:rsid w:val="78D17516"/>
    <w:rsid w:val="7911644D"/>
    <w:rsid w:val="79331EC1"/>
    <w:rsid w:val="79404911"/>
    <w:rsid w:val="794D0D3C"/>
    <w:rsid w:val="7986601A"/>
    <w:rsid w:val="79AE14B2"/>
    <w:rsid w:val="79CE4B72"/>
    <w:rsid w:val="7A055366"/>
    <w:rsid w:val="7A292C38"/>
    <w:rsid w:val="7A5F22B4"/>
    <w:rsid w:val="7A680094"/>
    <w:rsid w:val="7A7508D5"/>
    <w:rsid w:val="7A81102C"/>
    <w:rsid w:val="7AA37ECA"/>
    <w:rsid w:val="7AB16073"/>
    <w:rsid w:val="7ABB5514"/>
    <w:rsid w:val="7ADE3222"/>
    <w:rsid w:val="7AF04DB0"/>
    <w:rsid w:val="7B1C1737"/>
    <w:rsid w:val="7B322761"/>
    <w:rsid w:val="7B3C2640"/>
    <w:rsid w:val="7B4443D1"/>
    <w:rsid w:val="7BB43296"/>
    <w:rsid w:val="7BDE6C84"/>
    <w:rsid w:val="7CA76A22"/>
    <w:rsid w:val="7CCC4E54"/>
    <w:rsid w:val="7CEB2ACD"/>
    <w:rsid w:val="7CF41D8D"/>
    <w:rsid w:val="7D2D2CA0"/>
    <w:rsid w:val="7DD90B59"/>
    <w:rsid w:val="7E2D20BE"/>
    <w:rsid w:val="7E5733E1"/>
    <w:rsid w:val="7E660C33"/>
    <w:rsid w:val="7E733B66"/>
    <w:rsid w:val="7EC12AAE"/>
    <w:rsid w:val="7EC52141"/>
    <w:rsid w:val="7ED12FEE"/>
    <w:rsid w:val="7F1648D6"/>
    <w:rsid w:val="7F23784E"/>
    <w:rsid w:val="7F486BDC"/>
    <w:rsid w:val="7F4C71A0"/>
    <w:rsid w:val="7F6347A3"/>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2020-05-07T08:23:19Z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2052-11.1.0.9584</vt:lpwstr>
  </property>
</Properties>
</file>