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-695960</wp:posOffset>
            </wp:positionH>
            <wp:positionV relativeFrom="paragraph">
              <wp:posOffset>-534035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5.14</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15</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27</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29</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3</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2</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3</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2020/5/13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25.29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29.19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虽然美国能源信息署(EIA)报告显示原油库存在连续15周录得增长后意外下降，且美国俄克拉荷马州库欣原油库存变化值连续9周录得增长后本周也录得下滑。但是市场对原油需求不振的忧虑情绪仍令油价承压下跌。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2020/5/12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25.78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29.98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尽管沙特扩大减产的措施，也引发对需求下降的质疑，但沙特6月扩大减产的承诺以及美国原油产量下降的预期，令市场认为这有助于削减国际油市上的过剩原油，供应端的利好提振油价上涨。</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2020/5/11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24.14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29.63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大多数国家暂未大面积重启经济，从而导致石油消费仍维持在低位的疲软背景中，全球原油需求复苏仍旧缓慢，此外，尽管沙特表示将扩大原油减产规模，但市场对沙特加大减产的承诺仍存在疑问，这导致油价承压下行。</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2020/5/8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24.74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30.94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受疫情以及原油需求影响，美国石油生产商被迫减产，钻井平台数量降至11年新低，同时，随着疫情趋于稳定，美国各州开始逐步放松此前为阻止冠状病毒蔓延而实施的封锁举措，这也为需求带来利好。</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2020/5/7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23.55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29.46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沙特阿美上调6月份大多数等级原油的价格，推动油价一度上涨，但是在沙特4月份出口创纪录的原油的情况下，市场仍然严重过剩，在需求和库存方面市场仍存在忧虑，只有强劲的需求增长才能维持更高的油价。</w:t>
            </w:r>
          </w:p>
        </w:tc>
      </w:tr>
    </w:tbl>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5335270" cy="4918710"/>
            <wp:effectExtent l="0" t="0" r="17780" b="1524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335270" cy="4918710"/>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6" w:name="_Toc10115992"/>
      <w:r>
        <w:rPr>
          <w:rFonts w:hint="eastAsia" w:ascii="宋体" w:hAnsi="宋体" w:eastAsia="宋体" w:cs="宋体"/>
          <w:color w:val="333335"/>
          <w:kern w:val="2"/>
          <w:sz w:val="28"/>
          <w:szCs w:val="28"/>
          <w:shd w:val="clear" w:color="auto" w:fill="FFFFFF"/>
          <w:lang w:eastAsia="zh-CN"/>
        </w:rPr>
        <w:t>本周美国能源信息署(EIA)周三(5月6日)公布报告显示，截至5月1日当周美国除却战略储备的商业原油库存增幅不及预期，精炼油库存增幅超预期预期，但汽油库存意外录得大幅度减少。具体数据显示，美国截至5月1日当周EIA原油库存变动实际公布增加459万桶，预期增加866.7万桶，前值增加899.1万桶。此外，美国截至5月1日当周EIA汽油库存实际公布减少315.80桶，预期增加49.6万桶，前值减少366.9万桶;美国截至5月1日当周EIA精炼油库存实际公布增加951.80万桶，预期增加288.1万桶，前值增加509.2万桶。美国石油协会(API)公布的数据显示，截至5月1日当周API原油库存增加844万桶，预期值增加812.5万桶, 前值增加998万桶。API公布，截至5月1日当周API库欣原油库存增加268.1万桶，前值增加249万桶。API公布，截至5月1日当周API精炼油库存增加614.3万桶，预期值增加295万桶, 前值增加546万桶。API数据还显示，截至5月1日当周API汽油库存减少223.7万桶，预期值增加32.5万桶, 前值减少111万桶。此外美国上周原油进口增加24.7万桶/日。</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7" w:name="_Toc10115993"/>
      <w:r>
        <w:rPr>
          <w:rFonts w:hint="eastAsia" w:ascii="宋体" w:hAnsi="宋体" w:eastAsia="宋体" w:cs="宋体"/>
          <w:color w:val="333335"/>
          <w:kern w:val="2"/>
          <w:sz w:val="28"/>
          <w:szCs w:val="28"/>
          <w:shd w:val="clear" w:color="auto" w:fill="FFFFFF"/>
          <w:lang w:eastAsia="zh-CN"/>
        </w:rPr>
        <w:t>本周北京时间14日凌晨，美股周三收跌，道指连续第三个交易日下滑。市场密切关注美国重启经济的相关争议与美联储主席鲍威尔的讲话。鲍威尔警告经济下行风险显著，称需要更多财政措施支持，暗示不会实行负利率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道指收盘下跌516.81点，或2.17%，报23247.97点;纳指跌139.38点，或1.55%，报8863.17点;标普500指数跌50.12点，或1.75%，报2820.00点。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美股航空股、邮轮股集体下跌。精神航空跌超13%，美联航跌超9%，达美航空跌超7%，美国航空、在美上市东方航空跌超5%;邮轮股中，嘉年华油轮、挪威邮轮跌超7%，皇家加勒比邮轮跌近5%。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鲍威尔称经济下行风险显著需更多财政援助 暗示不会实行负利率政策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美联储主席杰罗姆-鲍威尔(Jerome Powell)星期三在彼得森国际经济研究所主持的网络广播中就当前的经济形势发表讲话。</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他称，美国经济前景高度不确定，下行风险显著;实行更多的财政援助将有助于减少长期损害。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鲍威尔强调冠状病毒疫情的长期危害性。他称，冠状病毒疫情引起市场对其长期造成危害的担忧，疫情对经济的冲击似乎是有史以来最大的，美联储将使用充分利用工具，直到经济复苏开始。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鲍威尔表示，数以万计的企业倒闭将限制经济复苏，美联储的贷款将帮助许多借款人渡过危机，但是时间会把流动性问题变成偿付能力问题，可能需要额外的政策措施来保护经济。经济复苏可能需要时间来积聚动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他表示，调查显示：年收入低于4万美元的家庭中，有40%的家庭失去了工作。美国的财政反应是战后经济衰退以来最快、规模最大的。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他指出，美国可能需要额外的政策措施，以避免对经济造成长期损害。额外的财政支持可能是昂贵的，但如果它有助于避免长期的经济损害，那就是值得的。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鲍威尔强调，财政措施取舍由政府决定，他不会对特别财政法案表明立场。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在问答环节中，鲍威尔表示：经济复苏可能还需要额外几个月的时间才会成形，经济复苏放缓意味着美联储可能不得不采取更多措施。如果许多小企业倒闭，美国就会失去一些“根本性的”东西。通常是在经济好的时候针对债务和赤字采取行动，现在不是优先考虑政府债务问题的时候。</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他还表示：“负利率不是我们所关注的，美联储打算继续使用它已经尝试过的工具。负利率是一个悬而未决的领域。许多企业面临流动性问题，这是美联储可以解决的。我们愿意承担向企业贷款的风险。”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尽管鲍威尔几乎排除了将利率降至负值的可能性，但联邦基金利率期货市场押注：美联储或在2021年推行负利率政策。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日内公布的美国4月PPI数据承接上日出炉的美国4月CPI数据颓势，两者都创下2008年12月以来新低，一连串表现极差的宏观数据迫使美国急于复工。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特朗普敦促美联储采取负利率 美联储官员集体发声反对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美国总统特朗普再次敦促美联储采取负利率，尽管美联储的一些成员表示，他们认为没有必要让目前接近零的利率进入负利率区间。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“只要其他国家还在享受负利率的好处，美国也应该接受这个‘礼物’。巨大的数字!”特朗普发推文称。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特朗普长期以来一直呼吁美联储降低利率，甚至称应该进入负利率区间。今年3月，美联储将利率下调至接近于零的水平。这是一项历史性举措，旨在减轻冠状病毒大流行对经济造成的冲击。当时，特朗普表示，此举让他“非常高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不过美联储官员一直在淡化市场的负利率预期。美联储的一些成员表示，他们认为没有必要让目前接近零的利率进入负利率区间。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克利夫兰联储主席洛瑞塔-梅斯特(Loretta Mester)周三表示：“我们需要更多财政政策方面的支持。负利率不是积极讨论的一部分。负利率会带来很多问题。”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芝加哥联储主席埃文斯指出，美联储预计不会采用欧洲和日本已经尝试过的负利率政策，负利率是联储工具箱中“更弱”的政策。埃文斯认为：“负利率是一个潜在的工具，只是不是我们想要使用的工具。在最好的情况下，这需要更仔细地研究。”他表示：“充其量，我们需要更多地研究负利率，但我不认为它会成为美国使用的一种工具。”</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圣路易斯联储主席布拉德也表示，负利率对美国来说不是一个好选项。美国更有可能采取的下一步措施是，更明确地回归量化宽松政策，以保持低利率。他指出，由于美国短期融资市场的结构与日本和欧洲不同，使用负利率将是“有问题的”。此外他表示：“我们完全不清楚负利率在他们国家是否成功……我们可以使用其他工具来应对这种情况。”</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达拉斯联储主席卡普兰更是直言，他将会反对负利率，负利率将冲击中介机构、货币市场基金，他对负利率的利大于弊持怀疑态度。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此外，明尼阿波利斯联储主席卡什卡利称，美联储决策者们在反对负利率方面“相当一致”。不想在负利率问题上说“决不”，但美联储首先还有其他措施可以采取。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亚特兰大联储主席博斯蒂克也同样直接地表示：“我不太喜欢进入负利率区间。”他表示，负利率对经济实际的刺激机制需要更细致的理解。</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近期，之所以围绕美联储负利率的争论骤然兴起，主因还是上周与美联储政策利率挂钩的期货交易商开始消化美国明年初出现负利率的可能性，这是有史以来第一次。尽管本周他们大多出脱了这些押注，不过2021年10月到期的合约仍在反映出市场对利率将低于零的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美国重启经济进程引起争议 顶级传染病专家福奇警告勿过早重启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股周二收跌，主要股指蒙受了7个交易日来的最大单日跌幅。市场参与者对美国某些州的重启经济进程感到担忧，并注意到其他一些大都市区延长了居家隔离令。洛杉矶县官员们周二宣布，该县的社交距离令将维持到7月份。本周初，纽约市长Bill De Blasio表示，纽约市居民很可能会至少在6月份之前遵守就地隔离命令。</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但其他一些州和县都已经或者即将逐步解封，已经开始或即将开始分阶段重新开放的过程。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昨日(5月12日)，美国因新冠疫情宣布“国家紧急状态”满60天。重新开放经济，已从激烈争论渐成不争的事实。在病毒检测能力不足的担忧声中，美国舆论的重心转向对“重启”经济后的风险再评估。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据美国约翰斯-霍普金斯大学数据，截至北京时间13日5时32分，美国新冠肺炎确诊病例为1366350例，死亡82105例。美国CPI在4月份降至2008年以来的最低水平，同时间美国2050万人失业，这是大萧条以来最差表现。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在周二的国会证词中，美国国家过敏和传染病研究所所长安东尼-福奇(Anthony Fauci)警告说，如果美国的部分地区在冠状病毒疫情得到充分遏制之前重启经济，其后果可能是“严重的”。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福奇表示：“如果您认为我们已完全控制了冠状病毒疫情，那就错了。而且，看看疫情的发展动态，我们发现某些地方的住院和感染病例在减少，例如在纽约市和新奥尔良，住院和确诊感染病例数已经停止增长并开始下降。但是在美国其他地区，这类病例数仍然处在峰值。”</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据媒体报道，美国有九个州指控特朗普政府放弃了在疫情大流行期间执行美国环境法的法定责任，对近期由于工人短缺而放松执法的计划发起挑战。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正如经济学家、分析师和市场参与者所承认的那样，延长停工时间能使冠状病毒病例增长下降，同时却使经济和商业活动付出了代价。周二发表讲话的许多美联储官员都对冠状病毒对美国经济和金融市场的近期和长期影响发表了更为谨慎的评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克利夫兰联储主席洛瑞塔-梅斯特(Loretta Mester)在准备好的讲话中表示，她预计美国国内失业率将达到或超过20%，第二季度的年度GDP将萎缩40%，然后在下半年开始逐步的经济复苏。梅斯特是今年联邦公开市场委员会(FOMC)票委。</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圣路易斯联储主席詹姆斯-布拉德(James Bullard)表示，已执行很长时间的临时隔离禁令不可能无限期地持续下去，他说：“那会造成太多的商业倒闭，而且确实会造成长期损害。”</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穆迪分析公司首席经济学家马克-赞迪认为，美国过快重启经济无异于一场豪赌。如果暴发第二波疫情，美国将陷入经济萧条。马克-赞迪2月曾警告，美国低估了疫情破坏力。他认为，要让经济彻底重回正轨，需要在疫苗研究上取得切实进展，“这很关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焦点个股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特斯拉收跌2.3%，此前美国加州政府表示如果遵循指导方针，特斯拉可以重启运营。</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Uber(UBER)建议发行7.5亿美元的2025年到期的优先票据。将票据发行主要所得用于营运资本和其他公司用途，可能用于潜在收购。</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据美国证券交易委员会文件显示，华特迪士尼(102.92, -1.64, -1.57%)申请发行15亿美元2026年到期、票面利率1.750%的债券，10亿美元2028年到期、票面利率2.200%的债券。公司还申请发行2.75亿美元2051年到期、票面利率3.600%票据，15亿美元2060年到期、票面利率3.800%的票据。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周三欧洲股市收盘涨跌不一。欧洲泛欧绩优300指数收跌1.95%，英国富时100指数收跌1.6%，德国DAX指数收跌2.5%，法国CAC指数收跌2.9%，西班牙IBEX指数收涨0.3%。</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美联储主席杰罗姆-鲍威尔(Jerome Powell)周三在彼得森国际经济研究所主持的网络讲话中说，美国经济前景“高度不确定，并面临重大下行风险”。不过，他还表示，美联储并未将负利率视为货币政策工具包的一部分，并称从其历史记录来看，负利率的后果喜忧参半。</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美国总统特朗普周二在推特上表示，他赞成美国将利率下降为负的区域。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原油期货价格周三收跌。尽管美国政府报告称美国上周原油库存意外下降、俄克拉荷马州库欣地区的一个重要储油中心库存同样下降，油价均未得到提振。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Tyche Capital Advisors公司常务理事Tariq Zahir表示：“从现在开始，原油价格即使上涨，其涨幅都会是温和的。”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他表示：“正如我们所看到的，许多州正在逐步解封，汽油需求面将会很容易好转，尤其是在美国的汽油需求受到如此大的破坏之后。不过，全球航空需求距离恢复正常还有很长的路要走。”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Zahir表示，如果未来几周内的冠状病毒感染病例数字增加，他也不会感到奇怪，因为病毒会潜伏好几周才会发作。他表示：“我们认为消费者已经受到了严重伤害，鉴于巨量失业数据，美国经济复苏将非常缓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他表示：“未来几天内，原油期货价格肯定会上涨几美元，但是我们认为其上涨将是短暂的，因为库欣地区的储油空间会慢慢不再紧张，并且随着油价上涨，某些国家可能就不会遵守现在达成的减产协议了。”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周三，纽约商品交易所6月交割的西德州中质原油(WTI)期货价格下跌49美分，跌幅1.9%，收于每桶25.29美元。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作为全球原油价格基准的伦敦洲际交易所7月布伦特原油期货价格下跌79美分，跌幅2.6%，收于每桶29.19美元。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美国能源信息署(EIA)周三上午报告称，截止5月8日当周，美国原油库存减少70万桶。这是16周来美国原油库存首次出现下降。昨日美国石油协会(API)报告称，美国上周原油库存减少760万桶。</w:t>
      </w:r>
    </w:p>
    <w:p>
      <w:pPr>
        <w:pStyle w:val="23"/>
        <w:spacing w:line="360" w:lineRule="auto"/>
        <w:ind w:firstLine="560" w:firstLineChars="200"/>
        <w:rPr>
          <w:rFonts w:ascii="华文仿宋" w:hAnsi="华文仿宋" w:eastAsia="华文仿宋" w:cs="华文仿宋"/>
          <w:color w:val="333335"/>
          <w:kern w:val="2"/>
          <w:sz w:val="28"/>
          <w:szCs w:val="28"/>
          <w:shd w:val="clear" w:color="auto" w:fill="FFFFFF"/>
        </w:rPr>
      </w:pP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国际货币基金组织(IMF)总裁格奥尔基耶娃12日表示，全球经济前景自4月预测以来已进一步恶化，因此该组织将于6月公布对全球经济预测的向下修正。</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格奥尔基耶娃当天在英国《金融时报》主办的在线会议上说：“由于疫情仍在蔓延，经济前景比我们已有的悲观预测更加恶化。如果没有全球范围内的医疗解决方案，许多经济体很可能将面临更为不利的局面。”</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据路透社报道，格奥尔基耶娃称，IMF极有可能将于6月公布对全球经济预测的向下修正，以反映疫情在最近几周进一步蔓延以及加剧经济影响的事实。</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格奥尔基耶娃同时表示，向下修正数据也意味着，为应对新冠病毒大流行，新兴市场和发展中经济体将需要超过此前预测的2.5万亿美元财政资助。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“有必要集中精力搞清楚，我们能够向新兴和发展中国家提供哪些保护措施，以确保流动性问题不会变成偿付能力问题。”格奥尔基耶娃说。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IMF4月14日发布的《世界经济展望报告》指出，受新冠病毒大流行影响，全球经济2020年预计将萎缩3%，其中新兴市场和发展中经济体将收缩1%，而发达经济体将收缩6.1%。报告称，全球经济衰退程度远超2008年国际金融危机引发的经济下滑，为上世纪30年代大萧条以来最严重的全球经济衰退。</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p>
    <w:p>
      <w:pPr>
        <w:pStyle w:val="23"/>
        <w:spacing w:line="360" w:lineRule="auto"/>
        <w:ind w:firstLine="560" w:firstLineChars="200"/>
        <w:rPr>
          <w:rFonts w:ascii="华文仿宋" w:hAnsi="华文仿宋" w:eastAsia="华文仿宋" w:cs="华文仿宋"/>
          <w:sz w:val="28"/>
          <w:szCs w:val="28"/>
        </w:rPr>
      </w:pPr>
    </w:p>
    <w:p>
      <w:pPr>
        <w:pStyle w:val="23"/>
        <w:spacing w:line="360" w:lineRule="auto"/>
        <w:ind w:firstLine="560" w:firstLineChars="200"/>
        <w:rPr>
          <w:rFonts w:ascii="华文仿宋" w:hAnsi="华文仿宋" w:eastAsia="华文仿宋" w:cs="华文仿宋"/>
          <w:sz w:val="28"/>
          <w:szCs w:val="28"/>
        </w:rPr>
      </w:pP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bookmarkStart w:id="8" w:name="_Toc533771866"/>
      <w:r>
        <w:rPr>
          <w:rFonts w:hint="eastAsia" w:ascii="宋体" w:hAnsi="宋体" w:eastAsia="宋体" w:cs="宋体"/>
          <w:color w:val="333335"/>
          <w:kern w:val="2"/>
          <w:sz w:val="28"/>
          <w:szCs w:val="28"/>
          <w:shd w:val="clear" w:color="auto" w:fill="FFFFFF"/>
          <w:lang w:eastAsia="zh-CN"/>
        </w:rPr>
        <w:t>本周美国WTI原油原油价格在23.55-25.78美元/桶。布伦特原油价格在29.19-30.94美元/桶震荡。周内国际油震荡整理。因市场担心一些国家可能迎来新冠疫情的第二轮爆发潮，进而延长实施出行限制，油价周三(5月13日)收盘下跌：美国WTI原油6月期货下跌0.49美元，跌幅1.9%，报25.29美元/桶;布伦特原油7月期货下跌0.79美元，跌幅2.6%，报29.19美元/桶。基本面利好因素：美国能源信息署(EIA)周三公布报告显示，至5月8日当周，EIA原油库存减少74.5万桶，为自1月底以来首次下降。该值远低于此前增加432万桶的预期以及459万桶的前值;汽油库存减少351.3万桶，此前预期减少280.9万桶;俄克拉荷马州库欣原油库存减少300.2万桶，远低于此前增加206.8万桶的前值。EIA短期能源展望报告显示，预计今年WTI原油价格为30.1美元/桶，此前预期为29.34美元/桶，预计2021年WTI原油价格为43.31美元/桶，高于此前预期的41.12美元/桶;预计今年布伦特原油价格为34.13美元/桶，此前预期为33.04美元/桶。预计2020年美国原油产量将减少54万桶/日，此前为减少47万桶/日，预计2021年美国原油产量将减少79万桶/日，此前为减少73万桶/日。美国石油协会(API)周三公布报告显示，至5月8日当周，API库欣库存减少230万桶，此前一周增加268.1万桶。库欣原油库存出现近10周以来首次下滑。随着封锁措施的逐渐放开，全球需求缓慢回升，WTI原油在过去两周大涨46%。外汇经济商Oanda分析师Craig Erlam表示，距离6月份合约到期还有一个多星期的时间，上个月期货的暴跌发生在交易的最后一天，所以预计6月期货合约真正刺激的行情还需等待一段时间。基本面利空因素：美国石油协会(API)周三公布报告显示，至5月8日当周，API原油库存增加758万桶，至5.262亿桶。该值高于此前预期的429.5万桶，略低于844万桶的前值。美国原油库存已连续16周录得增加;API精炼油库存增加471.2万桶，高于此前315万桶的预期;API汽油库存减少191.1万桶;美国上周原油进口增加14.1万桶/日。OPEC在近期公布的夏季原油展望报告中表示，二季度原油需求将遭到最大程度的破坏，并且这一影响将在三季度和四季度延伸，预计分别造成的需求损失为1200万桶/日、600万桶/日和350万桶/日。今年夏季美国出游高峰汽油需求也将遭遇重大损失，尤其是在美国成品油出口国需求也大幅下降的情况下，可能会导致夏季汽油库存进一步增加。Genscape公布的数据显示，截至5月5日当周，俄克拉荷马州库欣的美国原油库存增加约40.7万桶。Rystad Energy的分析师预计，2020年全球石油需求将下降10.9%，从2019年的约9950万桶/日降至8870万桶/日。上周，该能源咨询公司预测明年的平均需求为8880万桶/日。Energy Intelligence的斯图尔特(Ian Stewart)表示：“继上周油价上涨之后，本周的油价变得起伏不定。尽管期货价格走高，但实际剩余石油继续流入油罐，需求复苏的道路仍然高度不确定。”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预测下周WTI油价将触及22-26美元/桶，布油在之后几个月触及28-31美元/桶。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310.80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69.17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340.00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329.50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75.75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338.20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75.22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357.00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316.10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78.02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75.94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325.25 </w:t>
            </w:r>
          </w:p>
        </w:tc>
      </w:tr>
    </w:tbl>
    <w:p>
      <w:pPr>
        <w:pStyle w:val="2"/>
        <w:spacing w:before="120" w:after="0" w:line="240" w:lineRule="auto"/>
        <w:rPr>
          <w:rFonts w:hint="eastAsia"/>
        </w:rPr>
      </w:pPr>
    </w:p>
    <w:p>
      <w:pPr>
        <w:pStyle w:val="2"/>
        <w:numPr>
          <w:ilvl w:val="0"/>
          <w:numId w:val="1"/>
        </w:numPr>
        <w:spacing w:before="120" w:after="0" w:line="240" w:lineRule="auto"/>
        <w:rPr>
          <w:rFonts w:hint="eastAsia"/>
          <w:b/>
        </w:rPr>
      </w:pPr>
      <w:r>
        <w:rPr>
          <w:rFonts w:hint="eastAsia"/>
          <w:b/>
        </w:rPr>
        <w:t>本周国内市场</w:t>
      </w:r>
      <w:bookmarkEnd w:id="9"/>
    </w:p>
    <w:p>
      <w:pPr>
        <w:numPr>
          <w:ilvl w:val="0"/>
          <w:numId w:val="0"/>
        </w:numPr>
      </w:pPr>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180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2020/4/8</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抚顺石化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2020年6月底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2020年7月底</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2"/>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延期、待定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延期、待定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计划2020年5月份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2020年4月25日左右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2020年3月20日陆续</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2020年4月23日陆续</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计划2020年5月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bookmarkEnd w:id="11"/>
    <w:p>
      <w:pPr>
        <w:pStyle w:val="3"/>
        <w:spacing w:before="120" w:after="120" w:line="240" w:lineRule="auto"/>
        <w:rPr>
          <w:rFonts w:hint="eastAsia" w:ascii="宋体" w:hAnsi="宋体"/>
          <w:b/>
          <w:sz w:val="30"/>
          <w:szCs w:val="30"/>
          <w:highlight w:val="none"/>
        </w:rPr>
      </w:pPr>
      <w:bookmarkStart w:id="12" w:name="_Toc533771870"/>
      <w:r>
        <w:rPr>
          <w:rFonts w:hint="eastAsia" w:ascii="宋体" w:hAnsi="宋体"/>
          <w:b/>
          <w:sz w:val="30"/>
          <w:szCs w:val="30"/>
          <w:highlight w:val="none"/>
        </w:rPr>
        <w:t>3.2本周成品油市场行情</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国际原油期货震荡上行，据测算第十个工作日参考原油变化率为20.69%。受此影响，国内成品油市场购销氛围持淡，各地主营单位汽柴油销售政策保持优惠。与此同时，山东地炼成品油行情震荡下行，部分炼厂降价促销且成交保持100元/吨左右优惠。具体来看出货方面：受终端需求不足影响，社会单位库存消化缓慢，中间商囤货操作甚少，仅少数下游用户按需采购，因此地炼整体出货表现一般，庆幸的是本周原油偏强走势给予地炼一定挺价信心，使得省内油价并未出现大幅走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本周(5月8日-5月14日)市场缺乏明确指引 主营油价维持盘整态势 具体分析如下，周内，国际原油维持窄幅震荡走势，本轮零售价仍无缘调整，消息面指引有限。目前市场刚性需求表现平稳，加上前期下游备货充足，再度入市采购以小单为主。市场缺乏成交支撑，区内各主营单位价格主流稳定，个别单位根据自身情况灵活涨跌。不过各单位销售政策十分灵活，实盘多存较大商谈空间。业者观望之余，积极消化自身库存，购销气氛较为清淡。后市而言，国际原油或有望偏强整理，不过短期内仍无望突破调价红线，消息面对市场指引力度有限。主营客存水平偏高，下游库存消化有待时日，终端需求消耗趋于平稳。故预计短期区内主营汽柴油价格或延续窄幅整理运行，各主营为追赶销量，销售政策或愈加灵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华北地区主营汽柴油行情弱势整理，下游业者入市操作有限，成交小单。分析来看，国际原油期价呈现震荡，零售价继续停调，消息面对市场指引震荡。山东地炼汽柴油行情表现弱势，主营外采成本面难寻支撑。近日高速公路恢复收费，柴油终端需求刚需为主;而汽油方面短期暂无节假日提振，下游需求维持平稳。区内主营方面成品油行情趋稳整理为主，部分主营积极促销追量，实盘成交重心有所下移。下游业者入市操作积极性有限，成交气氛平淡。后市来看，国际原油短期或震荡小涨，消息面或有一定支撑，预计短期区内成品油行情维持盘整为主，步入中旬，部分主营或积极追量，实盘成交或有较大商谈空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华东地区成品油价格下滑，整体成交氛围寡淡。具体来看，周内国际原油期价窄幅震荡，消息面指引有限，区内成品油价格有所回落。与此同时，山东地炼汽柴油价格跌势难改，主营外采成本保持低位。进入月中主营优惠政策仍保持宽松，且积极造势推价以赶冲销量。区内工矿、基建等大型项目开启让柴油需求提振，出货保持顺畅，而区内工厂复工率未全面开启让民众现今仍以短途出行为主，汽油需求依旧疲态发展，汽油出货一般。且前期下游商家进场大量抄底让库存现今仍保持高位，故短期内仍以消库观望为主，补货多为刚需小单成交。综上所述，业内采购持谨慎心态，整体成交氛围寡淡。后期来看，国际原油期价或维持低位运行，消息面支撑有限。预计下周华东地区成品油行情或依旧横盘整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华南地区成品油行情走高，市场购销气氛平平。具体来看，国际原油期货震荡整理，零售价继续停调，消息方面影响有限。受此影响，山东地炼汽柴油价格窄幅波动，主营单位外采成本变化不大。但部分主营销售单位由于亏损较为严重，故一度连续推涨汽柴油价格，其中柴油价格涨幅较大。业者消库之余按需购进，市场交投气氛平淡。后市来看，国际原油期货不乏震荡小涨可能，消息方面支撑尚可。与此同时，业者入市操作有限，主营单位出货平淡。预计下周华南地区汽柴油行情横盘整理为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西南地区汽柴行情稳中整理，市场成交气氛平平。分析来看：周内国际油价颇为震荡，成品油零售调价再度搁浅，消息面对市场难有支撑。目前工矿基建等行业多正常开工，物流运输亦较为活跃，柴油需求较为旺盛，但继续提升空间有限;随着气温升高，车用空调用油增加，汽油需求将小幅提升，但对市场支撑力度有限。业者操作心态谨慎，仍刚需补货为主，柴油成交略好于汽油。主营单位出货一般，考虑到系统配置资源价格偏高，因此汽柴价格多维持坚挺，大单优惠政策则趋于灵活。就后市而言，国际油价震荡走高，消息面持续向好，但下游需求进入平稳阶段，业者消库之余按需采购为主，市场成交难见活跃。主营单位根据自身情况调整销售整，预计短线西南地区汽柴行情区间震荡为主。</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本周(5月8日-5月14日)，西北地炼汽柴行情仍维持平稳走势，市场成交气氛平平。分析来看：周内国际原油期价走势震荡，成品油调价继续搁浅，消息面对市场难有指引，供需关系占据市场主导。柴油方面，当前工矿基建等用油企业多已恢复正常生产，柴油需求仍有支撑。但区内价格偏高，周边地价资源进入市场，业者逢低补货，销售公司出货转淡。汽油方面，近期暂无节假日提振，下游需求较为平淡。业者补货有限，市场成交维持清淡。销售公司出货不畅，但延炼仍未恢复开工，价格方面仍保持稳定。就后市而言，国际油价或震荡走高，消息面对市场略有支撑。但延炼检修即将结束，届时市场供应量攀升，而下游需求进入平稳阶段，继续提升空间有限。业者补货心态谨慎，市场成交难有改善，预计短线西北地炼汽柴行情下行压力增加。</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lang w:eastAsia="zh-CN"/>
        </w:rPr>
      </w:pPr>
      <w:r>
        <w:rPr>
          <w:rFonts w:hint="eastAsia" w:ascii="宋体" w:hAnsi="宋体" w:eastAsia="宋体" w:cs="宋体"/>
          <w:color w:val="333335"/>
          <w:kern w:val="2"/>
          <w:sz w:val="28"/>
          <w:szCs w:val="28"/>
          <w:shd w:val="clear" w:color="auto" w:fill="FFFFFF"/>
          <w:lang w:eastAsia="zh-CN"/>
        </w:rPr>
        <w:t>后市前瞻：进入下周，随着越来越多的国家及地区放松疫情管制，加之产油国的减产得到有效实施，原油价格将受到一定的支撑。以WTI为例，预计主流运行区间在23-28(均值25.5)美元/桶之间，环比上涨0.8美元/桶或3.23%。在消息面利好提振下，山东地区成品油行情稳中上行，区内炼厂推价积极性渐起，而中下游商家购进操作将会有所增加。综上所述，预计山东地炼汽柴油价格稳中上涨，涨幅在100元/吨左右。</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2020/5/14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7394</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4" w:name="_Toc533771872"/>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2020/5/14</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5490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5595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2020/5/14</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3980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4710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p>
    <w:p>
      <w:pPr>
        <w:pStyle w:val="3"/>
        <w:spacing w:before="120" w:after="120" w:line="240" w:lineRule="auto"/>
        <w:rPr>
          <w:rFonts w:hint="eastAsia" w:ascii="宋体" w:hAnsi="宋体"/>
          <w:b/>
          <w:sz w:val="30"/>
          <w:szCs w:val="30"/>
          <w:lang w:val="en-US" w:eastAsia="zh-CN"/>
        </w:rPr>
      </w:pPr>
      <w:bookmarkStart w:id="22" w:name="_GoBack"/>
      <w:bookmarkEnd w:id="22"/>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2020/5/14</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2020/5/7</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10"/>
          <w:szCs w:val="10"/>
          <w:lang w:val="en-US" w:eastAsia="zh-CN"/>
        </w:rPr>
      </w:pPr>
      <w:bookmarkStart w:id="16" w:name="_Toc533771874"/>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四、2020年3月份进出口统计数据</w:t>
      </w:r>
      <w:bookmarkEnd w:id="16"/>
      <w:bookmarkStart w:id="17" w:name="_Toc533771875"/>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285" w:type="dxa"/>
        <w:tblInd w:w="0" w:type="dxa"/>
        <w:shd w:val="clear" w:color="auto" w:fill="auto"/>
        <w:tblLayout w:type="autofit"/>
        <w:tblCellMar>
          <w:top w:w="0" w:type="dxa"/>
          <w:left w:w="0" w:type="dxa"/>
          <w:bottom w:w="0" w:type="dxa"/>
          <w:right w:w="0" w:type="dxa"/>
        </w:tblCellMar>
      </w:tblPr>
      <w:tblGrid>
        <w:gridCol w:w="1995"/>
        <w:gridCol w:w="2670"/>
        <w:gridCol w:w="2070"/>
        <w:gridCol w:w="2550"/>
      </w:tblGrid>
      <w:tr>
        <w:tblPrEx>
          <w:shd w:val="clear" w:color="auto" w:fill="auto"/>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kern w:val="0"/>
                <w:sz w:val="21"/>
                <w:szCs w:val="21"/>
                <w:u w:val="none"/>
                <w:lang w:val="en-US" w:eastAsia="zh-CN" w:bidi="ar"/>
              </w:rPr>
            </w:pPr>
            <w:bookmarkStart w:id="18" w:name="_Toc533771876"/>
            <w:r>
              <w:rPr>
                <w:rFonts w:hint="default" w:ascii="宋体" w:hAnsi="宋体" w:eastAsia="宋体" w:cs="宋体"/>
                <w:b/>
                <w:i w:val="0"/>
                <w:color w:val="auto"/>
                <w:kern w:val="0"/>
                <w:sz w:val="21"/>
                <w:szCs w:val="21"/>
                <w:u w:val="none"/>
                <w:lang w:val="en-US" w:eastAsia="zh-CN" w:bidi="ar"/>
              </w:rPr>
              <w:t>出口目的地</w:t>
            </w:r>
          </w:p>
        </w:tc>
        <w:tc>
          <w:tcPr>
            <w:tcW w:w="26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数量</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单位</w:t>
            </w:r>
          </w:p>
        </w:tc>
        <w:tc>
          <w:tcPr>
            <w:tcW w:w="255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u w:val="none"/>
                <w:lang w:val="en-US" w:eastAsia="zh-CN" w:bidi="ar"/>
              </w:rPr>
            </w:pPr>
            <w:r>
              <w:rPr>
                <w:rFonts w:hint="default" w:ascii="宋体" w:hAnsi="宋体" w:eastAsia="宋体" w:cs="宋体"/>
                <w:b/>
                <w:i w:val="0"/>
                <w:color w:val="auto"/>
                <w:kern w:val="0"/>
                <w:sz w:val="21"/>
                <w:szCs w:val="21"/>
                <w:u w:val="none"/>
                <w:lang w:val="en-US" w:eastAsia="zh-CN" w:bidi="ar"/>
              </w:rPr>
              <w:t>出口金额美元</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阿联酋</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88374.38</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48967317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菲律宾</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183845.6</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82019375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马来西亚</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174496.7</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101958647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蒙古</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7467.884</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2609624</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缅甸</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5398.171</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3624858</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墨西哥</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141052.5</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71964623</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日本</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4247.852</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2497705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斯里兰卡</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130571.8</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72994995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文莱</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35000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23100000</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新加坡</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940840.5</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521139858</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印度</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58951.53</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33187387</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印度尼西亚</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33263.89</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19079143</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越南</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8700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5220000</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中国澳门</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2226.602</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1425025</w:t>
            </w:r>
          </w:p>
        </w:tc>
      </w:tr>
      <w:tr>
        <w:tblPrEx>
          <w:tblCellMar>
            <w:top w:w="0" w:type="dxa"/>
            <w:left w:w="0" w:type="dxa"/>
            <w:bottom w:w="0" w:type="dxa"/>
            <w:right w:w="0" w:type="dxa"/>
          </w:tblCellMar>
        </w:tblPrEx>
        <w:trPr>
          <w:trHeight w:val="400" w:hRule="atLeast"/>
        </w:trPr>
        <w:tc>
          <w:tcPr>
            <w:tcW w:w="19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中国香港</w:t>
            </w:r>
          </w:p>
        </w:tc>
        <w:tc>
          <w:tcPr>
            <w:tcW w:w="26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9600</w:t>
            </w:r>
          </w:p>
        </w:tc>
        <w:tc>
          <w:tcPr>
            <w:tcW w:w="207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255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6720000</w:t>
            </w:r>
          </w:p>
        </w:tc>
      </w:tr>
    </w:tbl>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4856" w:type="pct"/>
        <w:tblInd w:w="0" w:type="dxa"/>
        <w:tblLayout w:type="fixed"/>
        <w:tblCellMar>
          <w:top w:w="0" w:type="dxa"/>
          <w:left w:w="108" w:type="dxa"/>
          <w:bottom w:w="0" w:type="dxa"/>
          <w:right w:w="108" w:type="dxa"/>
        </w:tblCellMar>
      </w:tblPr>
      <w:tblGrid>
        <w:gridCol w:w="1144"/>
        <w:gridCol w:w="2127"/>
        <w:gridCol w:w="2223"/>
        <w:gridCol w:w="1868"/>
        <w:gridCol w:w="2209"/>
      </w:tblGrid>
      <w:tr>
        <w:tblPrEx>
          <w:tblCellMar>
            <w:top w:w="0" w:type="dxa"/>
            <w:left w:w="108" w:type="dxa"/>
            <w:bottom w:w="0" w:type="dxa"/>
            <w:right w:w="108" w:type="dxa"/>
          </w:tblCellMar>
        </w:tblPrEx>
        <w:trPr>
          <w:trHeight w:val="825" w:hRule="atLeast"/>
        </w:trPr>
        <w:tc>
          <w:tcPr>
            <w:tcW w:w="597"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产销国</w:t>
            </w:r>
          </w:p>
        </w:tc>
        <w:tc>
          <w:tcPr>
            <w:tcW w:w="111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进口数量/吨</w:t>
            </w:r>
          </w:p>
        </w:tc>
        <w:tc>
          <w:tcPr>
            <w:tcW w:w="116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进口金额/美元</w:t>
            </w:r>
          </w:p>
        </w:tc>
        <w:tc>
          <w:tcPr>
            <w:tcW w:w="975"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出口数量/吨</w:t>
            </w:r>
          </w:p>
        </w:tc>
        <w:tc>
          <w:tcPr>
            <w:tcW w:w="1154"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伊朗</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255779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109377407</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伊拉克</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5598147.36</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2237120247</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科威特</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1965292.88</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802709289</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马来西亚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1053894.95</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211206233</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蒙古</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2343.61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447925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阿曼</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2282420.19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990750196</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卡塔尔</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65125.17</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27617773</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沙特阿拉伯</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7209674.51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3065434085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阿联酋</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1631823.21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638022745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也门</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74201.24</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31164521</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越南</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117517.69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51300435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哈萨克斯坦</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404533.41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187999161</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阿尔及利亚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130773.66</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65208926</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安哥拉</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3989658.67</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1757354961</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喀麦隆</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134086.4</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60838272</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刚果(布)</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748223.07</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317069579</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埃及</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40369.33</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18825350</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赤道几内亚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199738</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83793952</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加蓬</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535263.9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241527448</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加纳</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511660.11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229691924</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尼日利亚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134043</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68155262</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英国</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928638.05</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440577400</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挪威</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1295267.25</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450923808</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俄罗斯联邦</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7019940.31</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2781658831</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巴西</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3241739.47</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1309698174</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哥伦比亚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1059997.19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386245654</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厄瓜多尔</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330746.99</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110946138</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墨西哥</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65695.46</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25061045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美国</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0.02</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215</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澳大利亚</w:t>
            </w:r>
          </w:p>
        </w:tc>
        <w:tc>
          <w:tcPr>
            <w:tcW w:w="11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74850.18</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37915890</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597"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cs="宋体"/>
                <w:b/>
                <w:i w:val="0"/>
                <w:color w:val="191919"/>
                <w:kern w:val="0"/>
                <w:sz w:val="21"/>
                <w:szCs w:val="21"/>
                <w:u w:val="none"/>
                <w:lang w:val="en-US" w:eastAsia="zh-CN" w:bidi="ar"/>
              </w:rPr>
              <w:t>韩国</w:t>
            </w:r>
          </w:p>
        </w:tc>
        <w:tc>
          <w:tcPr>
            <w:tcW w:w="111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w:t>
            </w:r>
          </w:p>
        </w:tc>
        <w:tc>
          <w:tcPr>
            <w:tcW w:w="1868" w:type="dxa"/>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val="0"/>
                <w:bCs/>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141383</w:t>
            </w:r>
          </w:p>
        </w:tc>
        <w:tc>
          <w:tcPr>
            <w:tcW w:w="2209" w:type="dxa"/>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val="0"/>
                <w:bCs/>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55959662</w:t>
            </w:r>
          </w:p>
        </w:tc>
      </w:tr>
      <w:tr>
        <w:tblPrEx>
          <w:tblCellMar>
            <w:top w:w="0" w:type="dxa"/>
            <w:left w:w="108" w:type="dxa"/>
            <w:bottom w:w="0" w:type="dxa"/>
            <w:right w:w="108" w:type="dxa"/>
          </w:tblCellMar>
        </w:tblPrEx>
        <w:trPr>
          <w:trHeight w:val="450" w:hRule="atLeast"/>
        </w:trPr>
        <w:tc>
          <w:tcPr>
            <w:tcW w:w="597"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2020年3月合计</w:t>
            </w:r>
          </w:p>
        </w:tc>
        <w:tc>
          <w:tcPr>
            <w:tcW w:w="1111" w:type="pct"/>
            <w:tcBorders>
              <w:top w:val="single" w:color="333333" w:sz="8" w:space="0"/>
              <w:left w:val="nil"/>
              <w:bottom w:val="single" w:color="333333" w:sz="8" w:space="0"/>
              <w:right w:val="single" w:color="333333" w:sz="8" w:space="0"/>
            </w:tcBorders>
            <w:shd w:val="clear" w:color="000000" w:fill="0070C0"/>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41101444.27</w:t>
            </w:r>
          </w:p>
        </w:tc>
        <w:tc>
          <w:tcPr>
            <w:tcW w:w="116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16738642846</w:t>
            </w:r>
          </w:p>
        </w:tc>
        <w:tc>
          <w:tcPr>
            <w:tcW w:w="975"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141383</w:t>
            </w:r>
          </w:p>
        </w:tc>
        <w:tc>
          <w:tcPr>
            <w:tcW w:w="1154"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eastAsia" w:ascii="宋体" w:hAnsi="宋体" w:eastAsia="宋体" w:cs="宋体"/>
                <w:b/>
                <w:i w:val="0"/>
                <w:color w:val="191919"/>
                <w:kern w:val="0"/>
                <w:sz w:val="21"/>
                <w:szCs w:val="21"/>
                <w:u w:val="none"/>
                <w:lang w:val="en-US" w:eastAsia="zh-CN" w:bidi="ar"/>
              </w:rPr>
              <w:t>55959662</w:t>
            </w:r>
          </w:p>
        </w:tc>
      </w:tr>
    </w:tbl>
    <w:p>
      <w:pPr>
        <w:rPr>
          <w:rFonts w:hint="eastAsia"/>
          <w:bCs/>
          <w:szCs w:val="21"/>
        </w:rPr>
      </w:pPr>
    </w:p>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3</w:t>
      </w:r>
      <w:r>
        <w:rPr>
          <w:rFonts w:hint="eastAsia" w:ascii="宋体" w:hAnsi="宋体"/>
          <w:b/>
          <w:sz w:val="30"/>
          <w:szCs w:val="30"/>
        </w:rPr>
        <w:t>月份全国航空煤油进出口统计数据</w:t>
      </w:r>
      <w:bookmarkEnd w:id="20"/>
    </w:p>
    <w:tbl>
      <w:tblPr>
        <w:tblStyle w:val="24"/>
        <w:tblpPr w:leftFromText="180" w:rightFromText="180" w:vertAnchor="text" w:horzAnchor="page" w:tblpX="1108" w:tblpY="307"/>
        <w:tblOverlap w:val="never"/>
        <w:tblW w:w="9510" w:type="dxa"/>
        <w:tblInd w:w="0" w:type="dxa"/>
        <w:shd w:val="clear" w:color="auto" w:fill="auto"/>
        <w:tblLayout w:type="autofit"/>
        <w:tblCellMar>
          <w:top w:w="0" w:type="dxa"/>
          <w:left w:w="0" w:type="dxa"/>
          <w:bottom w:w="0" w:type="dxa"/>
          <w:right w:w="0" w:type="dxa"/>
        </w:tblCellMar>
      </w:tblPr>
      <w:tblGrid>
        <w:gridCol w:w="2280"/>
        <w:gridCol w:w="1680"/>
        <w:gridCol w:w="1845"/>
        <w:gridCol w:w="1725"/>
        <w:gridCol w:w="1980"/>
      </w:tblGrid>
      <w:tr>
        <w:tblPrEx>
          <w:shd w:val="clear" w:color="auto" w:fill="auto"/>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6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84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72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19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415"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37200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21678300</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文莱</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1.592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1146</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缅甸</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284.151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213707</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1349.868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940486</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朝鲜</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11.912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8458</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387762.064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218691498</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497.157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379292</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41280.873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23435019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747.207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481719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304870.808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183558035</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老挝</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224.657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173057</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5.649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4913</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6508.366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4322709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42117.677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20777119</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马尔代夫</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72.263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54972</w:t>
            </w:r>
          </w:p>
        </w:tc>
      </w:tr>
      <w:tr>
        <w:tblPrEx>
          <w:tblCellMar>
            <w:top w:w="0" w:type="dxa"/>
            <w:left w:w="0" w:type="dxa"/>
            <w:bottom w:w="0" w:type="dxa"/>
            <w:right w:w="0" w:type="dxa"/>
          </w:tblCellMar>
        </w:tblPrEx>
        <w:trPr>
          <w:trHeight w:val="4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7728.33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2856643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尼泊尔联邦民主共和国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162.046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114513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99.155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70606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92140.515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51016077</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3116.866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2249580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262.703</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140730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89874.693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48389821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94462.38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48172018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86549.301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53841130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767.387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544390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13802.24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10172089</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1449.526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985768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7843.635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5524938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84070.042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46066024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0.974</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598</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1775.571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1263631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43.638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32821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82.19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59348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3056.997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2176996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1902.492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1357279</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118535.113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48725402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2649.341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1898373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299.455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210215</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479.759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355508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757.846</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537506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98819.033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56730742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48.464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33832</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1238.08</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895288</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马耳他</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15.02</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9326</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4372.399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3175781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12429.47</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8627584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乌克兰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38.024</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28673</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1350.445</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1021394</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17324.163</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12011975</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2382.79</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1736531</w:t>
            </w:r>
          </w:p>
        </w:tc>
      </w:tr>
      <w:tr>
        <w:tblPrEx>
          <w:tblCellMar>
            <w:top w:w="0" w:type="dxa"/>
            <w:left w:w="0" w:type="dxa"/>
            <w:bottom w:w="0" w:type="dxa"/>
            <w:right w:w="0" w:type="dxa"/>
          </w:tblCellMar>
        </w:tblPrEx>
        <w:trPr>
          <w:trHeight w:val="27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新西兰</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121.131</w:t>
            </w:r>
          </w:p>
        </w:tc>
        <w:tc>
          <w:tcPr>
            <w:tcW w:w="1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85952</w:t>
            </w:r>
          </w:p>
        </w:tc>
      </w:tr>
      <w:tr>
        <w:tblPrEx>
          <w:tblCellMar>
            <w:top w:w="0" w:type="dxa"/>
            <w:left w:w="0" w:type="dxa"/>
            <w:bottom w:w="0" w:type="dxa"/>
            <w:right w:w="0" w:type="dxa"/>
          </w:tblCellMar>
        </w:tblPrEx>
        <w:trPr>
          <w:trHeight w:val="300" w:hRule="atLeast"/>
        </w:trPr>
        <w:tc>
          <w:tcPr>
            <w:tcW w:w="22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6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94731.706</w:t>
            </w:r>
          </w:p>
        </w:tc>
        <w:tc>
          <w:tcPr>
            <w:tcW w:w="184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48318259</w:t>
            </w:r>
          </w:p>
        </w:tc>
        <w:tc>
          <w:tcPr>
            <w:tcW w:w="172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1478253.752</w:t>
            </w:r>
          </w:p>
        </w:tc>
        <w:tc>
          <w:tcPr>
            <w:tcW w:w="198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837521253</w:t>
            </w:r>
          </w:p>
        </w:tc>
      </w:tr>
    </w:tbl>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bookmarkStart w:id="21" w:name="_Toc533771879"/>
    </w:p>
    <w:bookmarkEnd w:id="21"/>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74199B"/>
    <w:rsid w:val="018C042F"/>
    <w:rsid w:val="019139BB"/>
    <w:rsid w:val="01A95B6A"/>
    <w:rsid w:val="01BD1D63"/>
    <w:rsid w:val="01FE2CFE"/>
    <w:rsid w:val="029F2908"/>
    <w:rsid w:val="02AC60AA"/>
    <w:rsid w:val="02D85611"/>
    <w:rsid w:val="02FE589D"/>
    <w:rsid w:val="03211A1D"/>
    <w:rsid w:val="0324523D"/>
    <w:rsid w:val="03331E75"/>
    <w:rsid w:val="034407FB"/>
    <w:rsid w:val="034F6246"/>
    <w:rsid w:val="03562125"/>
    <w:rsid w:val="035F2635"/>
    <w:rsid w:val="036D5E24"/>
    <w:rsid w:val="037413B6"/>
    <w:rsid w:val="03A57F11"/>
    <w:rsid w:val="044E5434"/>
    <w:rsid w:val="048101D3"/>
    <w:rsid w:val="048C7CAA"/>
    <w:rsid w:val="04987F00"/>
    <w:rsid w:val="04A45D71"/>
    <w:rsid w:val="04BF7371"/>
    <w:rsid w:val="04F36106"/>
    <w:rsid w:val="053B1A3D"/>
    <w:rsid w:val="05C01E8E"/>
    <w:rsid w:val="05D708A6"/>
    <w:rsid w:val="06300679"/>
    <w:rsid w:val="067746D4"/>
    <w:rsid w:val="069C6A8D"/>
    <w:rsid w:val="06B9287B"/>
    <w:rsid w:val="06DA3028"/>
    <w:rsid w:val="06F31CB3"/>
    <w:rsid w:val="0718687A"/>
    <w:rsid w:val="07252677"/>
    <w:rsid w:val="076C6634"/>
    <w:rsid w:val="07820AB4"/>
    <w:rsid w:val="079B346A"/>
    <w:rsid w:val="07D15C8A"/>
    <w:rsid w:val="07E76A1F"/>
    <w:rsid w:val="0809715C"/>
    <w:rsid w:val="080A4814"/>
    <w:rsid w:val="0820276D"/>
    <w:rsid w:val="08573B5A"/>
    <w:rsid w:val="086F6B65"/>
    <w:rsid w:val="08CD17C0"/>
    <w:rsid w:val="09371EEF"/>
    <w:rsid w:val="093F6B95"/>
    <w:rsid w:val="095B63CA"/>
    <w:rsid w:val="09717916"/>
    <w:rsid w:val="098251C0"/>
    <w:rsid w:val="09F11ACB"/>
    <w:rsid w:val="09FB6243"/>
    <w:rsid w:val="0A29795D"/>
    <w:rsid w:val="0A2D68BE"/>
    <w:rsid w:val="0A3C22BA"/>
    <w:rsid w:val="0A5B4AF5"/>
    <w:rsid w:val="0AA33DAF"/>
    <w:rsid w:val="0AC60296"/>
    <w:rsid w:val="0AD32487"/>
    <w:rsid w:val="0B0715B1"/>
    <w:rsid w:val="0B400CB2"/>
    <w:rsid w:val="0B421176"/>
    <w:rsid w:val="0B721C38"/>
    <w:rsid w:val="0BCE6861"/>
    <w:rsid w:val="0BDC4FBC"/>
    <w:rsid w:val="0C08318F"/>
    <w:rsid w:val="0C1E7ABD"/>
    <w:rsid w:val="0C586B50"/>
    <w:rsid w:val="0C586E44"/>
    <w:rsid w:val="0CE32FB8"/>
    <w:rsid w:val="0CE44838"/>
    <w:rsid w:val="0D731CA1"/>
    <w:rsid w:val="0DA370DA"/>
    <w:rsid w:val="0DA7099A"/>
    <w:rsid w:val="0DB01CE1"/>
    <w:rsid w:val="0DC46B30"/>
    <w:rsid w:val="0DD115AA"/>
    <w:rsid w:val="0DEA06F6"/>
    <w:rsid w:val="0E04318C"/>
    <w:rsid w:val="0E274301"/>
    <w:rsid w:val="0E31785B"/>
    <w:rsid w:val="0E8B35C9"/>
    <w:rsid w:val="0EAF107B"/>
    <w:rsid w:val="0EC1627E"/>
    <w:rsid w:val="0ED36950"/>
    <w:rsid w:val="0EF248CA"/>
    <w:rsid w:val="0F034AA6"/>
    <w:rsid w:val="0F125E7D"/>
    <w:rsid w:val="0F26373F"/>
    <w:rsid w:val="0F446A41"/>
    <w:rsid w:val="0F5808CC"/>
    <w:rsid w:val="0F666559"/>
    <w:rsid w:val="0F7D42FE"/>
    <w:rsid w:val="0F820E85"/>
    <w:rsid w:val="0FC910AB"/>
    <w:rsid w:val="101C7D06"/>
    <w:rsid w:val="1046198D"/>
    <w:rsid w:val="10CE39DE"/>
    <w:rsid w:val="10FA6B68"/>
    <w:rsid w:val="117F7F48"/>
    <w:rsid w:val="1265739D"/>
    <w:rsid w:val="12662947"/>
    <w:rsid w:val="13267B35"/>
    <w:rsid w:val="134A6D86"/>
    <w:rsid w:val="13594CF7"/>
    <w:rsid w:val="135A728A"/>
    <w:rsid w:val="138744BB"/>
    <w:rsid w:val="13E7373B"/>
    <w:rsid w:val="144B6D3F"/>
    <w:rsid w:val="147759A4"/>
    <w:rsid w:val="147A75E5"/>
    <w:rsid w:val="14BE2339"/>
    <w:rsid w:val="14D56BF6"/>
    <w:rsid w:val="151B73F8"/>
    <w:rsid w:val="15211EFF"/>
    <w:rsid w:val="15353F74"/>
    <w:rsid w:val="154F205D"/>
    <w:rsid w:val="15615E0F"/>
    <w:rsid w:val="15B939D5"/>
    <w:rsid w:val="15D83B2E"/>
    <w:rsid w:val="15E25134"/>
    <w:rsid w:val="16600954"/>
    <w:rsid w:val="16734EEE"/>
    <w:rsid w:val="16E22B33"/>
    <w:rsid w:val="17116BE2"/>
    <w:rsid w:val="17194D7A"/>
    <w:rsid w:val="172078E9"/>
    <w:rsid w:val="172D12A6"/>
    <w:rsid w:val="173C1948"/>
    <w:rsid w:val="17464B66"/>
    <w:rsid w:val="175B5D81"/>
    <w:rsid w:val="17652D76"/>
    <w:rsid w:val="177778D5"/>
    <w:rsid w:val="177C4324"/>
    <w:rsid w:val="18704C74"/>
    <w:rsid w:val="18CA4E8D"/>
    <w:rsid w:val="191B1724"/>
    <w:rsid w:val="195D29F2"/>
    <w:rsid w:val="196465FF"/>
    <w:rsid w:val="198154A5"/>
    <w:rsid w:val="19850C75"/>
    <w:rsid w:val="198A3D94"/>
    <w:rsid w:val="198F27F8"/>
    <w:rsid w:val="19B1121F"/>
    <w:rsid w:val="1A051BC1"/>
    <w:rsid w:val="1A555BDB"/>
    <w:rsid w:val="1A660755"/>
    <w:rsid w:val="1A703BC4"/>
    <w:rsid w:val="1A7262E8"/>
    <w:rsid w:val="1ACC4B7F"/>
    <w:rsid w:val="1AE7665A"/>
    <w:rsid w:val="1B816F9A"/>
    <w:rsid w:val="1B9C1B61"/>
    <w:rsid w:val="1BFE2971"/>
    <w:rsid w:val="1C01336C"/>
    <w:rsid w:val="1C1669BA"/>
    <w:rsid w:val="1C1C3102"/>
    <w:rsid w:val="1C2230E8"/>
    <w:rsid w:val="1C2E2C8D"/>
    <w:rsid w:val="1CDC7753"/>
    <w:rsid w:val="1D2B7B9F"/>
    <w:rsid w:val="1D305274"/>
    <w:rsid w:val="1D3F5714"/>
    <w:rsid w:val="1D466011"/>
    <w:rsid w:val="1D547E28"/>
    <w:rsid w:val="1D655DB6"/>
    <w:rsid w:val="1D980258"/>
    <w:rsid w:val="1D9C1F14"/>
    <w:rsid w:val="1DB113DA"/>
    <w:rsid w:val="1DFB4E0B"/>
    <w:rsid w:val="1E2278F4"/>
    <w:rsid w:val="1E5542CC"/>
    <w:rsid w:val="1E6D6ABE"/>
    <w:rsid w:val="1E755624"/>
    <w:rsid w:val="1EB15364"/>
    <w:rsid w:val="1EBE2AB5"/>
    <w:rsid w:val="1F092A2D"/>
    <w:rsid w:val="1F6B3A34"/>
    <w:rsid w:val="1F751CBE"/>
    <w:rsid w:val="1F963D6D"/>
    <w:rsid w:val="1F98363F"/>
    <w:rsid w:val="1FCD7675"/>
    <w:rsid w:val="1FFC155B"/>
    <w:rsid w:val="20010BD0"/>
    <w:rsid w:val="20137C9A"/>
    <w:rsid w:val="20261774"/>
    <w:rsid w:val="203A4D2E"/>
    <w:rsid w:val="205B78B2"/>
    <w:rsid w:val="206901B1"/>
    <w:rsid w:val="2078018B"/>
    <w:rsid w:val="20AD55FF"/>
    <w:rsid w:val="20C12FDC"/>
    <w:rsid w:val="211001E9"/>
    <w:rsid w:val="21147D43"/>
    <w:rsid w:val="2119067D"/>
    <w:rsid w:val="21216F1B"/>
    <w:rsid w:val="215A4604"/>
    <w:rsid w:val="21862B07"/>
    <w:rsid w:val="21B2244C"/>
    <w:rsid w:val="224E7428"/>
    <w:rsid w:val="2261560B"/>
    <w:rsid w:val="22944164"/>
    <w:rsid w:val="229674ED"/>
    <w:rsid w:val="22AC485D"/>
    <w:rsid w:val="22D174A6"/>
    <w:rsid w:val="22E67532"/>
    <w:rsid w:val="230F16FC"/>
    <w:rsid w:val="231C2E7E"/>
    <w:rsid w:val="232A4048"/>
    <w:rsid w:val="233344E4"/>
    <w:rsid w:val="23B946BE"/>
    <w:rsid w:val="24322A62"/>
    <w:rsid w:val="24554136"/>
    <w:rsid w:val="245C2B3F"/>
    <w:rsid w:val="24836E94"/>
    <w:rsid w:val="24974A9D"/>
    <w:rsid w:val="24A21A55"/>
    <w:rsid w:val="24BC74B9"/>
    <w:rsid w:val="250D3E66"/>
    <w:rsid w:val="25740BBD"/>
    <w:rsid w:val="25955E96"/>
    <w:rsid w:val="259B6E31"/>
    <w:rsid w:val="25B904A8"/>
    <w:rsid w:val="261447E7"/>
    <w:rsid w:val="26442276"/>
    <w:rsid w:val="26C17431"/>
    <w:rsid w:val="26C94300"/>
    <w:rsid w:val="26DF7D7C"/>
    <w:rsid w:val="26EE1723"/>
    <w:rsid w:val="27080E2E"/>
    <w:rsid w:val="270D21C6"/>
    <w:rsid w:val="27A7464B"/>
    <w:rsid w:val="28092464"/>
    <w:rsid w:val="283F32F7"/>
    <w:rsid w:val="28611CC2"/>
    <w:rsid w:val="286D2B55"/>
    <w:rsid w:val="28721E59"/>
    <w:rsid w:val="28892109"/>
    <w:rsid w:val="28A325B7"/>
    <w:rsid w:val="28B71571"/>
    <w:rsid w:val="28BA104F"/>
    <w:rsid w:val="28EF11D1"/>
    <w:rsid w:val="29D84ABC"/>
    <w:rsid w:val="2A252C4C"/>
    <w:rsid w:val="2A951C8C"/>
    <w:rsid w:val="2A9B26F1"/>
    <w:rsid w:val="2AB25451"/>
    <w:rsid w:val="2AC063B7"/>
    <w:rsid w:val="2ACD0874"/>
    <w:rsid w:val="2AD267B8"/>
    <w:rsid w:val="2B0D737C"/>
    <w:rsid w:val="2B0F004D"/>
    <w:rsid w:val="2B154A20"/>
    <w:rsid w:val="2B6638DE"/>
    <w:rsid w:val="2BED5A7C"/>
    <w:rsid w:val="2BF858F4"/>
    <w:rsid w:val="2BFC6315"/>
    <w:rsid w:val="2BFD5564"/>
    <w:rsid w:val="2C823F4E"/>
    <w:rsid w:val="2CAD067B"/>
    <w:rsid w:val="2CFD0FC0"/>
    <w:rsid w:val="2D050EBF"/>
    <w:rsid w:val="2D4D17E5"/>
    <w:rsid w:val="2D892B5C"/>
    <w:rsid w:val="2DF5641D"/>
    <w:rsid w:val="2DF644E3"/>
    <w:rsid w:val="2E2F56E6"/>
    <w:rsid w:val="2E4A7323"/>
    <w:rsid w:val="2EA56E95"/>
    <w:rsid w:val="2ED4404D"/>
    <w:rsid w:val="2F13732E"/>
    <w:rsid w:val="2FD85581"/>
    <w:rsid w:val="2FE513F6"/>
    <w:rsid w:val="2FE91ED2"/>
    <w:rsid w:val="2FF22D62"/>
    <w:rsid w:val="302909D7"/>
    <w:rsid w:val="30320AA9"/>
    <w:rsid w:val="30A00CB5"/>
    <w:rsid w:val="30E73B0D"/>
    <w:rsid w:val="30FC61C2"/>
    <w:rsid w:val="31363ABC"/>
    <w:rsid w:val="314614BA"/>
    <w:rsid w:val="31490B7D"/>
    <w:rsid w:val="3189708E"/>
    <w:rsid w:val="318B1F3D"/>
    <w:rsid w:val="319434F7"/>
    <w:rsid w:val="31AE660C"/>
    <w:rsid w:val="31B05A1F"/>
    <w:rsid w:val="31FC35FB"/>
    <w:rsid w:val="32010D04"/>
    <w:rsid w:val="320A7836"/>
    <w:rsid w:val="32574FD8"/>
    <w:rsid w:val="325C547C"/>
    <w:rsid w:val="327C3888"/>
    <w:rsid w:val="32945DAC"/>
    <w:rsid w:val="32CE45BC"/>
    <w:rsid w:val="32D9201A"/>
    <w:rsid w:val="32E42D0F"/>
    <w:rsid w:val="330D4D94"/>
    <w:rsid w:val="33435E16"/>
    <w:rsid w:val="339C5454"/>
    <w:rsid w:val="34005D95"/>
    <w:rsid w:val="34173060"/>
    <w:rsid w:val="342E5EA7"/>
    <w:rsid w:val="34474FF1"/>
    <w:rsid w:val="34B63281"/>
    <w:rsid w:val="34C105B0"/>
    <w:rsid w:val="34D564C3"/>
    <w:rsid w:val="34DC79C0"/>
    <w:rsid w:val="34EC4B86"/>
    <w:rsid w:val="3572663B"/>
    <w:rsid w:val="357D4C50"/>
    <w:rsid w:val="35AF3549"/>
    <w:rsid w:val="35EE7B1B"/>
    <w:rsid w:val="35F65FAD"/>
    <w:rsid w:val="364A7C84"/>
    <w:rsid w:val="36605016"/>
    <w:rsid w:val="366B7A53"/>
    <w:rsid w:val="368259EE"/>
    <w:rsid w:val="36C76D40"/>
    <w:rsid w:val="36F44E23"/>
    <w:rsid w:val="371D2966"/>
    <w:rsid w:val="373062E8"/>
    <w:rsid w:val="37785098"/>
    <w:rsid w:val="37A6234C"/>
    <w:rsid w:val="37AF1535"/>
    <w:rsid w:val="37CB57CA"/>
    <w:rsid w:val="37D337D1"/>
    <w:rsid w:val="38781C56"/>
    <w:rsid w:val="38C30240"/>
    <w:rsid w:val="38E95212"/>
    <w:rsid w:val="391C1C7A"/>
    <w:rsid w:val="39600E80"/>
    <w:rsid w:val="3A01261A"/>
    <w:rsid w:val="3A1A4CEB"/>
    <w:rsid w:val="3A247020"/>
    <w:rsid w:val="3A446ABC"/>
    <w:rsid w:val="3A481E25"/>
    <w:rsid w:val="3A562007"/>
    <w:rsid w:val="3A632ED3"/>
    <w:rsid w:val="3A6F255F"/>
    <w:rsid w:val="3A90237F"/>
    <w:rsid w:val="3B0A7991"/>
    <w:rsid w:val="3B100A85"/>
    <w:rsid w:val="3B336F2F"/>
    <w:rsid w:val="3B691338"/>
    <w:rsid w:val="3BB46CD1"/>
    <w:rsid w:val="3BB6128D"/>
    <w:rsid w:val="3BD837A5"/>
    <w:rsid w:val="3C317DDD"/>
    <w:rsid w:val="3C742BEB"/>
    <w:rsid w:val="3C8E02B7"/>
    <w:rsid w:val="3CB004C5"/>
    <w:rsid w:val="3CB35047"/>
    <w:rsid w:val="3CB47F7E"/>
    <w:rsid w:val="3CD82621"/>
    <w:rsid w:val="3CEA693F"/>
    <w:rsid w:val="3D475AFB"/>
    <w:rsid w:val="3D502422"/>
    <w:rsid w:val="3D5404DD"/>
    <w:rsid w:val="3D6A48AA"/>
    <w:rsid w:val="3D7C1281"/>
    <w:rsid w:val="3D8D1DDC"/>
    <w:rsid w:val="3DD2333F"/>
    <w:rsid w:val="3E037731"/>
    <w:rsid w:val="3E0F09D9"/>
    <w:rsid w:val="3E305EE4"/>
    <w:rsid w:val="3E3D25F5"/>
    <w:rsid w:val="3E752011"/>
    <w:rsid w:val="3E8E2505"/>
    <w:rsid w:val="3E9953AC"/>
    <w:rsid w:val="3F310E2B"/>
    <w:rsid w:val="3F4D19AF"/>
    <w:rsid w:val="3F837DDF"/>
    <w:rsid w:val="3FA21405"/>
    <w:rsid w:val="3FCB012B"/>
    <w:rsid w:val="3FEE1DE8"/>
    <w:rsid w:val="40171145"/>
    <w:rsid w:val="402104DC"/>
    <w:rsid w:val="40742438"/>
    <w:rsid w:val="40932E75"/>
    <w:rsid w:val="40BC5D67"/>
    <w:rsid w:val="410D75D5"/>
    <w:rsid w:val="411E3000"/>
    <w:rsid w:val="41402C24"/>
    <w:rsid w:val="414E7345"/>
    <w:rsid w:val="41696F7F"/>
    <w:rsid w:val="417C0D06"/>
    <w:rsid w:val="418B25AA"/>
    <w:rsid w:val="41925E9B"/>
    <w:rsid w:val="419D7C05"/>
    <w:rsid w:val="41E3266D"/>
    <w:rsid w:val="41F604FA"/>
    <w:rsid w:val="420F24CA"/>
    <w:rsid w:val="421C0994"/>
    <w:rsid w:val="424F02B6"/>
    <w:rsid w:val="427133C0"/>
    <w:rsid w:val="42715180"/>
    <w:rsid w:val="42B45768"/>
    <w:rsid w:val="42FD1410"/>
    <w:rsid w:val="431F563A"/>
    <w:rsid w:val="432D0CD2"/>
    <w:rsid w:val="4348259E"/>
    <w:rsid w:val="434C0977"/>
    <w:rsid w:val="43705840"/>
    <w:rsid w:val="43AF6845"/>
    <w:rsid w:val="44615639"/>
    <w:rsid w:val="44762FC6"/>
    <w:rsid w:val="448F5706"/>
    <w:rsid w:val="44944331"/>
    <w:rsid w:val="44A538D4"/>
    <w:rsid w:val="44B05905"/>
    <w:rsid w:val="44B67F0B"/>
    <w:rsid w:val="451317C4"/>
    <w:rsid w:val="45575AD5"/>
    <w:rsid w:val="459B774E"/>
    <w:rsid w:val="460D21F2"/>
    <w:rsid w:val="460E0469"/>
    <w:rsid w:val="46A075FA"/>
    <w:rsid w:val="46D7121E"/>
    <w:rsid w:val="46FF57CE"/>
    <w:rsid w:val="47C254B8"/>
    <w:rsid w:val="47DF082A"/>
    <w:rsid w:val="47EB5003"/>
    <w:rsid w:val="483A31DC"/>
    <w:rsid w:val="48942C25"/>
    <w:rsid w:val="4898666C"/>
    <w:rsid w:val="489B75DE"/>
    <w:rsid w:val="48B5305A"/>
    <w:rsid w:val="48B63FE7"/>
    <w:rsid w:val="48CC7D6E"/>
    <w:rsid w:val="48EB5A5C"/>
    <w:rsid w:val="490B579F"/>
    <w:rsid w:val="492A1C6E"/>
    <w:rsid w:val="4969605D"/>
    <w:rsid w:val="496D1F2A"/>
    <w:rsid w:val="498A3B85"/>
    <w:rsid w:val="49AE3287"/>
    <w:rsid w:val="49C65C46"/>
    <w:rsid w:val="49D021B0"/>
    <w:rsid w:val="49D7375C"/>
    <w:rsid w:val="4A11668C"/>
    <w:rsid w:val="4A3546EB"/>
    <w:rsid w:val="4A4A48A6"/>
    <w:rsid w:val="4A526073"/>
    <w:rsid w:val="4A56215E"/>
    <w:rsid w:val="4A5D4A40"/>
    <w:rsid w:val="4A7E40F2"/>
    <w:rsid w:val="4A8561F1"/>
    <w:rsid w:val="4A943BC6"/>
    <w:rsid w:val="4AAF17A9"/>
    <w:rsid w:val="4B3D4E30"/>
    <w:rsid w:val="4BB317A2"/>
    <w:rsid w:val="4BC27F8D"/>
    <w:rsid w:val="4BCC6CCE"/>
    <w:rsid w:val="4BE44E6C"/>
    <w:rsid w:val="4BF446B8"/>
    <w:rsid w:val="4C061338"/>
    <w:rsid w:val="4C497215"/>
    <w:rsid w:val="4C5D0817"/>
    <w:rsid w:val="4C5E08E0"/>
    <w:rsid w:val="4CBF4AE9"/>
    <w:rsid w:val="4D0A349B"/>
    <w:rsid w:val="4D0D2E78"/>
    <w:rsid w:val="4D0F04ED"/>
    <w:rsid w:val="4D3A0411"/>
    <w:rsid w:val="4D427C91"/>
    <w:rsid w:val="4D7706F2"/>
    <w:rsid w:val="4DBE12C2"/>
    <w:rsid w:val="4DCE6ED3"/>
    <w:rsid w:val="4E333BBB"/>
    <w:rsid w:val="4E6A06E9"/>
    <w:rsid w:val="4EC206BE"/>
    <w:rsid w:val="4EC951FF"/>
    <w:rsid w:val="4ED04B02"/>
    <w:rsid w:val="4EE96853"/>
    <w:rsid w:val="4F105F02"/>
    <w:rsid w:val="4F121BEA"/>
    <w:rsid w:val="4F4C2971"/>
    <w:rsid w:val="4F566ACF"/>
    <w:rsid w:val="4F8028EE"/>
    <w:rsid w:val="4FAD0DF7"/>
    <w:rsid w:val="4FBE1CEA"/>
    <w:rsid w:val="4FC15F00"/>
    <w:rsid w:val="503D6ACE"/>
    <w:rsid w:val="50ED0D36"/>
    <w:rsid w:val="51130AD6"/>
    <w:rsid w:val="51147068"/>
    <w:rsid w:val="512452DA"/>
    <w:rsid w:val="51777BA1"/>
    <w:rsid w:val="51952A88"/>
    <w:rsid w:val="51EE27E3"/>
    <w:rsid w:val="52101F45"/>
    <w:rsid w:val="5234477C"/>
    <w:rsid w:val="52515077"/>
    <w:rsid w:val="52B118DE"/>
    <w:rsid w:val="52CB6EC0"/>
    <w:rsid w:val="52D061DA"/>
    <w:rsid w:val="52D211F8"/>
    <w:rsid w:val="5315442E"/>
    <w:rsid w:val="5341530E"/>
    <w:rsid w:val="53434396"/>
    <w:rsid w:val="534D112E"/>
    <w:rsid w:val="53761C93"/>
    <w:rsid w:val="5393301A"/>
    <w:rsid w:val="53971518"/>
    <w:rsid w:val="5399073D"/>
    <w:rsid w:val="53AB2CD5"/>
    <w:rsid w:val="53B91D8C"/>
    <w:rsid w:val="53E56E6E"/>
    <w:rsid w:val="53F17662"/>
    <w:rsid w:val="54010C17"/>
    <w:rsid w:val="542C2C82"/>
    <w:rsid w:val="54661F54"/>
    <w:rsid w:val="546C3F2D"/>
    <w:rsid w:val="547F46DA"/>
    <w:rsid w:val="549F75FE"/>
    <w:rsid w:val="54A51CC5"/>
    <w:rsid w:val="556D2811"/>
    <w:rsid w:val="55CE1AD5"/>
    <w:rsid w:val="55ED37B8"/>
    <w:rsid w:val="55F04C52"/>
    <w:rsid w:val="55F35D23"/>
    <w:rsid w:val="56281CBC"/>
    <w:rsid w:val="56333685"/>
    <w:rsid w:val="56A332D5"/>
    <w:rsid w:val="56C325A5"/>
    <w:rsid w:val="56FB32FA"/>
    <w:rsid w:val="570703AF"/>
    <w:rsid w:val="572D602C"/>
    <w:rsid w:val="57364D30"/>
    <w:rsid w:val="573D71D1"/>
    <w:rsid w:val="57A54C20"/>
    <w:rsid w:val="57B937A9"/>
    <w:rsid w:val="57C34B39"/>
    <w:rsid w:val="58A22BE9"/>
    <w:rsid w:val="58E44026"/>
    <w:rsid w:val="58E67C57"/>
    <w:rsid w:val="58E94F10"/>
    <w:rsid w:val="58FA15B8"/>
    <w:rsid w:val="58FF06B6"/>
    <w:rsid w:val="591C3F4A"/>
    <w:rsid w:val="593E6CC6"/>
    <w:rsid w:val="594B0A62"/>
    <w:rsid w:val="595461B1"/>
    <w:rsid w:val="59591BB8"/>
    <w:rsid w:val="59820786"/>
    <w:rsid w:val="59A774F2"/>
    <w:rsid w:val="59AD15AB"/>
    <w:rsid w:val="59E474BD"/>
    <w:rsid w:val="59FC6B89"/>
    <w:rsid w:val="5A261D0E"/>
    <w:rsid w:val="5A412A61"/>
    <w:rsid w:val="5A527BDD"/>
    <w:rsid w:val="5A905E59"/>
    <w:rsid w:val="5A9311E7"/>
    <w:rsid w:val="5AF86253"/>
    <w:rsid w:val="5B081862"/>
    <w:rsid w:val="5B340596"/>
    <w:rsid w:val="5B4B70AC"/>
    <w:rsid w:val="5BB41290"/>
    <w:rsid w:val="5BFA7DB5"/>
    <w:rsid w:val="5C075DA6"/>
    <w:rsid w:val="5C9E10E9"/>
    <w:rsid w:val="5CA11D7F"/>
    <w:rsid w:val="5CDA6371"/>
    <w:rsid w:val="5CFC64A7"/>
    <w:rsid w:val="5D1516BF"/>
    <w:rsid w:val="5D1569ED"/>
    <w:rsid w:val="5D1B2A4F"/>
    <w:rsid w:val="5D4F34F7"/>
    <w:rsid w:val="5D623C65"/>
    <w:rsid w:val="5DC477E0"/>
    <w:rsid w:val="5DD05318"/>
    <w:rsid w:val="5DEF6C2B"/>
    <w:rsid w:val="5DF22741"/>
    <w:rsid w:val="5E2D7C7A"/>
    <w:rsid w:val="5E4E3F80"/>
    <w:rsid w:val="5E5F4BD4"/>
    <w:rsid w:val="5E852B0D"/>
    <w:rsid w:val="5ED20F44"/>
    <w:rsid w:val="5EE7073E"/>
    <w:rsid w:val="5F123BC6"/>
    <w:rsid w:val="5F1A7A37"/>
    <w:rsid w:val="5F474C09"/>
    <w:rsid w:val="5F63419E"/>
    <w:rsid w:val="5F736746"/>
    <w:rsid w:val="5F880842"/>
    <w:rsid w:val="5FD95A66"/>
    <w:rsid w:val="5FFC4765"/>
    <w:rsid w:val="60046C0F"/>
    <w:rsid w:val="602717FC"/>
    <w:rsid w:val="602C01A9"/>
    <w:rsid w:val="603B1B21"/>
    <w:rsid w:val="607F2EF2"/>
    <w:rsid w:val="60D43BFA"/>
    <w:rsid w:val="610D2A7D"/>
    <w:rsid w:val="61111BF1"/>
    <w:rsid w:val="61175A9A"/>
    <w:rsid w:val="61375BEC"/>
    <w:rsid w:val="615F1F60"/>
    <w:rsid w:val="61BC217C"/>
    <w:rsid w:val="61D9772A"/>
    <w:rsid w:val="61DB33CF"/>
    <w:rsid w:val="61EF0933"/>
    <w:rsid w:val="61F2327B"/>
    <w:rsid w:val="61F6471A"/>
    <w:rsid w:val="625E2011"/>
    <w:rsid w:val="627803DA"/>
    <w:rsid w:val="62921FA4"/>
    <w:rsid w:val="62EF16C5"/>
    <w:rsid w:val="63196725"/>
    <w:rsid w:val="631F3FB6"/>
    <w:rsid w:val="63356B20"/>
    <w:rsid w:val="63BD1F88"/>
    <w:rsid w:val="63F34E27"/>
    <w:rsid w:val="642E2D6E"/>
    <w:rsid w:val="642F141D"/>
    <w:rsid w:val="6439179D"/>
    <w:rsid w:val="643A7D3D"/>
    <w:rsid w:val="645E071A"/>
    <w:rsid w:val="64C61C82"/>
    <w:rsid w:val="64D124DB"/>
    <w:rsid w:val="65233DA8"/>
    <w:rsid w:val="652A5D21"/>
    <w:rsid w:val="65480BBE"/>
    <w:rsid w:val="65B955CA"/>
    <w:rsid w:val="65BE6C54"/>
    <w:rsid w:val="65CC3546"/>
    <w:rsid w:val="661A0E12"/>
    <w:rsid w:val="66214D7C"/>
    <w:rsid w:val="66B56D61"/>
    <w:rsid w:val="66B56D68"/>
    <w:rsid w:val="66EA1480"/>
    <w:rsid w:val="67056631"/>
    <w:rsid w:val="6779797F"/>
    <w:rsid w:val="6789047F"/>
    <w:rsid w:val="67A720F6"/>
    <w:rsid w:val="68006207"/>
    <w:rsid w:val="68382592"/>
    <w:rsid w:val="68A742AD"/>
    <w:rsid w:val="68C731B8"/>
    <w:rsid w:val="691052CA"/>
    <w:rsid w:val="69194464"/>
    <w:rsid w:val="69312B59"/>
    <w:rsid w:val="69446209"/>
    <w:rsid w:val="698B1B24"/>
    <w:rsid w:val="69BB0755"/>
    <w:rsid w:val="6A7A60F7"/>
    <w:rsid w:val="6AEE1969"/>
    <w:rsid w:val="6B0A125F"/>
    <w:rsid w:val="6B23484A"/>
    <w:rsid w:val="6B30457A"/>
    <w:rsid w:val="6B43702A"/>
    <w:rsid w:val="6B5A1EC9"/>
    <w:rsid w:val="6B7308B4"/>
    <w:rsid w:val="6BA2498F"/>
    <w:rsid w:val="6BBC51E6"/>
    <w:rsid w:val="6BCA0F7D"/>
    <w:rsid w:val="6BDE4DDD"/>
    <w:rsid w:val="6BE82C3E"/>
    <w:rsid w:val="6BE972DB"/>
    <w:rsid w:val="6BFE0452"/>
    <w:rsid w:val="6C0F2440"/>
    <w:rsid w:val="6C176418"/>
    <w:rsid w:val="6C392A9F"/>
    <w:rsid w:val="6C5973BD"/>
    <w:rsid w:val="6C762792"/>
    <w:rsid w:val="6C801375"/>
    <w:rsid w:val="6C822E35"/>
    <w:rsid w:val="6CEF6EBD"/>
    <w:rsid w:val="6CF01C95"/>
    <w:rsid w:val="6CF542B7"/>
    <w:rsid w:val="6D18295E"/>
    <w:rsid w:val="6D206AE2"/>
    <w:rsid w:val="6DD23F1E"/>
    <w:rsid w:val="6DEE2081"/>
    <w:rsid w:val="6E336938"/>
    <w:rsid w:val="6E5D68D3"/>
    <w:rsid w:val="6E7251F0"/>
    <w:rsid w:val="6E757524"/>
    <w:rsid w:val="6E7934F3"/>
    <w:rsid w:val="6EAD6286"/>
    <w:rsid w:val="6EB24C59"/>
    <w:rsid w:val="6EBD3CCD"/>
    <w:rsid w:val="6F2428C0"/>
    <w:rsid w:val="6F591B5D"/>
    <w:rsid w:val="6F7E65DB"/>
    <w:rsid w:val="6F981073"/>
    <w:rsid w:val="705F37D3"/>
    <w:rsid w:val="709143C4"/>
    <w:rsid w:val="70930271"/>
    <w:rsid w:val="70DB5146"/>
    <w:rsid w:val="712776C4"/>
    <w:rsid w:val="7181738B"/>
    <w:rsid w:val="71820038"/>
    <w:rsid w:val="71990145"/>
    <w:rsid w:val="71C90ED8"/>
    <w:rsid w:val="71D72430"/>
    <w:rsid w:val="71E12038"/>
    <w:rsid w:val="72112B83"/>
    <w:rsid w:val="72412901"/>
    <w:rsid w:val="72887B37"/>
    <w:rsid w:val="72910320"/>
    <w:rsid w:val="72BD6DA9"/>
    <w:rsid w:val="72CB01B8"/>
    <w:rsid w:val="73092FAA"/>
    <w:rsid w:val="734608F5"/>
    <w:rsid w:val="736D4BAC"/>
    <w:rsid w:val="74090510"/>
    <w:rsid w:val="740E2D2D"/>
    <w:rsid w:val="746B6757"/>
    <w:rsid w:val="747B5C9D"/>
    <w:rsid w:val="747F1177"/>
    <w:rsid w:val="748028C0"/>
    <w:rsid w:val="74C768EE"/>
    <w:rsid w:val="74E97F38"/>
    <w:rsid w:val="74F13E40"/>
    <w:rsid w:val="752A3F7B"/>
    <w:rsid w:val="759A2104"/>
    <w:rsid w:val="75B35E00"/>
    <w:rsid w:val="765B6CE9"/>
    <w:rsid w:val="766852F0"/>
    <w:rsid w:val="766C7968"/>
    <w:rsid w:val="76936F16"/>
    <w:rsid w:val="76A64EB2"/>
    <w:rsid w:val="76BC1014"/>
    <w:rsid w:val="77025DC3"/>
    <w:rsid w:val="772C68C6"/>
    <w:rsid w:val="776C53FF"/>
    <w:rsid w:val="7781654E"/>
    <w:rsid w:val="779231D8"/>
    <w:rsid w:val="77B92312"/>
    <w:rsid w:val="7827423F"/>
    <w:rsid w:val="7850391E"/>
    <w:rsid w:val="78703EBE"/>
    <w:rsid w:val="78805A36"/>
    <w:rsid w:val="78830880"/>
    <w:rsid w:val="78AE0946"/>
    <w:rsid w:val="78D17516"/>
    <w:rsid w:val="7911644D"/>
    <w:rsid w:val="79331EC1"/>
    <w:rsid w:val="79404911"/>
    <w:rsid w:val="794D0D3C"/>
    <w:rsid w:val="7986601A"/>
    <w:rsid w:val="7993616D"/>
    <w:rsid w:val="799D69BF"/>
    <w:rsid w:val="79AE14B2"/>
    <w:rsid w:val="79CE4B72"/>
    <w:rsid w:val="7A055366"/>
    <w:rsid w:val="7A292C38"/>
    <w:rsid w:val="7A5F22B4"/>
    <w:rsid w:val="7A680094"/>
    <w:rsid w:val="7A7508D5"/>
    <w:rsid w:val="7A81102C"/>
    <w:rsid w:val="7AA37ECA"/>
    <w:rsid w:val="7AB16073"/>
    <w:rsid w:val="7ABB5514"/>
    <w:rsid w:val="7ADE3222"/>
    <w:rsid w:val="7AF04DB0"/>
    <w:rsid w:val="7B1C1737"/>
    <w:rsid w:val="7B322761"/>
    <w:rsid w:val="7B3C2640"/>
    <w:rsid w:val="7B4443D1"/>
    <w:rsid w:val="7BB43296"/>
    <w:rsid w:val="7BDE6C84"/>
    <w:rsid w:val="7CA76A22"/>
    <w:rsid w:val="7CCC4E54"/>
    <w:rsid w:val="7CEB2ACD"/>
    <w:rsid w:val="7CF41D8D"/>
    <w:rsid w:val="7D2D2CA0"/>
    <w:rsid w:val="7DD90B59"/>
    <w:rsid w:val="7E2A514E"/>
    <w:rsid w:val="7E2C4E20"/>
    <w:rsid w:val="7E2D20BE"/>
    <w:rsid w:val="7E5733E1"/>
    <w:rsid w:val="7E660C33"/>
    <w:rsid w:val="7E733B66"/>
    <w:rsid w:val="7EC12AAE"/>
    <w:rsid w:val="7EC52141"/>
    <w:rsid w:val="7ED12FEE"/>
    <w:rsid w:val="7F1648D6"/>
    <w:rsid w:val="7F23784E"/>
    <w:rsid w:val="7F457080"/>
    <w:rsid w:val="7F486BDC"/>
    <w:rsid w:val="7F4C71A0"/>
    <w:rsid w:val="7F6347A3"/>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2020-05-14T08:03:06Z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2052-11.1.0.9584</vt:lpwstr>
  </property>
</Properties>
</file>