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pict>
          <v:shape id="图片 1" o:spid="_x0000_s1027" o:spt="75" alt="封面.jpg" type="#_x0000_t75" style="position:absolute;left:0pt;margin-left:-60.7pt;margin-top:-109.25pt;height:842.25pt;width:601.9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4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828984"/>
                  <w:bookmarkStart w:id="477" w:name="_Toc485981320"/>
                  <w:bookmarkStart w:id="478" w:name="_Toc13217629"/>
                  <w:r>
                    <w:rPr>
                      <w:kern w:val="2"/>
                    </w:rPr>
                    <w:t>2020.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5</w:t>
                  </w:r>
                  <w:r>
                    <w:rPr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29</w:t>
                  </w:r>
                </w:p>
              </w:txbxContent>
            </v:textbox>
          </v:shape>
        </w:pic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2020.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29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纯碱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</w:t>
                  </w:r>
                  <w:r>
                    <w:rPr>
                      <w:rStyle w:val="16"/>
                      <w:rFonts w:ascii="黑体" w:hAnsi="黑体" w:eastAsia="黑体" w:cs="黑体"/>
                    </w:rPr>
                    <w:t xml:space="preserve"> </w:t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影响市场因素及后市预测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本周国内纯碱市场价格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烧碱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本周国内片碱实际成交周汇总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液氯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国内地区市场价格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30128349"/>
      <w:bookmarkStart w:id="2" w:name="_Toc536540307"/>
      <w:bookmarkStart w:id="3" w:name="_Toc525306474"/>
      <w:bookmarkStart w:id="4" w:name="_Toc534915165"/>
      <w:bookmarkStart w:id="5" w:name="_Toc9597659"/>
      <w:bookmarkStart w:id="6" w:name="_Toc518638259"/>
      <w:bookmarkStart w:id="7" w:name="_Toc536789785"/>
      <w:bookmarkStart w:id="8" w:name="_Toc521660547"/>
      <w:bookmarkStart w:id="9" w:name="_Toc485981321"/>
      <w:bookmarkStart w:id="10" w:name="_Toc4139106"/>
      <w:bookmarkStart w:id="11" w:name="_Toc528329956"/>
      <w:bookmarkStart w:id="12" w:name="_Toc4596891"/>
      <w:bookmarkStart w:id="13" w:name="_Toc10202308"/>
      <w:bookmarkStart w:id="14" w:name="_Toc9583952"/>
      <w:bookmarkStart w:id="15" w:name="_Toc521057601"/>
      <w:bookmarkStart w:id="16" w:name="_Toc518031999"/>
      <w:bookmarkStart w:id="17" w:name="_Toc522870751"/>
      <w:bookmarkStart w:id="18" w:name="_Toc522280054"/>
      <w:bookmarkStart w:id="19" w:name="_Toc529526325"/>
      <w:bookmarkStart w:id="20" w:name="_Toc524701464"/>
      <w:bookmarkStart w:id="21" w:name="_Toc527705000"/>
      <w:bookmarkStart w:id="22" w:name="_Toc522259764"/>
      <w:bookmarkStart w:id="23" w:name="_Toc522870769"/>
      <w:bookmarkStart w:id="24" w:name="_Toc4767063"/>
      <w:bookmarkStart w:id="25" w:name="_Toc511390005"/>
      <w:bookmarkStart w:id="26" w:name="_Toc525289546"/>
      <w:bookmarkStart w:id="27" w:name="_Toc536541137"/>
      <w:bookmarkStart w:id="28" w:name="_Toc522870745"/>
      <w:bookmarkStart w:id="29" w:name="_Toc533149330"/>
      <w:bookmarkStart w:id="30" w:name="_Toc8991653"/>
      <w:bookmarkStart w:id="31" w:name="_Toc1139285"/>
      <w:bookmarkStart w:id="32" w:name="_Toc513127190"/>
      <w:bookmarkStart w:id="33" w:name="_Toc516234891"/>
      <w:bookmarkStart w:id="34" w:name="_Toc525912526"/>
      <w:bookmarkStart w:id="35" w:name="_Toc535588708"/>
      <w:bookmarkStart w:id="36" w:name="_Toc524091681"/>
      <w:bookmarkStart w:id="37" w:name="_Toc515610373"/>
      <w:bookmarkStart w:id="38" w:name="_Toc8378815"/>
      <w:bookmarkStart w:id="39" w:name="_Toc531954272"/>
      <w:bookmarkStart w:id="40" w:name="_Toc520465076"/>
      <w:bookmarkStart w:id="41" w:name="_Toc528930993"/>
      <w:bookmarkStart w:id="42" w:name="_Toc530750139"/>
      <w:bookmarkStart w:id="43" w:name="_Toc4654028"/>
      <w:bookmarkStart w:id="44" w:name="_Toc1739294"/>
      <w:bookmarkStart w:id="45" w:name="_Toc532564037"/>
      <w:bookmarkStart w:id="46" w:name="_Toc1394100"/>
      <w:bookmarkStart w:id="47" w:name="_Toc392240276"/>
      <w:bookmarkStart w:id="48" w:name="_Toc525306463"/>
      <w:bookmarkStart w:id="49" w:name="_Toc522870760"/>
      <w:bookmarkStart w:id="50" w:name="_Toc13217631"/>
      <w:bookmarkStart w:id="51" w:name="_Toc519848557"/>
      <w:bookmarkStart w:id="52" w:name="_Toc534378400"/>
      <w:bookmarkStart w:id="53" w:name="_Toc12609903"/>
      <w:bookmarkStart w:id="54" w:name="_Toc528919986"/>
      <w:bookmarkStart w:id="55" w:name="_Toc517425038"/>
      <w:bookmarkStart w:id="56" w:name="_Toc527101790"/>
      <w:bookmarkStart w:id="57" w:name="_Toc532564260"/>
      <w:bookmarkStart w:id="58" w:name="_Toc516839084"/>
      <w:bookmarkStart w:id="59" w:name="_Toc516234897"/>
      <w:bookmarkStart w:id="60" w:name="_Toc536198167"/>
      <w:bookmarkStart w:id="61" w:name="_Toc8313133"/>
      <w:bookmarkStart w:id="62" w:name="_Toc1035930"/>
      <w:bookmarkStart w:id="63" w:name="_Toc532564063"/>
      <w:bookmarkStart w:id="64" w:name="_Toc300238840"/>
    </w:p>
    <w:p>
      <w:pPr>
        <w:pStyle w:val="2"/>
        <w:spacing w:line="400" w:lineRule="exact"/>
        <w:jc w:val="center"/>
        <w:rPr>
          <w:rStyle w:val="25"/>
          <w:rFonts w:ascii="黑体"/>
          <w:sz w:val="30"/>
          <w:szCs w:val="30"/>
        </w:rPr>
      </w:pPr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16234898"/>
      <w:bookmarkStart w:id="66" w:name="_Toc536540308"/>
      <w:bookmarkStart w:id="67" w:name="_Toc4596892"/>
      <w:bookmarkStart w:id="68" w:name="_Toc515610374"/>
      <w:bookmarkStart w:id="69" w:name="_Toc528329957"/>
      <w:bookmarkStart w:id="70" w:name="_Toc525306475"/>
      <w:bookmarkStart w:id="71" w:name="_Toc532564261"/>
      <w:bookmarkStart w:id="72" w:name="_Toc529526326"/>
      <w:bookmarkStart w:id="73" w:name="_Toc532564064"/>
      <w:bookmarkStart w:id="74" w:name="_Toc530750140"/>
      <w:bookmarkStart w:id="75" w:name="_Toc516234892"/>
      <w:bookmarkStart w:id="76" w:name="_Toc511390006"/>
      <w:bookmarkStart w:id="77" w:name="_Toc528930994"/>
      <w:bookmarkStart w:id="78" w:name="_Toc528919987"/>
      <w:bookmarkStart w:id="79" w:name="_Toc536789786"/>
      <w:bookmarkStart w:id="80" w:name="_Toc520465077"/>
      <w:bookmarkStart w:id="81" w:name="_Toc1139286"/>
      <w:bookmarkStart w:id="82" w:name="_Toc1035931"/>
      <w:bookmarkStart w:id="83" w:name="_Toc532564038"/>
      <w:bookmarkStart w:id="84" w:name="_Toc522280055"/>
      <w:bookmarkStart w:id="85" w:name="_Toc513127191"/>
      <w:bookmarkStart w:id="86" w:name="_Toc524091682"/>
      <w:bookmarkStart w:id="87" w:name="_Toc517425039"/>
      <w:bookmarkStart w:id="88" w:name="_Toc1394101"/>
      <w:bookmarkStart w:id="89" w:name="_Toc525289547"/>
      <w:bookmarkStart w:id="90" w:name="_Toc4139107"/>
      <w:bookmarkStart w:id="91" w:name="_Toc522870746"/>
      <w:bookmarkStart w:id="92" w:name="_Toc527705001"/>
      <w:bookmarkStart w:id="93" w:name="_Toc485981322"/>
      <w:bookmarkStart w:id="94" w:name="_Toc536541138"/>
      <w:bookmarkStart w:id="95" w:name="_Toc534915166"/>
      <w:bookmarkStart w:id="96" w:name="_Toc518638260"/>
      <w:bookmarkStart w:id="97" w:name="_Toc522870761"/>
      <w:bookmarkStart w:id="98" w:name="_Toc536198168"/>
      <w:bookmarkStart w:id="99" w:name="_Toc392240277"/>
      <w:bookmarkStart w:id="100" w:name="_Toc524701465"/>
      <w:bookmarkStart w:id="101" w:name="_Toc519848558"/>
      <w:bookmarkStart w:id="102" w:name="_Toc518032000"/>
      <w:bookmarkStart w:id="103" w:name="_Toc535588709"/>
      <w:bookmarkStart w:id="104" w:name="_Toc522870770"/>
      <w:bookmarkStart w:id="105" w:name="_Toc527101791"/>
      <w:bookmarkStart w:id="106" w:name="_Toc1739295"/>
      <w:bookmarkStart w:id="107" w:name="_Toc525306464"/>
      <w:bookmarkStart w:id="108" w:name="_Toc533149331"/>
      <w:bookmarkStart w:id="109" w:name="_Toc525912527"/>
      <w:bookmarkStart w:id="110" w:name="_Toc534378401"/>
      <w:bookmarkStart w:id="111" w:name="_Toc530128350"/>
      <w:bookmarkStart w:id="112" w:name="_Toc522259765"/>
      <w:bookmarkStart w:id="113" w:name="_Toc521057602"/>
      <w:bookmarkStart w:id="114" w:name="_Toc4654029"/>
      <w:bookmarkStart w:id="115" w:name="_Toc531954273"/>
      <w:bookmarkStart w:id="116" w:name="_Toc521660548"/>
      <w:bookmarkStart w:id="117" w:name="_Toc522870752"/>
      <w:bookmarkStart w:id="118" w:name="_Toc516839085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Fonts w:cs="Times New Roman"/>
        </w:rPr>
      </w:pPr>
      <w:bookmarkStart w:id="119" w:name="_Toc9597660"/>
      <w:bookmarkStart w:id="120" w:name="_Toc8991654"/>
      <w:bookmarkStart w:id="121" w:name="_Toc9583953"/>
      <w:bookmarkStart w:id="122" w:name="_Toc12609904"/>
      <w:bookmarkStart w:id="123" w:name="_Toc8313134"/>
      <w:bookmarkStart w:id="124" w:name="_Toc10202309"/>
      <w:bookmarkStart w:id="125" w:name="_Toc4767064"/>
      <w:bookmarkStart w:id="126" w:name="_Toc13217632"/>
      <w:bookmarkStart w:id="127" w:name="_Toc8378816"/>
      <w:r>
        <w:rPr>
          <w:rStyle w:val="25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9597661"/>
      <w:bookmarkStart w:id="129" w:name="_Toc8378817"/>
      <w:bookmarkStart w:id="130" w:name="_Toc13217633"/>
      <w:bookmarkStart w:id="131" w:name="_Toc10202310"/>
      <w:bookmarkStart w:id="132" w:name="_Toc4767065"/>
      <w:bookmarkStart w:id="133" w:name="_Toc4654030"/>
      <w:bookmarkStart w:id="134" w:name="_Toc4596893"/>
      <w:bookmarkStart w:id="135" w:name="_Toc8991655"/>
      <w:bookmarkStart w:id="136" w:name="_Toc12609905"/>
      <w:bookmarkStart w:id="137" w:name="_Toc8313135"/>
      <w:bookmarkStart w:id="138" w:name="_Toc9583954"/>
      <w:r>
        <w:rPr>
          <w:rFonts w:ascii="黑体" w:hAnsi="黑体" w:eastAsia="黑体" w:cs="Times New Roman"/>
          <w:kern w:val="0"/>
          <w:sz w:val="30"/>
          <w:szCs w:val="30"/>
        </w:rPr>
        <w:br w:type="textWrapping"/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纯碱现货成交价格继续下探30-80元/吨。本周中部轻质纯碱价格降价氛围延续，厂方随行跟降能力走弱，距离各厂筑底价格空间不断缩减，行情趋低表现延续。从供应角度分析，本周行业开工减量有利好影响，但因行业库存过高，缓解能力有限。当前国内下游用户采购议价能力增强主因上游厂方竞争所致，河南及江苏主产区域竞争表现凸出，另外东北、华南地区用户因缺失本地作价能力而被多方供应抢占市场，价格与中东部区域主流成交重心持续趋近。目前全国轻碱用户主流到站价格在1100-1250元/吨，重碱主流到站价格在1200-1300元/吨不等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 供应端：据统计，全国纯碱总产能为3327万吨，截止5月28日，纯碱运行产能共计2054万吨，开工率62%，较上月开工率79%↓17个百分点。本月纯碱企业检修动态增多，停机检修周期均有加长，供应调整作用深入，对行业库存增量有小幅制约，虽然个别厂区因生产调整有供应向好表现，但受需求表现不佳影响，总体供应矛盾暂无有明显突出好转，市场库存矛盾问题仍存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需求端：平板玻璃自身产品滞销影响其开产减量2-3成，沙河区域平板玻璃产线集中减产对其自身产品市场有积极影响，但对纯碱需求形成明显利空作用；另外日用玻璃、焦亚硫酸、泡花碱、两钠、冶金、印染、水处理等多行业应用多仍以弱需表现为主。</w:t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三、供应端：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ascii="仿宋" w:hAnsi="仿宋" w:eastAsia="仿宋" w:cs="Times New Roman"/>
          <w:sz w:val="28"/>
          <w:szCs w:val="28"/>
        </w:rPr>
      </w:pPr>
      <w:bookmarkStart w:id="140" w:name="_Toc9597662"/>
      <w:bookmarkStart w:id="141" w:name="_Toc4654031"/>
      <w:bookmarkStart w:id="142" w:name="_Toc4596894"/>
      <w:bookmarkStart w:id="143" w:name="_Toc13217634"/>
      <w:bookmarkStart w:id="144" w:name="_Toc8991656"/>
      <w:bookmarkStart w:id="145" w:name="_Toc12609906"/>
      <w:bookmarkStart w:id="146" w:name="_Toc9583955"/>
      <w:bookmarkStart w:id="147" w:name="_Toc4767066"/>
      <w:bookmarkStart w:id="148" w:name="_Toc8313136"/>
      <w:bookmarkStart w:id="149" w:name="_Toc8378818"/>
      <w:bookmarkStart w:id="150" w:name="_Toc10202311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轻碱主流含税出厂价格：东北地区含税出厂价在1300-1380元/吨；河北地区含税出厂价1180-1330元/吨；山东地区含税出厂价1180-1330元/吨 ；江苏地区主流含税出厂价1050-1250元/吨；杭州地区含税出厂价 1200-1280元/吨；福建地区含税出厂价1100-1180元/吨；广东地区含税出厂价1250-1380元/吨；华中地区主流含税出价1000-1200元/吨；西北地区含税出厂价980-1200元/吨，其中青海区域含税出厂价980-1100 元/吨；川渝区域含税出价1100-1300元/吨；云贵地区含税出价1250- 1330元/吨；江西区域含税出价1150-1200元/吨。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重碱主流含税送到价格：目前华北地区重碱含税送到1200-1350元/ 吨，沙河区域含税送达1200-1350元/吨（现汇价格）；华中区域含税送 到价格在1200-1350元/吨；西北区域含税出厂价1050-1300元/吨；川渝 区域含税送到1350-1450元/吨；东北区域重碱主流含税送到1350-1480 元/吨；广东重碱到货主流含税价格1350-1400元/吨，少量远距散单到 货价格在1450元/吨；华东片区主流含税送到1200-1380元/吨。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51" w:name="_Toc9597663"/>
      <w:bookmarkStart w:id="152" w:name="_Toc8991657"/>
      <w:bookmarkStart w:id="153" w:name="_Toc12609907"/>
      <w:bookmarkStart w:id="154" w:name="_Toc8378819"/>
      <w:bookmarkStart w:id="155" w:name="_Toc8313137"/>
      <w:bookmarkStart w:id="156" w:name="_Toc4654032"/>
      <w:bookmarkStart w:id="157" w:name="_Toc4767067"/>
      <w:bookmarkStart w:id="158" w:name="_Toc9583956"/>
      <w:bookmarkStart w:id="159" w:name="_Toc10202312"/>
      <w:bookmarkStart w:id="160" w:name="_Toc4596895"/>
      <w:bookmarkStart w:id="161" w:name="_Toc1321763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下周看，一，纯碱企业恶意竞争加速洗牌格局，实际单价继续下降空间不断收窄，部分厂家亏损面持续扩大，企业停机可能增强；二，上游纯碱厂检修有限利好缓解供应矛盾增压，下游及经销商逐低操作心态增强，综合市场价格走势趋低整理仍是主流表现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长期而言，纯碱现货价格继续探底之路将无法完全排解后续供应过剩问题，市场行情提振要素仍是供需平衡，后续价格趋势转变能力，一方面需要寄希望于多个企业并行停车、大量减少供应上，另一方面，或考虑下游及经销商报复性参与市场增强市场活性。</w:t>
      </w: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spacing w:line="400" w:lineRule="exact"/>
        <w:rPr>
          <w:rFonts w:ascii="黑体"/>
          <w:sz w:val="30"/>
          <w:szCs w:val="30"/>
        </w:rPr>
      </w:pPr>
      <w:bookmarkStart w:id="162" w:name="_Toc525912528"/>
      <w:bookmarkStart w:id="163" w:name="_Toc528930995"/>
      <w:bookmarkStart w:id="164" w:name="_Toc1394102"/>
      <w:bookmarkStart w:id="165" w:name="_Toc529526327"/>
      <w:bookmarkStart w:id="166" w:name="_Toc525289548"/>
      <w:bookmarkStart w:id="167" w:name="_Toc522280056"/>
      <w:bookmarkStart w:id="168" w:name="_Toc1739296"/>
      <w:bookmarkStart w:id="169" w:name="_Toc536541139"/>
      <w:bookmarkStart w:id="170" w:name="_Toc533149332"/>
      <w:bookmarkStart w:id="171" w:name="_Toc534915167"/>
      <w:bookmarkStart w:id="172" w:name="_Toc525306465"/>
      <w:bookmarkStart w:id="173" w:name="_Toc522870762"/>
      <w:bookmarkStart w:id="174" w:name="_Toc4654033"/>
      <w:bookmarkStart w:id="175" w:name="_Toc532564039"/>
      <w:bookmarkStart w:id="176" w:name="_Toc532564262"/>
      <w:bookmarkStart w:id="177" w:name="_Toc531954274"/>
      <w:bookmarkStart w:id="178" w:name="_Toc525306476"/>
      <w:bookmarkStart w:id="179" w:name="_Toc532564065"/>
      <w:bookmarkStart w:id="180" w:name="_Toc513127192"/>
      <w:bookmarkStart w:id="181" w:name="_Toc524701466"/>
      <w:bookmarkStart w:id="182" w:name="_Toc515610375"/>
      <w:bookmarkStart w:id="183" w:name="_Toc511390007"/>
      <w:bookmarkStart w:id="184" w:name="_Toc517425040"/>
      <w:bookmarkStart w:id="185" w:name="_Toc527101792"/>
      <w:bookmarkStart w:id="186" w:name="_Toc8991658"/>
      <w:bookmarkStart w:id="187" w:name="_Toc9597664"/>
      <w:bookmarkStart w:id="188" w:name="_Toc9583957"/>
      <w:bookmarkStart w:id="189" w:name="_Toc536789787"/>
      <w:bookmarkStart w:id="190" w:name="_Toc536540309"/>
      <w:bookmarkStart w:id="191" w:name="_Toc10202313"/>
      <w:bookmarkStart w:id="192" w:name="_Toc8378820"/>
      <w:bookmarkStart w:id="193" w:name="_Toc4767068"/>
      <w:bookmarkStart w:id="194" w:name="_Toc12609908"/>
      <w:bookmarkStart w:id="195" w:name="_Toc8313138"/>
      <w:bookmarkStart w:id="196" w:name="_Toc516234893"/>
      <w:bookmarkStart w:id="197" w:name="_Toc485981323"/>
      <w:bookmarkStart w:id="198" w:name="_Toc1035932"/>
      <w:bookmarkStart w:id="199" w:name="_Toc527705002"/>
      <w:bookmarkStart w:id="200" w:name="_Toc522870753"/>
      <w:bookmarkStart w:id="201" w:name="_Toc535588710"/>
      <w:bookmarkStart w:id="202" w:name="_Toc519848559"/>
      <w:bookmarkStart w:id="203" w:name="_Toc1139287"/>
      <w:bookmarkStart w:id="204" w:name="_Toc4139108"/>
      <w:bookmarkStart w:id="205" w:name="_Toc518032001"/>
      <w:bookmarkStart w:id="206" w:name="_Toc522870771"/>
      <w:bookmarkStart w:id="207" w:name="_Toc534378402"/>
      <w:bookmarkStart w:id="208" w:name="_Toc536198169"/>
      <w:bookmarkStart w:id="209" w:name="_Toc522259766"/>
      <w:bookmarkStart w:id="210" w:name="_Toc13217636"/>
      <w:bookmarkStart w:id="211" w:name="_Toc516234899"/>
      <w:bookmarkStart w:id="212" w:name="_Toc518638261"/>
      <w:bookmarkStart w:id="213" w:name="_Toc520465078"/>
      <w:bookmarkStart w:id="214" w:name="_Toc521660549"/>
      <w:bookmarkStart w:id="215" w:name="_Toc528329958"/>
      <w:bookmarkStart w:id="216" w:name="_Toc516839086"/>
      <w:bookmarkStart w:id="217" w:name="_Toc4596896"/>
      <w:bookmarkStart w:id="218" w:name="_Toc530128351"/>
      <w:bookmarkStart w:id="219" w:name="_Toc521057603"/>
      <w:bookmarkStart w:id="220" w:name="_Toc528919988"/>
      <w:bookmarkStart w:id="221" w:name="_Toc392240279"/>
      <w:bookmarkStart w:id="222" w:name="_Toc522870747"/>
      <w:bookmarkStart w:id="223" w:name="_Toc530750141"/>
      <w:bookmarkStart w:id="224" w:name="_Toc524091683"/>
      <w:r>
        <w:br w:type="textWrapping"/>
      </w:r>
      <w:r>
        <w:br w:type="textWrapping"/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52539754"/>
      <w:bookmarkStart w:id="226" w:name="_Toc300238848"/>
      <w:bookmarkStart w:id="227" w:name="_Toc4596897"/>
      <w:bookmarkStart w:id="228" w:name="_Toc4654034"/>
      <w:bookmarkStart w:id="229" w:name="_Toc295403449"/>
      <w:bookmarkStart w:id="230" w:name="_Toc250731925"/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  <w:r>
        <w:rPr>
          <w:rFonts w:ascii="黑体"/>
          <w:sz w:val="30"/>
          <w:szCs w:val="30"/>
        </w:rPr>
        <w:br w:type="textWrapping"/>
      </w:r>
      <w:r>
        <w:rPr>
          <w:rFonts w:ascii="黑体"/>
          <w:sz w:val="30"/>
          <w:szCs w:val="30"/>
        </w:rPr>
        <w:br w:type="textWrapping"/>
      </w:r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392240280"/>
      <w:bookmarkStart w:id="241" w:name="_Toc264643747"/>
      <w:bookmarkStart w:id="242" w:name="_Toc295403451"/>
      <w:bookmarkStart w:id="243" w:name="_Toc30023885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0202315"/>
      <w:bookmarkStart w:id="245" w:name="_Toc8991660"/>
      <w:bookmarkStart w:id="246" w:name="_Toc12609910"/>
      <w:bookmarkStart w:id="247" w:name="_Toc8313140"/>
      <w:bookmarkStart w:id="248" w:name="_Toc13217638"/>
      <w:bookmarkStart w:id="249" w:name="_Toc4767070"/>
      <w:bookmarkStart w:id="250" w:name="_Toc4654035"/>
      <w:bookmarkStart w:id="251" w:name="_Toc4596898"/>
      <w:bookmarkStart w:id="252" w:name="_Toc9583959"/>
      <w:bookmarkStart w:id="253" w:name="_Toc9597666"/>
      <w:bookmarkStart w:id="254" w:name="_Toc8378822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本周中国液体烧碱成交重心上行，北方地区液碱市场持续回温。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  本周山东地区整体有好转趋势，区域内液碱价格全面提涨。高、低浓度液碱普涨10-30元/吨不等，上调原因为：1、受全国经济好转的大趋势波及化工行业，省内其他耗碱厂家开工水平提升，主流氧化铝用碱需求稳定。2、上周高浓度液碱价格下调后，省内走货状况良好，同时对省内32%液碱走货起到一定带动作用。3、部分之前签订的出口订单本周开始交付，厂家库存降温明显。河北地区本周液碱价格小幅调涨，涨幅40元/吨左右，上周河北液碱价格下调之后发货顺畅，厂家库存得到释放，本周河北地区有粘胶短纤企业外采烧碱，河北地区液碱价格就势上行。天津地区持稳观望为主，下周省内氯碱企业以船碱订单发货，预计天津地区下周有100元/吨（折百）的涨幅。山西地区6月份长单本周进入商定阶段，之前区域内液碱价格跌至低位，氯碱企业开工水平不高，库存压力不大，省内厂家调涨意愿明显，后期长单价格亦不乏有上涨的可能。西北地区本周整体持稳运行，现阶段终端用碱行业的需求量基本稳定，市场交投氛围一般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 华东浙江地区市场液碱低价成交减少，自五月下旬开始浙江地区下游印染外贸接单逐渐恢复，对液碱需求情况有好转迹象，低端成交上调20-30元/吨，主流市场成交水平不变。福建地区液碱价格本周小幅探涨，区域内碱厂开工水平不高，外围浙江碱价上行，福建地区液碱到货成本增加，本周小涨10-20元/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 安徽地区液碱成交重心下行，降幅在20-30元/吨不等，区域内交投情况不佳，且外围江苏液碱价格下行，苏皖厂家库存压力增加，因而适度下调价格以缓解出货压力。江西地区本周以持稳观望为主，省内液碱下游情况运行正常，印染行业接单稍有好转，陶瓷企业开工不高，化纤、精细化工、农药、锂电行业需求平稳。华中河南地区省内持稳出货，省内开工水平不高，下游用碱需求稳定。本周氧化铝用碱长单价格进入商定阶段，上游氯碱企业挺价意识存在，长单价格有上调可能。湖南、湖北地区本周液碱市场未见起色，整体市场以淡稳运行为主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 跟踪数据，5月28日中国32%离子膜液碱市场价格指数568，较5月21日数据相比↓0.18%；中国50%离子膜液碱市场平均出厂价格在1017.1元/吨，较5月14日数据相比↑0.49%。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 据统计目前全国氯碱总产能为4333.4万吨，截至5月28日，氯碱开工产能3314.7万吨，开工率76.49%。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 据统计目前全国氧化铝总产能为8614万吨，截至5月28日，氧化铝开工产能6680万吨，开工率77.55%。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5" w:name="_Toc4596899"/>
      <w:bookmarkStart w:id="256" w:name="_Toc4654036"/>
      <w:bookmarkStart w:id="257" w:name="_Toc12609911"/>
      <w:bookmarkStart w:id="258" w:name="_Toc13217639"/>
      <w:bookmarkStart w:id="259" w:name="_Toc8313141"/>
      <w:bookmarkStart w:id="260" w:name="_Toc8378823"/>
      <w:bookmarkStart w:id="261" w:name="_Toc4767071"/>
      <w:bookmarkStart w:id="262" w:name="_Toc9597667"/>
      <w:bookmarkStart w:id="263" w:name="_Toc10202316"/>
      <w:bookmarkStart w:id="264" w:name="_Toc8991661"/>
      <w:bookmarkStart w:id="265" w:name="_Toc9583960"/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654037"/>
      <w:bookmarkStart w:id="267" w:name="_Toc4596900"/>
      <w:bookmarkStart w:id="268" w:name="_Toc4767072"/>
    </w:p>
    <w:p>
      <w:pPr>
        <w:pStyle w:val="12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截止5月28日各地区液碱价格（文中价格为现汇，承兑低浓度水碱加15元/吨，高浓度碱加30元/吨）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 32%离子膜液碱主流出厂价格：自山东氧化铝行业用32%离子膜液碱价格自5月7日执行现汇出厂420元/吨，供其他客户主流现汇出厂价格470-540元/吨；河北490-550元/吨；天津1600-1700元/吨（折百）；浙江送到萧绍经销商720-730元/吨；江苏600-660元/吨；安徽580-630元/吨；江西地区630-710元/吨；广西720-780元/吨；河南1400-1450元/吨（折百）；内蒙古1400-1450元/吨（折百）；辽宁640-670元/吨，个别企业价格略高；四川2200-2300元/吨（折百）；福建地区32%离子膜烧碱送到价格在785-880元/吨（因距离不同，运费存有差距），个别厂家价格略高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 高浓碱主流出厂价格：山东48%离子膜液碱出厂740-770元/吨，50%离子膜液碱出厂770-830元/吨。天津49%离子膜碱出厂价格1700-1800元/吨（折百），广西50%离子膜液碱出厂价格1120-1180元/吨；内蒙古48-50%离子膜液碱出厂价格1400-1500元/吨（折百）左右；江苏地区48%离子膜液碱出厂价格1020-1050元/吨；辽宁地区45-50%离子膜液碱出厂报价在970-1020元/吨；四川地区50%离子膜液碱主流出厂价格2350-2450元/吨（折百）。福建省50%离子膜烧碱送到价格在1200-1300元/吨。（因距离不同，运费存有差距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left"/>
        <w:textAlignment w:val="auto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71" w:name="_Toc12609912"/>
      <w:bookmarkStart w:id="272" w:name="_Toc4767073"/>
      <w:bookmarkStart w:id="273" w:name="_Toc8313142"/>
      <w:bookmarkStart w:id="274" w:name="_Toc10202317"/>
      <w:bookmarkStart w:id="275" w:name="_Toc9583961"/>
      <w:bookmarkStart w:id="276" w:name="_Toc13217640"/>
      <w:bookmarkStart w:id="277" w:name="_Toc8378824"/>
      <w:bookmarkStart w:id="278" w:name="_Toc9597668"/>
      <w:bookmarkStart w:id="279" w:name="_Toc8991662"/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  本周北方成交重心上行，区域内下游耗碱厂家开工小幅提升，整体需求有所增加。 下月用碱长单进入商定阶段，区域内调涨意愿明显，后市液碱长单价格不乏有上调20-30元/吨可能。南方市场本周涨跌互现，区域内开工水平不高，下游需求稳定，预计下周市场整体以弱势盘整为主。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bookmarkStart w:id="480" w:name="_GoBack" w:colFirst="0" w:colLast="0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bookmarkEnd w:id="480"/>
    </w:tbl>
    <w:p>
      <w:pPr>
        <w:rPr>
          <w:rFonts w:cs="Times New Roman"/>
        </w:rPr>
      </w:pPr>
      <w:bookmarkStart w:id="280" w:name="_Toc295403452"/>
      <w:bookmarkStart w:id="281" w:name="_Toc527705003"/>
      <w:bookmarkStart w:id="282" w:name="_Toc525289549"/>
      <w:bookmarkStart w:id="283" w:name="_Toc233795930"/>
      <w:bookmarkStart w:id="284" w:name="_Toc516234900"/>
      <w:bookmarkStart w:id="285" w:name="_Toc1394103"/>
      <w:bookmarkStart w:id="286" w:name="_Toc521057604"/>
      <w:bookmarkStart w:id="287" w:name="_Toc250731929"/>
      <w:bookmarkStart w:id="288" w:name="_Toc4139109"/>
      <w:bookmarkStart w:id="289" w:name="_Toc4596902"/>
      <w:bookmarkStart w:id="290" w:name="_Toc300238851"/>
      <w:bookmarkStart w:id="291" w:name="_Toc518638262"/>
      <w:bookmarkStart w:id="292" w:name="_Toc515610376"/>
      <w:bookmarkStart w:id="293" w:name="_Toc528930996"/>
      <w:bookmarkStart w:id="294" w:name="_Toc525912529"/>
      <w:bookmarkStart w:id="295" w:name="_Toc518032002"/>
      <w:bookmarkStart w:id="296" w:name="_Toc516234894"/>
      <w:bookmarkStart w:id="297" w:name="_Toc522870763"/>
      <w:bookmarkStart w:id="298" w:name="_Toc527101793"/>
      <w:bookmarkStart w:id="299" w:name="_Toc511390008"/>
      <w:bookmarkStart w:id="300" w:name="_Toc517425041"/>
      <w:bookmarkStart w:id="301" w:name="_Toc528329959"/>
      <w:bookmarkStart w:id="302" w:name="_Toc9597669"/>
      <w:bookmarkStart w:id="303" w:name="_Toc12609913"/>
      <w:bookmarkStart w:id="304" w:name="_Toc532564066"/>
      <w:bookmarkStart w:id="305" w:name="_Toc13217641"/>
      <w:bookmarkStart w:id="306" w:name="_Toc530128352"/>
      <w:bookmarkStart w:id="307" w:name="_Toc532564040"/>
      <w:bookmarkStart w:id="308" w:name="_Toc528919989"/>
      <w:bookmarkStart w:id="309" w:name="_Toc520465079"/>
      <w:bookmarkStart w:id="310" w:name="_Toc10202318"/>
      <w:bookmarkStart w:id="311" w:name="_Toc534378403"/>
      <w:bookmarkStart w:id="312" w:name="_Toc524701467"/>
      <w:bookmarkStart w:id="313" w:name="_Toc532564263"/>
      <w:bookmarkStart w:id="314" w:name="_Toc525306466"/>
      <w:bookmarkStart w:id="315" w:name="_Toc535588711"/>
      <w:bookmarkStart w:id="316" w:name="_Toc534915168"/>
      <w:bookmarkStart w:id="317" w:name="_Toc536198170"/>
      <w:bookmarkStart w:id="318" w:name="_Toc536540310"/>
      <w:bookmarkStart w:id="319" w:name="_Toc1739297"/>
      <w:bookmarkStart w:id="320" w:name="_Toc533149333"/>
      <w:bookmarkStart w:id="321" w:name="_Toc1139288"/>
      <w:bookmarkStart w:id="322" w:name="_Toc8991663"/>
      <w:bookmarkStart w:id="323" w:name="_Toc9583962"/>
      <w:bookmarkStart w:id="324" w:name="_Toc4654039"/>
      <w:bookmarkStart w:id="325" w:name="_Toc392240282"/>
      <w:bookmarkStart w:id="326" w:name="_Toc8378825"/>
      <w:bookmarkStart w:id="327" w:name="_Toc8313143"/>
      <w:bookmarkStart w:id="328" w:name="_Toc4767074"/>
      <w:bookmarkStart w:id="329" w:name="_Toc522870748"/>
      <w:bookmarkStart w:id="330" w:name="_Toc524091684"/>
      <w:bookmarkStart w:id="331" w:name="_Toc513127193"/>
      <w:bookmarkStart w:id="332" w:name="_Toc522870772"/>
      <w:bookmarkStart w:id="333" w:name="_Toc536541140"/>
      <w:bookmarkStart w:id="334" w:name="_Toc1035933"/>
      <w:bookmarkStart w:id="335" w:name="_Toc530750142"/>
      <w:bookmarkStart w:id="336" w:name="_Toc252539758"/>
      <w:bookmarkStart w:id="337" w:name="_Toc531954275"/>
      <w:bookmarkStart w:id="338" w:name="_Toc485981325"/>
      <w:bookmarkStart w:id="339" w:name="_Toc536789788"/>
      <w:bookmarkStart w:id="340" w:name="_Toc529526328"/>
      <w:bookmarkStart w:id="341" w:name="_Toc522259767"/>
      <w:bookmarkStart w:id="342" w:name="_Toc522280057"/>
      <w:bookmarkStart w:id="343" w:name="_Toc521660550"/>
      <w:bookmarkStart w:id="344" w:name="_Toc525306477"/>
      <w:bookmarkStart w:id="345" w:name="_Toc522870754"/>
      <w:bookmarkStart w:id="346" w:name="_Toc516839087"/>
      <w:bookmarkStart w:id="347" w:name="_Toc519848560"/>
    </w:p>
    <w:p>
      <w:pPr>
        <w:rPr>
          <w:rFonts w:cs="Times New Roman"/>
        </w:rPr>
      </w:pPr>
    </w:p>
    <w:p>
      <w:pPr>
        <w:pStyle w:val="2"/>
        <w:spacing w:line="400" w:lineRule="exact"/>
        <w:ind w:left="3837" w:leftChars="1368" w:hanging="964" w:hangingChars="300"/>
        <w:rPr>
          <w:rFonts w:hint="eastAsia" w:cs="黑体"/>
          <w:lang w:val="en-US" w:eastAsia="zh-CN"/>
        </w:rPr>
      </w:pPr>
      <w:r>
        <w:rPr>
          <w:rFonts w:hint="eastAsia" w:cs="黑体"/>
          <w:lang w:val="en-US" w:eastAsia="zh-CN"/>
        </w:rPr>
        <w:br w:type="textWrapping"/>
      </w:r>
      <w:r>
        <w:rPr>
          <w:rFonts w:hint="eastAsia" w:cs="黑体"/>
          <w:lang w:val="en-US" w:eastAsia="zh-CN"/>
        </w:rPr>
        <w:br w:type="textWrapping"/>
      </w:r>
      <w:r>
        <w:rPr>
          <w:rFonts w:hint="eastAsia" w:cs="黑体"/>
          <w:lang w:val="en-US" w:eastAsia="zh-CN"/>
        </w:rPr>
        <w:br w:type="textWrapping"/>
      </w:r>
      <w:r>
        <w:rPr>
          <w:rFonts w:hint="eastAsia" w:cs="黑体"/>
          <w:lang w:val="en-US" w:eastAsia="zh-CN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525289550"/>
      <w:bookmarkStart w:id="350" w:name="_Toc522870764"/>
      <w:bookmarkStart w:id="351" w:name="_Toc522870755"/>
      <w:bookmarkStart w:id="352" w:name="_Toc522870773"/>
      <w:bookmarkStart w:id="353" w:name="_Toc524701468"/>
      <w:bookmarkStart w:id="354" w:name="_Toc524091685"/>
      <w:bookmarkStart w:id="355" w:name="_Toc525306467"/>
      <w:bookmarkStart w:id="356" w:name="_Toc525306478"/>
      <w:bookmarkStart w:id="357" w:name="_Toc527101794"/>
      <w:bookmarkStart w:id="358" w:name="_Toc525912530"/>
      <w:bookmarkStart w:id="359" w:name="_Toc527705004"/>
      <w:bookmarkStart w:id="360" w:name="_Toc528329960"/>
      <w:bookmarkStart w:id="361" w:name="_Toc528930997"/>
      <w:bookmarkStart w:id="362" w:name="_Toc529526329"/>
      <w:bookmarkStart w:id="363" w:name="_Toc528919990"/>
      <w:bookmarkStart w:id="364" w:name="_Toc185611021"/>
      <w:bookmarkStart w:id="365" w:name="_Toc250731930"/>
      <w:bookmarkStart w:id="366" w:name="_Toc300238852"/>
      <w:bookmarkStart w:id="367" w:name="_Toc485981326"/>
      <w:bookmarkStart w:id="368" w:name="_Toc392240283"/>
      <w:bookmarkStart w:id="369" w:name="_Toc252539759"/>
      <w:bookmarkStart w:id="370" w:name="_Toc295403453"/>
      <w:bookmarkStart w:id="371" w:name="_Toc4654040"/>
      <w:bookmarkStart w:id="372" w:name="_Toc4139110"/>
      <w:bookmarkStart w:id="373" w:name="_Toc532564041"/>
      <w:bookmarkStart w:id="374" w:name="_Toc4596903"/>
      <w:bookmarkStart w:id="375" w:name="_Toc530750143"/>
      <w:bookmarkStart w:id="376" w:name="_Toc531954276"/>
      <w:bookmarkStart w:id="377" w:name="_Toc533149334"/>
      <w:bookmarkStart w:id="378" w:name="_Toc532564264"/>
      <w:bookmarkStart w:id="379" w:name="_Toc535588712"/>
      <w:bookmarkStart w:id="380" w:name="_Toc534915169"/>
      <w:bookmarkStart w:id="381" w:name="_Toc517425042"/>
      <w:bookmarkStart w:id="382" w:name="_Toc516839088"/>
      <w:bookmarkStart w:id="383" w:name="_Toc516234901"/>
      <w:bookmarkStart w:id="384" w:name="_Toc516234895"/>
      <w:bookmarkStart w:id="385" w:name="_Toc515610377"/>
      <w:bookmarkStart w:id="386" w:name="_Toc1739298"/>
      <w:bookmarkStart w:id="387" w:name="_Toc513127194"/>
      <w:bookmarkStart w:id="388" w:name="_Toc511390009"/>
      <w:bookmarkStart w:id="389" w:name="_Toc1394104"/>
      <w:bookmarkStart w:id="390" w:name="_Toc1139289"/>
      <w:bookmarkStart w:id="391" w:name="_Toc1035934"/>
      <w:bookmarkStart w:id="392" w:name="_Toc536789789"/>
      <w:bookmarkStart w:id="393" w:name="_Toc536541141"/>
      <w:bookmarkStart w:id="394" w:name="_Toc536540311"/>
      <w:bookmarkStart w:id="395" w:name="_Toc536198171"/>
      <w:bookmarkStart w:id="396" w:name="_Toc532564067"/>
      <w:bookmarkStart w:id="397" w:name="_Toc522870749"/>
      <w:bookmarkStart w:id="398" w:name="_Toc522280058"/>
      <w:bookmarkStart w:id="399" w:name="_Toc522259768"/>
      <w:bookmarkStart w:id="400" w:name="_Toc521660551"/>
      <w:bookmarkStart w:id="401" w:name="_Toc519848561"/>
      <w:bookmarkStart w:id="402" w:name="_Toc521057605"/>
      <w:bookmarkStart w:id="403" w:name="_Toc530128353"/>
      <w:bookmarkStart w:id="404" w:name="_Toc534378404"/>
      <w:bookmarkStart w:id="405" w:name="_Toc518638263"/>
      <w:bookmarkStart w:id="406" w:name="_Toc520465080"/>
      <w:bookmarkStart w:id="407" w:name="_Toc518032003"/>
    </w:p>
    <w:p>
      <w:pPr>
        <w:spacing w:line="400" w:lineRule="exact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bookmarkStart w:id="408" w:name="_Toc4767075"/>
      <w:bookmarkStart w:id="409" w:name="_Toc12609914"/>
      <w:bookmarkStart w:id="410" w:name="_Toc13217642"/>
      <w:bookmarkStart w:id="411" w:name="_Toc8991664"/>
      <w:bookmarkStart w:id="412" w:name="_Toc9583963"/>
      <w:bookmarkStart w:id="413" w:name="_Toc8378826"/>
      <w:bookmarkStart w:id="414" w:name="_Toc10202319"/>
      <w:bookmarkStart w:id="415" w:name="_Toc8313144"/>
      <w:bookmarkStart w:id="416" w:name="_Toc9597670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  <w:bookmarkStart w:id="419" w:name="_Toc8313145"/>
      <w:bookmarkStart w:id="420" w:name="_Toc4767076"/>
      <w:bookmarkStart w:id="421" w:name="_Toc8991665"/>
      <w:bookmarkStart w:id="422" w:name="_Toc4654041"/>
      <w:bookmarkStart w:id="423" w:name="_Toc4596904"/>
      <w:bookmarkStart w:id="424" w:name="_Toc8378827"/>
      <w:bookmarkStart w:id="425" w:name="_Toc9583964"/>
      <w:bookmarkStart w:id="426" w:name="_Toc9597671"/>
      <w:bookmarkStart w:id="427" w:name="_Toc13217643"/>
      <w:bookmarkStart w:id="428" w:name="_Toc10202320"/>
      <w:bookmarkStart w:id="429" w:name="_Toc12609915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keepNext w:val="0"/>
        <w:keepLines w:val="0"/>
        <w:widowControl/>
        <w:suppressLineNumbers w:val="0"/>
        <w:spacing w:before="0" w:beforeAutospacing="0" w:after="0" w:afterAutospacing="0" w:line="239" w:lineRule="atLeast"/>
        <w:ind w:left="279" w:leftChars="133" w:right="0" w:firstLine="280" w:firstLineChars="1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430" w:name="_Toc4596905"/>
      <w:bookmarkStart w:id="431" w:name="_Toc4654042"/>
      <w:bookmarkStart w:id="432" w:name="_Toc8313146"/>
      <w:bookmarkStart w:id="433" w:name="_Toc4767077"/>
      <w:bookmarkStart w:id="434" w:name="_Toc8378828"/>
      <w:bookmarkStart w:id="435" w:name="_Toc9597672"/>
      <w:bookmarkStart w:id="436" w:name="_Toc8991666"/>
      <w:bookmarkStart w:id="437" w:name="_Toc9583965"/>
      <w:bookmarkStart w:id="438" w:name="_Toc13217644"/>
      <w:bookmarkStart w:id="439" w:name="_Toc10202321"/>
      <w:bookmarkStart w:id="440" w:name="_Toc12609916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周北方液氯市场大尺度下行，华东地区液氯市场触底反弹。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本</w:t>
      </w:r>
      <w:r>
        <w:rPr>
          <w:rFonts w:hint="eastAsia" w:ascii="仿宋" w:hAnsi="仿宋" w:eastAsia="仿宋" w:cs="仿宋"/>
          <w:sz w:val="28"/>
          <w:szCs w:val="28"/>
        </w:rPr>
        <w:t>周山东市场供应集中恢复，聊城、济宁地区厂家集中在2月26日恢复开工，下游企业看空浓厚加之两会期间部分耗氯企业停车，外围胶东半岛企液氯外销较多，山东地区液氯市场陷入每日下跌100-150元/吨的局面，但槽车出货价格下跌至450-500元/吨之际，液氯市场触底，中间商及下游入市积极。山东地区预计当前价格触底暂稳，后市随着两会过后下游开工的转好，液氯出货价格将有一定幅度的反弹。河北地区本周基本跟随山东调整为主，本周河北地区耗氯下游受两会影响开工较差，需求面仍显不足。山西地区本周弱势运行，出货情况维稳为主，价格盘整。辽宁地区本周有耗氯项目停车出货情况一般，价格有下滑表现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华东本周液氯价格反弹，上周低价吸单，且碱厂转产合成盐酸分担出货压力，苏皖地区液氯出货价格反弹100元/吨，厂家交投面较好，本周发货情况顺畅；浙江地区本周出货正常，下游氟化工和CPE厂家接单正常，钢瓶客户稍显逊色；江西地区本周补跌100元/吨和外围市场持平运行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河南地区整体小幅度上调，调整后出货价格下跌，河南一带液氯下游目前主要以消毒剂、农药、氯化石蜡为主，该类企业近期生产积极性不高；湖北地区供应有增多预期，下游对高价抵制，当前出货价格有松动。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西北、西南液氯供应不多，维持稳定发货为主，个别地区货源紧张。</w:t>
      </w: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13217645"/>
      <w:bookmarkStart w:id="442" w:name="_Toc8991667"/>
      <w:bookmarkStart w:id="443" w:name="_Toc9583966"/>
      <w:bookmarkStart w:id="444" w:name="_Toc9597673"/>
      <w:bookmarkStart w:id="445" w:name="_Toc10202322"/>
      <w:bookmarkStart w:id="446" w:name="_Toc12609917"/>
    </w:p>
    <w:p>
      <w:pPr>
        <w:keepNext w:val="0"/>
        <w:keepLines w:val="0"/>
        <w:widowControl/>
        <w:suppressLineNumbers w:val="0"/>
        <w:spacing w:before="0" w:beforeAutospacing="0" w:after="0" w:afterAutospacing="0" w:line="239" w:lineRule="atLeast"/>
        <w:ind w:right="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截止到5月28日发稿，各地区液氯槽车主流出厂价格：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      山东省内主流槽车400-600元/吨，河北省内主流槽车执行600-700元/吨；河南省槽车主流出货价格在650-800元/吨均有，钢瓶槽车同价；山西地区槽车出货主流在400元/吨；浙江地区当前槽车出货价格为700-800元/吨均有；安徽、江苏地区槽车出厂500-600元/吨；江西槽车出厂500-550元/吨；辽宁地区槽车出厂400-600元/吨；内蒙液氯槽车900元/吨；湖北地区少量槽车出厂价格在850-900元/吨；四川地区500-700元/吨，当地高价成交有限。</w:t>
      </w: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br w:type="textWrapping"/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767078"/>
      <w:bookmarkStart w:id="449" w:name="_Toc8378829"/>
      <w:bookmarkStart w:id="450" w:name="_Toc4596906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keepNext w:val="0"/>
        <w:keepLines w:val="0"/>
        <w:widowControl/>
        <w:suppressLineNumbers w:val="0"/>
        <w:spacing w:before="0" w:beforeAutospacing="0" w:after="0" w:afterAutospacing="0" w:line="239" w:lineRule="atLeast"/>
        <w:ind w:right="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bookmarkStart w:id="453" w:name="_Toc8991668"/>
      <w:bookmarkStart w:id="454" w:name="_Toc8378830"/>
      <w:bookmarkStart w:id="455" w:name="_Toc8313148"/>
      <w:bookmarkStart w:id="456" w:name="_Toc9583967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周山东市场供应集中恢复，聊城、济宁地区厂家集中在2月26日恢复开工，下游企业看空浓厚加之两会期间部分耗氯企业停车，外围胶东半岛企液氯外销较多，山东地区液氯市场陷入每日下跌100-150元/吨的局面，但槽车出货价格下跌至450-500元/吨之际，液氯市场触底，中间商及下游入市积极。山东地区预计当前价格触底暂稳，后市随着两会过后下游开工的转好，液氯出货价格将有一定幅度的反弹。河北地区本周基本跟随山东调整为主，本周河北地区耗氯下游受两会影响开工较差，需求面仍显不足。山西地区本周弱势运行，出货情况维稳为主，价格盘整。辽宁地区本周有耗氯项目停车出货情况一般，价格有下滑表现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</w:p>
    <w:p>
      <w:pPr>
        <w:pStyle w:val="1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>
        <w:rPr>
          <w:rFonts w:ascii="黑体" w:hAnsi="黑体" w:eastAsia="黑体" w:cs="Times New Roman"/>
          <w:sz w:val="30"/>
          <w:szCs w:val="30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  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下周预计整体液氯市场需求呈现上升趋势，下周两会结束，部分耗氯企业复工或提产，需求面有一定支撑，并且南方北方液氯均已触底，后市预计稳中上涨，但目前下游盈利一般，预计山东局部在检修的支撑下游上涨的可能，涨幅在200-400元/吨，华东地区预计维稳发货，个别地区小幅上涨100-150元/吨左右。</w:t>
      </w:r>
    </w:p>
    <w:p>
      <w:pPr>
        <w:pStyle w:val="12"/>
        <w:spacing w:before="0" w:beforeAutospacing="0" w:after="0" w:afterAutospacing="0" w:line="400" w:lineRule="exact"/>
        <w:outlineLvl w:val="1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</w:p>
    <w:p>
      <w:pPr>
        <w:pStyle w:val="12"/>
        <w:ind w:firstLine="602" w:firstLineChars="200"/>
        <w:rPr>
          <w:rFonts w:cs="Times New Roman"/>
          <w:b/>
          <w:bCs/>
          <w:sz w:val="30"/>
          <w:szCs w:val="30"/>
        </w:rPr>
      </w:pPr>
      <w:bookmarkStart w:id="464" w:name="_Toc8313149"/>
      <w:bookmarkStart w:id="465" w:name="_Toc8991669"/>
      <w:bookmarkStart w:id="466" w:name="_Toc8378831"/>
      <w:bookmarkStart w:id="467" w:name="_Toc9597675"/>
      <w:bookmarkStart w:id="468" w:name="_Toc9583968"/>
      <w:bookmarkStart w:id="469" w:name="_Toc12609919"/>
      <w:bookmarkStart w:id="470" w:name="_Toc13217647"/>
      <w:bookmarkStart w:id="471" w:name="_Toc10202324"/>
      <w:bookmarkStart w:id="472" w:name="_Toc4596908"/>
      <w:bookmarkStart w:id="473" w:name="_Toc4654045"/>
      <w:bookmarkStart w:id="474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84.15pt;margin-top:-38.8pt;height:842.25pt;width:594.75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5B5F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825CB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4195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47AF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31FD"/>
    <w:rsid w:val="00773E14"/>
    <w:rsid w:val="00774026"/>
    <w:rsid w:val="0077403D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278E"/>
    <w:rsid w:val="00A74680"/>
    <w:rsid w:val="00A82147"/>
    <w:rsid w:val="00A842A6"/>
    <w:rsid w:val="00A8638B"/>
    <w:rsid w:val="00A873D2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6A74"/>
    <w:rsid w:val="00B67096"/>
    <w:rsid w:val="00B734BA"/>
    <w:rsid w:val="00B7594B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6D83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184"/>
    <w:rsid w:val="00E26B1F"/>
    <w:rsid w:val="00E32EB6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35DB5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334AEA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93261F"/>
    <w:rsid w:val="02A87A41"/>
    <w:rsid w:val="02AC0079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B397B"/>
    <w:rsid w:val="038B5487"/>
    <w:rsid w:val="039454F7"/>
    <w:rsid w:val="03954B71"/>
    <w:rsid w:val="03A32B9E"/>
    <w:rsid w:val="03E02912"/>
    <w:rsid w:val="03F74F5B"/>
    <w:rsid w:val="03FB760D"/>
    <w:rsid w:val="040C03BD"/>
    <w:rsid w:val="041550AB"/>
    <w:rsid w:val="042A0F92"/>
    <w:rsid w:val="042D7FDB"/>
    <w:rsid w:val="04545041"/>
    <w:rsid w:val="045D4337"/>
    <w:rsid w:val="049E4FF2"/>
    <w:rsid w:val="04A17507"/>
    <w:rsid w:val="04AC619C"/>
    <w:rsid w:val="04B510B6"/>
    <w:rsid w:val="04C83E06"/>
    <w:rsid w:val="05382FEF"/>
    <w:rsid w:val="0543483B"/>
    <w:rsid w:val="054826E6"/>
    <w:rsid w:val="05486BF5"/>
    <w:rsid w:val="05527BDA"/>
    <w:rsid w:val="055C366D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6421F4B"/>
    <w:rsid w:val="065C721B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407187"/>
    <w:rsid w:val="075549A0"/>
    <w:rsid w:val="07740842"/>
    <w:rsid w:val="07773497"/>
    <w:rsid w:val="07890D0A"/>
    <w:rsid w:val="07984BBF"/>
    <w:rsid w:val="07AE4A7D"/>
    <w:rsid w:val="07DD4E6B"/>
    <w:rsid w:val="08016807"/>
    <w:rsid w:val="080240DB"/>
    <w:rsid w:val="08351D21"/>
    <w:rsid w:val="08A903BD"/>
    <w:rsid w:val="08BC3F7D"/>
    <w:rsid w:val="08C1740A"/>
    <w:rsid w:val="08D0436B"/>
    <w:rsid w:val="091B1A08"/>
    <w:rsid w:val="091F10BB"/>
    <w:rsid w:val="09281147"/>
    <w:rsid w:val="093F027C"/>
    <w:rsid w:val="09410D16"/>
    <w:rsid w:val="09593BE6"/>
    <w:rsid w:val="095A6794"/>
    <w:rsid w:val="096C6451"/>
    <w:rsid w:val="097B6FF1"/>
    <w:rsid w:val="09996C4F"/>
    <w:rsid w:val="09A068DB"/>
    <w:rsid w:val="09CE0444"/>
    <w:rsid w:val="09D346B2"/>
    <w:rsid w:val="09DF4FD2"/>
    <w:rsid w:val="0A1366BF"/>
    <w:rsid w:val="0A1428E0"/>
    <w:rsid w:val="0A1519B0"/>
    <w:rsid w:val="0A152E7E"/>
    <w:rsid w:val="0A2D1211"/>
    <w:rsid w:val="0A461ACB"/>
    <w:rsid w:val="0A66188B"/>
    <w:rsid w:val="0A7C32A0"/>
    <w:rsid w:val="0A841691"/>
    <w:rsid w:val="0A863285"/>
    <w:rsid w:val="0A890607"/>
    <w:rsid w:val="0AA70C4A"/>
    <w:rsid w:val="0AA8524A"/>
    <w:rsid w:val="0B1F782B"/>
    <w:rsid w:val="0B255A7F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E3B3C"/>
    <w:rsid w:val="0D1E1A87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B57890"/>
    <w:rsid w:val="0DDF2CA9"/>
    <w:rsid w:val="0DDF6DC0"/>
    <w:rsid w:val="0DFA218B"/>
    <w:rsid w:val="0E037EF0"/>
    <w:rsid w:val="0E106155"/>
    <w:rsid w:val="0E1378E5"/>
    <w:rsid w:val="0E2813BC"/>
    <w:rsid w:val="0E330069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3B63A1"/>
    <w:rsid w:val="0F6C01DF"/>
    <w:rsid w:val="0F717475"/>
    <w:rsid w:val="0FA16C1B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F4C26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794E7B"/>
    <w:rsid w:val="16817317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706F19"/>
    <w:rsid w:val="17771166"/>
    <w:rsid w:val="17856D8D"/>
    <w:rsid w:val="17B515F1"/>
    <w:rsid w:val="17C12A54"/>
    <w:rsid w:val="17CE67EB"/>
    <w:rsid w:val="17D17B3F"/>
    <w:rsid w:val="17E920D7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B3000F"/>
    <w:rsid w:val="1CBA0992"/>
    <w:rsid w:val="1CC75091"/>
    <w:rsid w:val="1CDE5D67"/>
    <w:rsid w:val="1CFA7100"/>
    <w:rsid w:val="1D1A225D"/>
    <w:rsid w:val="1D5E1FCF"/>
    <w:rsid w:val="1D6C20FF"/>
    <w:rsid w:val="1D7338A6"/>
    <w:rsid w:val="1DC07CB1"/>
    <w:rsid w:val="1DD7185B"/>
    <w:rsid w:val="1DDD3152"/>
    <w:rsid w:val="1DE91C96"/>
    <w:rsid w:val="1DF9717F"/>
    <w:rsid w:val="1E014C06"/>
    <w:rsid w:val="1E166D72"/>
    <w:rsid w:val="1E2A13EE"/>
    <w:rsid w:val="1E400032"/>
    <w:rsid w:val="1E4F567E"/>
    <w:rsid w:val="1E5429AD"/>
    <w:rsid w:val="1EA17D82"/>
    <w:rsid w:val="1EA56EB4"/>
    <w:rsid w:val="1EA80D12"/>
    <w:rsid w:val="1EA91AD4"/>
    <w:rsid w:val="1EB26E40"/>
    <w:rsid w:val="1EF15311"/>
    <w:rsid w:val="1F1A1E89"/>
    <w:rsid w:val="1F1C3E22"/>
    <w:rsid w:val="1F2914FD"/>
    <w:rsid w:val="1F312568"/>
    <w:rsid w:val="1F43662E"/>
    <w:rsid w:val="1F85078D"/>
    <w:rsid w:val="1F9B15F7"/>
    <w:rsid w:val="1FA92C1C"/>
    <w:rsid w:val="1FB40E7B"/>
    <w:rsid w:val="1FC65118"/>
    <w:rsid w:val="20081DAE"/>
    <w:rsid w:val="200C3229"/>
    <w:rsid w:val="203175DD"/>
    <w:rsid w:val="203239BF"/>
    <w:rsid w:val="20645B40"/>
    <w:rsid w:val="206A1AAA"/>
    <w:rsid w:val="20A21432"/>
    <w:rsid w:val="20A73498"/>
    <w:rsid w:val="20B8519B"/>
    <w:rsid w:val="20C22B0F"/>
    <w:rsid w:val="2120667F"/>
    <w:rsid w:val="212577C9"/>
    <w:rsid w:val="2129013A"/>
    <w:rsid w:val="213132B3"/>
    <w:rsid w:val="21381DD1"/>
    <w:rsid w:val="214977FA"/>
    <w:rsid w:val="21A93D88"/>
    <w:rsid w:val="21B2378E"/>
    <w:rsid w:val="21CD5E7B"/>
    <w:rsid w:val="21E309CC"/>
    <w:rsid w:val="21F062E3"/>
    <w:rsid w:val="22140ABA"/>
    <w:rsid w:val="223566E9"/>
    <w:rsid w:val="22750885"/>
    <w:rsid w:val="22781FE1"/>
    <w:rsid w:val="228C1924"/>
    <w:rsid w:val="22C473F8"/>
    <w:rsid w:val="22DD0E5E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C42B0E"/>
    <w:rsid w:val="24E5063A"/>
    <w:rsid w:val="24EE6EEF"/>
    <w:rsid w:val="250E36D4"/>
    <w:rsid w:val="251131AC"/>
    <w:rsid w:val="252C7CDE"/>
    <w:rsid w:val="252E0C75"/>
    <w:rsid w:val="2531647C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EA196B"/>
    <w:rsid w:val="25F762BD"/>
    <w:rsid w:val="260B23EF"/>
    <w:rsid w:val="26222797"/>
    <w:rsid w:val="26365347"/>
    <w:rsid w:val="26411875"/>
    <w:rsid w:val="264B33E4"/>
    <w:rsid w:val="26B1588A"/>
    <w:rsid w:val="26BE1C99"/>
    <w:rsid w:val="26BF5437"/>
    <w:rsid w:val="26C2123A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E73B9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430EFC"/>
    <w:rsid w:val="2A513500"/>
    <w:rsid w:val="2AD333D3"/>
    <w:rsid w:val="2B0B0E1A"/>
    <w:rsid w:val="2B0E711C"/>
    <w:rsid w:val="2B185B0D"/>
    <w:rsid w:val="2B24515F"/>
    <w:rsid w:val="2B264B60"/>
    <w:rsid w:val="2B28757D"/>
    <w:rsid w:val="2B325797"/>
    <w:rsid w:val="2B485786"/>
    <w:rsid w:val="2B584813"/>
    <w:rsid w:val="2B90764A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794137"/>
    <w:rsid w:val="2C7A1C49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12121F"/>
    <w:rsid w:val="2E3428A1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300710B9"/>
    <w:rsid w:val="301469DB"/>
    <w:rsid w:val="30443666"/>
    <w:rsid w:val="30445BE2"/>
    <w:rsid w:val="304478B7"/>
    <w:rsid w:val="30567232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7871ED"/>
    <w:rsid w:val="318800B8"/>
    <w:rsid w:val="318B7C3C"/>
    <w:rsid w:val="318D38AC"/>
    <w:rsid w:val="31A34525"/>
    <w:rsid w:val="31A67991"/>
    <w:rsid w:val="31C66375"/>
    <w:rsid w:val="31CB7ECB"/>
    <w:rsid w:val="31DD66AD"/>
    <w:rsid w:val="321A19AC"/>
    <w:rsid w:val="32351768"/>
    <w:rsid w:val="323B473C"/>
    <w:rsid w:val="32573668"/>
    <w:rsid w:val="327169B3"/>
    <w:rsid w:val="329711D4"/>
    <w:rsid w:val="329F67D2"/>
    <w:rsid w:val="32B413B0"/>
    <w:rsid w:val="32BD5199"/>
    <w:rsid w:val="32DA04F5"/>
    <w:rsid w:val="32DF5292"/>
    <w:rsid w:val="331B49F3"/>
    <w:rsid w:val="33272875"/>
    <w:rsid w:val="33325630"/>
    <w:rsid w:val="33423785"/>
    <w:rsid w:val="33525A0A"/>
    <w:rsid w:val="335912D0"/>
    <w:rsid w:val="3386387A"/>
    <w:rsid w:val="33896F89"/>
    <w:rsid w:val="33984B88"/>
    <w:rsid w:val="33A06C52"/>
    <w:rsid w:val="33C62097"/>
    <w:rsid w:val="33D405E1"/>
    <w:rsid w:val="33D67664"/>
    <w:rsid w:val="33F45FEE"/>
    <w:rsid w:val="33F6199A"/>
    <w:rsid w:val="33FF5135"/>
    <w:rsid w:val="343D3244"/>
    <w:rsid w:val="34A7148E"/>
    <w:rsid w:val="34B7051A"/>
    <w:rsid w:val="34BE693E"/>
    <w:rsid w:val="34C23899"/>
    <w:rsid w:val="34DF2DE7"/>
    <w:rsid w:val="34E50B27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6C2796"/>
    <w:rsid w:val="3980152A"/>
    <w:rsid w:val="399223FA"/>
    <w:rsid w:val="39955780"/>
    <w:rsid w:val="39AE0D4E"/>
    <w:rsid w:val="3A03584E"/>
    <w:rsid w:val="3A197AC1"/>
    <w:rsid w:val="3A4D56C0"/>
    <w:rsid w:val="3A592602"/>
    <w:rsid w:val="3A65734A"/>
    <w:rsid w:val="3A825A80"/>
    <w:rsid w:val="3A9123C0"/>
    <w:rsid w:val="3AA77AD9"/>
    <w:rsid w:val="3AAD45FC"/>
    <w:rsid w:val="3AB23C7E"/>
    <w:rsid w:val="3ADF50E9"/>
    <w:rsid w:val="3AE3199B"/>
    <w:rsid w:val="3AFF438C"/>
    <w:rsid w:val="3B2D44E1"/>
    <w:rsid w:val="3B3576D3"/>
    <w:rsid w:val="3B543871"/>
    <w:rsid w:val="3B594B04"/>
    <w:rsid w:val="3B751CEA"/>
    <w:rsid w:val="3BCD1350"/>
    <w:rsid w:val="3BFA6E54"/>
    <w:rsid w:val="3C264D71"/>
    <w:rsid w:val="3C2D6A5B"/>
    <w:rsid w:val="3C567AB8"/>
    <w:rsid w:val="3C6A413D"/>
    <w:rsid w:val="3C791086"/>
    <w:rsid w:val="3CCF420F"/>
    <w:rsid w:val="3CF81306"/>
    <w:rsid w:val="3D010241"/>
    <w:rsid w:val="3D096174"/>
    <w:rsid w:val="3D1E3E3D"/>
    <w:rsid w:val="3D5F6BC7"/>
    <w:rsid w:val="3D6019E2"/>
    <w:rsid w:val="3D694746"/>
    <w:rsid w:val="3D74565B"/>
    <w:rsid w:val="3D8A359B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E0E18"/>
    <w:rsid w:val="3ECB10CB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EA1764"/>
    <w:rsid w:val="401477C2"/>
    <w:rsid w:val="40224A29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1183806"/>
    <w:rsid w:val="411C7A1B"/>
    <w:rsid w:val="412D189F"/>
    <w:rsid w:val="41612651"/>
    <w:rsid w:val="41B55023"/>
    <w:rsid w:val="41BD2E20"/>
    <w:rsid w:val="41ED63ED"/>
    <w:rsid w:val="42203EF6"/>
    <w:rsid w:val="423C58E6"/>
    <w:rsid w:val="424A6830"/>
    <w:rsid w:val="42643689"/>
    <w:rsid w:val="426702CE"/>
    <w:rsid w:val="426E2D48"/>
    <w:rsid w:val="427F06AC"/>
    <w:rsid w:val="428F2D0E"/>
    <w:rsid w:val="42D3670D"/>
    <w:rsid w:val="42EC38FC"/>
    <w:rsid w:val="42ED2564"/>
    <w:rsid w:val="42F04B90"/>
    <w:rsid w:val="436D793C"/>
    <w:rsid w:val="43950EAA"/>
    <w:rsid w:val="43BC78EC"/>
    <w:rsid w:val="43CD4F08"/>
    <w:rsid w:val="43D44F9D"/>
    <w:rsid w:val="44013332"/>
    <w:rsid w:val="44151576"/>
    <w:rsid w:val="444E0AA1"/>
    <w:rsid w:val="44574BE4"/>
    <w:rsid w:val="44626811"/>
    <w:rsid w:val="44AC2A64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851492"/>
    <w:rsid w:val="46975AF3"/>
    <w:rsid w:val="469C5DED"/>
    <w:rsid w:val="46E6270B"/>
    <w:rsid w:val="47174E47"/>
    <w:rsid w:val="471A4BF0"/>
    <w:rsid w:val="474F32D6"/>
    <w:rsid w:val="475B6B6F"/>
    <w:rsid w:val="47657879"/>
    <w:rsid w:val="47772291"/>
    <w:rsid w:val="477E37E3"/>
    <w:rsid w:val="47842B8D"/>
    <w:rsid w:val="478949E3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C2BE3"/>
    <w:rsid w:val="48F51468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A1E5602"/>
    <w:rsid w:val="4A4E09C7"/>
    <w:rsid w:val="4A705D29"/>
    <w:rsid w:val="4AA919F3"/>
    <w:rsid w:val="4AC026BD"/>
    <w:rsid w:val="4AC901FE"/>
    <w:rsid w:val="4ADC1C12"/>
    <w:rsid w:val="4AED74A4"/>
    <w:rsid w:val="4B120DC9"/>
    <w:rsid w:val="4B2211C1"/>
    <w:rsid w:val="4B392FD5"/>
    <w:rsid w:val="4B687AF9"/>
    <w:rsid w:val="4B697C3A"/>
    <w:rsid w:val="4BA00211"/>
    <w:rsid w:val="4BA14D45"/>
    <w:rsid w:val="4BCB1550"/>
    <w:rsid w:val="4BCD0145"/>
    <w:rsid w:val="4BD13ABF"/>
    <w:rsid w:val="4BDC0F6E"/>
    <w:rsid w:val="4C092281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7369A5"/>
    <w:rsid w:val="4D7E1D77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7536C8"/>
    <w:rsid w:val="4E7C569A"/>
    <w:rsid w:val="4E9E2006"/>
    <w:rsid w:val="4EB77DE7"/>
    <w:rsid w:val="4EC84B15"/>
    <w:rsid w:val="4ECE5499"/>
    <w:rsid w:val="4EEB79F2"/>
    <w:rsid w:val="4F2D38A3"/>
    <w:rsid w:val="4F4F6D93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B97677"/>
    <w:rsid w:val="50BE0FBC"/>
    <w:rsid w:val="50C01636"/>
    <w:rsid w:val="50C10213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9B1BA0"/>
    <w:rsid w:val="51B311DF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D56489"/>
    <w:rsid w:val="52E346E8"/>
    <w:rsid w:val="52EB4A31"/>
    <w:rsid w:val="52EF68FB"/>
    <w:rsid w:val="532B50F8"/>
    <w:rsid w:val="532E0FBE"/>
    <w:rsid w:val="532E70A5"/>
    <w:rsid w:val="535D6073"/>
    <w:rsid w:val="53811A4D"/>
    <w:rsid w:val="53D32837"/>
    <w:rsid w:val="53D964FA"/>
    <w:rsid w:val="53F372ED"/>
    <w:rsid w:val="543F4416"/>
    <w:rsid w:val="549717CE"/>
    <w:rsid w:val="54996CCE"/>
    <w:rsid w:val="54A41DDC"/>
    <w:rsid w:val="54AA1B76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C43C0"/>
    <w:rsid w:val="55FD3BA6"/>
    <w:rsid w:val="56081FC6"/>
    <w:rsid w:val="5608399A"/>
    <w:rsid w:val="565551BA"/>
    <w:rsid w:val="567A50EC"/>
    <w:rsid w:val="56885A23"/>
    <w:rsid w:val="56E24E8C"/>
    <w:rsid w:val="56E84980"/>
    <w:rsid w:val="57132849"/>
    <w:rsid w:val="572D0997"/>
    <w:rsid w:val="5751077E"/>
    <w:rsid w:val="57711F0E"/>
    <w:rsid w:val="577C0782"/>
    <w:rsid w:val="577D5D27"/>
    <w:rsid w:val="57856773"/>
    <w:rsid w:val="57A17572"/>
    <w:rsid w:val="57E56DE8"/>
    <w:rsid w:val="57EB6A42"/>
    <w:rsid w:val="57F11178"/>
    <w:rsid w:val="58210661"/>
    <w:rsid w:val="5821275B"/>
    <w:rsid w:val="58655558"/>
    <w:rsid w:val="586D1B1A"/>
    <w:rsid w:val="58B55086"/>
    <w:rsid w:val="58B94825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48354A"/>
    <w:rsid w:val="5A992B2C"/>
    <w:rsid w:val="5AF11251"/>
    <w:rsid w:val="5AFB1B92"/>
    <w:rsid w:val="5B047FE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7239E0"/>
    <w:rsid w:val="5C7A0907"/>
    <w:rsid w:val="5C84480B"/>
    <w:rsid w:val="5C9725E4"/>
    <w:rsid w:val="5CE94F9D"/>
    <w:rsid w:val="5CF46AC5"/>
    <w:rsid w:val="5D247B08"/>
    <w:rsid w:val="5D2817F2"/>
    <w:rsid w:val="5D365FD4"/>
    <w:rsid w:val="5D416689"/>
    <w:rsid w:val="5D424649"/>
    <w:rsid w:val="5D491E3A"/>
    <w:rsid w:val="5D5010C4"/>
    <w:rsid w:val="5D5521A5"/>
    <w:rsid w:val="5D805323"/>
    <w:rsid w:val="5D8D0F26"/>
    <w:rsid w:val="5D94396F"/>
    <w:rsid w:val="5D94403E"/>
    <w:rsid w:val="5D9E4E72"/>
    <w:rsid w:val="5DB11371"/>
    <w:rsid w:val="5DF83CD8"/>
    <w:rsid w:val="5E180D90"/>
    <w:rsid w:val="5E1E0ACC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B64157"/>
    <w:rsid w:val="5FDF4377"/>
    <w:rsid w:val="5FEC0957"/>
    <w:rsid w:val="5FFE79FF"/>
    <w:rsid w:val="600338D6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F56F66"/>
    <w:rsid w:val="614B4BC0"/>
    <w:rsid w:val="61557EEB"/>
    <w:rsid w:val="616D01B4"/>
    <w:rsid w:val="619133FF"/>
    <w:rsid w:val="61B131C8"/>
    <w:rsid w:val="61C23685"/>
    <w:rsid w:val="61C73342"/>
    <w:rsid w:val="61DF6B8E"/>
    <w:rsid w:val="61F652EC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3251CCE"/>
    <w:rsid w:val="632C41E5"/>
    <w:rsid w:val="632E67C9"/>
    <w:rsid w:val="632F0E9F"/>
    <w:rsid w:val="633C501C"/>
    <w:rsid w:val="6347127C"/>
    <w:rsid w:val="6366592D"/>
    <w:rsid w:val="63711198"/>
    <w:rsid w:val="638463AE"/>
    <w:rsid w:val="63974A64"/>
    <w:rsid w:val="63A74447"/>
    <w:rsid w:val="63D66457"/>
    <w:rsid w:val="63E5706E"/>
    <w:rsid w:val="6409526A"/>
    <w:rsid w:val="640A0796"/>
    <w:rsid w:val="645B39C1"/>
    <w:rsid w:val="645D6907"/>
    <w:rsid w:val="64642B57"/>
    <w:rsid w:val="64761BE9"/>
    <w:rsid w:val="649D217D"/>
    <w:rsid w:val="64DA4F14"/>
    <w:rsid w:val="64F87041"/>
    <w:rsid w:val="65142B50"/>
    <w:rsid w:val="651A1AB7"/>
    <w:rsid w:val="65233802"/>
    <w:rsid w:val="653C762B"/>
    <w:rsid w:val="654928CF"/>
    <w:rsid w:val="658A52E8"/>
    <w:rsid w:val="659A0B1B"/>
    <w:rsid w:val="65B637F2"/>
    <w:rsid w:val="65BC2C98"/>
    <w:rsid w:val="664837EC"/>
    <w:rsid w:val="666D2168"/>
    <w:rsid w:val="667003EB"/>
    <w:rsid w:val="6677768C"/>
    <w:rsid w:val="66803472"/>
    <w:rsid w:val="66A1426F"/>
    <w:rsid w:val="66BA23F6"/>
    <w:rsid w:val="66EC49D9"/>
    <w:rsid w:val="672512E6"/>
    <w:rsid w:val="672D4C66"/>
    <w:rsid w:val="677231B7"/>
    <w:rsid w:val="67825159"/>
    <w:rsid w:val="67825212"/>
    <w:rsid w:val="679D7F83"/>
    <w:rsid w:val="67A14053"/>
    <w:rsid w:val="67A2791E"/>
    <w:rsid w:val="67CD2154"/>
    <w:rsid w:val="67D37C61"/>
    <w:rsid w:val="67EF32BF"/>
    <w:rsid w:val="67F0621A"/>
    <w:rsid w:val="68220F0A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E960EE"/>
    <w:rsid w:val="6A511A1B"/>
    <w:rsid w:val="6A57307A"/>
    <w:rsid w:val="6A5942E5"/>
    <w:rsid w:val="6A686AC7"/>
    <w:rsid w:val="6AAE6795"/>
    <w:rsid w:val="6AE23FED"/>
    <w:rsid w:val="6B0F4999"/>
    <w:rsid w:val="6B242E96"/>
    <w:rsid w:val="6B33144F"/>
    <w:rsid w:val="6B391AB4"/>
    <w:rsid w:val="6B4F3FBD"/>
    <w:rsid w:val="6B617A1C"/>
    <w:rsid w:val="6B6443A0"/>
    <w:rsid w:val="6B983C17"/>
    <w:rsid w:val="6BA01F61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831A37"/>
    <w:rsid w:val="6CBC59F5"/>
    <w:rsid w:val="6CE94783"/>
    <w:rsid w:val="6D006EA7"/>
    <w:rsid w:val="6D042494"/>
    <w:rsid w:val="6D394FFA"/>
    <w:rsid w:val="6D5C3B68"/>
    <w:rsid w:val="6D700CB2"/>
    <w:rsid w:val="6D79044B"/>
    <w:rsid w:val="6D8F163B"/>
    <w:rsid w:val="6D9134DA"/>
    <w:rsid w:val="6D954BC6"/>
    <w:rsid w:val="6DD17F13"/>
    <w:rsid w:val="6DDA4176"/>
    <w:rsid w:val="6E1E3674"/>
    <w:rsid w:val="6E36087C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F0408C9"/>
    <w:rsid w:val="6F1758FB"/>
    <w:rsid w:val="6F270EF2"/>
    <w:rsid w:val="6F5D44F7"/>
    <w:rsid w:val="6F5F358F"/>
    <w:rsid w:val="6F6534EC"/>
    <w:rsid w:val="6F6D114B"/>
    <w:rsid w:val="6F9F5752"/>
    <w:rsid w:val="6FEA13A8"/>
    <w:rsid w:val="6FF4258B"/>
    <w:rsid w:val="70225701"/>
    <w:rsid w:val="702F63A9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34E035F"/>
    <w:rsid w:val="735108E5"/>
    <w:rsid w:val="73573C3F"/>
    <w:rsid w:val="736E4518"/>
    <w:rsid w:val="737C45BB"/>
    <w:rsid w:val="7385199B"/>
    <w:rsid w:val="73A46695"/>
    <w:rsid w:val="73D65692"/>
    <w:rsid w:val="73D70882"/>
    <w:rsid w:val="73DA15A9"/>
    <w:rsid w:val="73E2393B"/>
    <w:rsid w:val="73EC233E"/>
    <w:rsid w:val="73F3719F"/>
    <w:rsid w:val="740D406E"/>
    <w:rsid w:val="74172103"/>
    <w:rsid w:val="741B4516"/>
    <w:rsid w:val="741F36E7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B95C08"/>
    <w:rsid w:val="75BE676E"/>
    <w:rsid w:val="75D83DDE"/>
    <w:rsid w:val="75E10FAF"/>
    <w:rsid w:val="75F44536"/>
    <w:rsid w:val="75FC515E"/>
    <w:rsid w:val="76AD09DA"/>
    <w:rsid w:val="76DF0481"/>
    <w:rsid w:val="76E60207"/>
    <w:rsid w:val="76F834E6"/>
    <w:rsid w:val="77031636"/>
    <w:rsid w:val="771968D4"/>
    <w:rsid w:val="772D2F3E"/>
    <w:rsid w:val="77497184"/>
    <w:rsid w:val="77624665"/>
    <w:rsid w:val="776C4D39"/>
    <w:rsid w:val="778B6DD4"/>
    <w:rsid w:val="77A66074"/>
    <w:rsid w:val="77AB311E"/>
    <w:rsid w:val="77C127EA"/>
    <w:rsid w:val="77C27B37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9175E9B"/>
    <w:rsid w:val="791B706C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F3901"/>
    <w:rsid w:val="7AB74955"/>
    <w:rsid w:val="7ADE77A7"/>
    <w:rsid w:val="7B5070D7"/>
    <w:rsid w:val="7B5E40BF"/>
    <w:rsid w:val="7B5E4B72"/>
    <w:rsid w:val="7B5F5E64"/>
    <w:rsid w:val="7B7C059C"/>
    <w:rsid w:val="7B8C3430"/>
    <w:rsid w:val="7BB66F56"/>
    <w:rsid w:val="7BB74F57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1D2F8B"/>
    <w:rsid w:val="7D4E5134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E0F4721"/>
    <w:rsid w:val="7E1A5D65"/>
    <w:rsid w:val="7E3B119E"/>
    <w:rsid w:val="7E3E49D2"/>
    <w:rsid w:val="7E400B0C"/>
    <w:rsid w:val="7E415179"/>
    <w:rsid w:val="7E7E2A4A"/>
    <w:rsid w:val="7EA65A85"/>
    <w:rsid w:val="7ED8429E"/>
    <w:rsid w:val="7EE61C9F"/>
    <w:rsid w:val="7EF941CE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qFormat/>
    <w:uiPriority w:val="99"/>
    <w:rPr>
      <w:rFonts w:ascii="宋体" w:cs="宋体"/>
      <w:sz w:val="18"/>
      <w:szCs w:val="18"/>
    </w:rPr>
  </w:style>
  <w:style w:type="paragraph" w:styleId="5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6">
    <w:name w:val="Balloon Text"/>
    <w:basedOn w:val="1"/>
    <w:link w:val="20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Document Map Char"/>
    <w:basedOn w:val="14"/>
    <w:link w:val="4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0">
    <w:name w:val="Balloon Text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Footer Char"/>
    <w:basedOn w:val="14"/>
    <w:link w:val="7"/>
    <w:qFormat/>
    <w:locked/>
    <w:uiPriority w:val="99"/>
    <w:rPr>
      <w:sz w:val="18"/>
      <w:szCs w:val="18"/>
    </w:rPr>
  </w:style>
  <w:style w:type="character" w:customStyle="1" w:styleId="22">
    <w:name w:val="Header Char"/>
    <w:basedOn w:val="14"/>
    <w:link w:val="8"/>
    <w:qFormat/>
    <w:locked/>
    <w:uiPriority w:val="99"/>
    <w:rPr>
      <w:sz w:val="18"/>
      <w:szCs w:val="18"/>
    </w:rPr>
  </w:style>
  <w:style w:type="character" w:customStyle="1" w:styleId="23">
    <w:name w:val="Subtitle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4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5">
    <w:name w:val="txt4"/>
    <w:basedOn w:val="14"/>
    <w:qFormat/>
    <w:uiPriority w:val="99"/>
  </w:style>
  <w:style w:type="paragraph" w:customStyle="1" w:styleId="26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apple-converted-space"/>
    <w:basedOn w:val="14"/>
    <w:qFormat/>
    <w:uiPriority w:val="99"/>
  </w:style>
  <w:style w:type="paragraph" w:styleId="29">
    <w:name w:val="No Spacing"/>
    <w:link w:val="30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30">
    <w:name w:val="No Spacing Char"/>
    <w:basedOn w:val="14"/>
    <w:link w:val="29"/>
    <w:qFormat/>
    <w:locked/>
    <w:uiPriority w:val="99"/>
    <w:rPr>
      <w:rFonts w:ascii="Calibri" w:hAnsi="Calibri" w:eastAsia="宋体" w:cs="Calibri"/>
      <w:sz w:val="22"/>
      <w:szCs w:val="22"/>
      <w:lang w:val="en-US" w:eastAsia="zh-CN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14</Pages>
  <Words>877</Words>
  <Characters>5003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2020-05-29T02:17:21Z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