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1B" w:rsidRDefault="00AB71A3">
      <w:r>
        <w:rPr>
          <w:rFonts w:ascii="新宋体" w:eastAsia="新宋体" w:hAnsi="新宋体" w:cs="宋体" w:hint="eastAsia"/>
          <w:b/>
          <w:bCs/>
          <w:kern w:val="36"/>
          <w:sz w:val="32"/>
          <w:szCs w:val="32"/>
        </w:rPr>
        <w:t>氧化铝</w:t>
      </w:r>
      <w:r w:rsidR="00D17BDE">
        <w:rPr>
          <w:rFonts w:ascii="新宋体" w:eastAsia="新宋体" w:hAnsi="新宋体" w:cs="宋体" w:hint="eastAsia"/>
          <w:b/>
          <w:bCs/>
          <w:kern w:val="36"/>
          <w:sz w:val="32"/>
          <w:szCs w:val="32"/>
        </w:rPr>
        <w:t>温和上涨</w:t>
      </w:r>
      <w:r>
        <w:rPr>
          <w:rFonts w:ascii="新宋体" w:eastAsia="新宋体" w:hAnsi="新宋体" w:cs="宋体" w:hint="eastAsia"/>
          <w:b/>
          <w:bCs/>
          <w:kern w:val="36"/>
          <w:sz w:val="32"/>
          <w:szCs w:val="32"/>
        </w:rPr>
        <w:t xml:space="preserve"> </w:t>
      </w:r>
      <w:r w:rsidR="00D17BDE">
        <w:rPr>
          <w:rFonts w:ascii="新宋体" w:eastAsia="新宋体" w:hAnsi="新宋体" w:cs="宋体" w:hint="eastAsia"/>
          <w:b/>
          <w:bCs/>
          <w:kern w:val="36"/>
          <w:sz w:val="32"/>
          <w:szCs w:val="32"/>
        </w:rPr>
        <w:t>下游消费持续向好支撑铝锭</w:t>
      </w:r>
      <w:bookmarkStart w:id="0" w:name="_GoBack"/>
      <w:bookmarkEnd w:id="0"/>
      <w:r w:rsidR="00D17BDE">
        <w:rPr>
          <w:rFonts w:ascii="新宋体" w:eastAsia="新宋体" w:hAnsi="新宋体" w:cs="宋体" w:hint="eastAsia"/>
          <w:b/>
          <w:bCs/>
          <w:kern w:val="36"/>
          <w:sz w:val="32"/>
          <w:szCs w:val="32"/>
        </w:rPr>
        <w:t>上涨</w:t>
      </w:r>
      <w:r>
        <w:rPr>
          <w:rFonts w:ascii="新宋体" w:eastAsia="新宋体" w:hAnsi="新宋体" w:cs="宋体" w:hint="eastAsia"/>
          <w:b/>
          <w:bCs/>
          <w:kern w:val="36"/>
          <w:sz w:val="32"/>
          <w:szCs w:val="32"/>
        </w:rPr>
        <w:t xml:space="preserve">  </w:t>
      </w:r>
    </w:p>
    <w:p w:rsidR="0026591B" w:rsidRDefault="00AB71A3">
      <w:pPr>
        <w:spacing w:beforeLines="100" w:before="312" w:afterLines="50" w:after="156" w:line="240" w:lineRule="auto"/>
        <w:outlineLvl w:val="2"/>
        <w:rPr>
          <w:rFonts w:ascii="新宋体" w:eastAsia="新宋体" w:hAnsi="新宋体"/>
          <w:b/>
          <w:color w:val="796A4F"/>
          <w:sz w:val="28"/>
          <w:szCs w:val="28"/>
        </w:rPr>
      </w:pPr>
      <w:r>
        <w:rPr>
          <w:sz w:val="30"/>
          <w:szCs w:val="30"/>
        </w:rPr>
        <w:t>一、</w:t>
      </w:r>
      <w:proofErr w:type="gramStart"/>
      <w:r>
        <w:rPr>
          <w:rFonts w:ascii="??" w:hAnsi="??" w:hint="eastAsia"/>
          <w:b/>
          <w:bCs/>
          <w:kern w:val="44"/>
          <w:sz w:val="28"/>
          <w:szCs w:val="28"/>
        </w:rPr>
        <w:t>铝产业链生产</w:t>
      </w:r>
      <w:proofErr w:type="gramEnd"/>
      <w:r>
        <w:rPr>
          <w:rFonts w:ascii="??" w:hAnsi="??" w:hint="eastAsia"/>
          <w:b/>
          <w:bCs/>
          <w:kern w:val="44"/>
          <w:sz w:val="28"/>
          <w:szCs w:val="28"/>
        </w:rPr>
        <w:t>情况汇总</w:t>
      </w: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591B">
        <w:tc>
          <w:tcPr>
            <w:tcW w:w="5000" w:type="pct"/>
          </w:tcPr>
          <w:p w:rsidR="0026591B" w:rsidRDefault="00AB71A3">
            <w:pPr>
              <w:tabs>
                <w:tab w:val="left" w:pos="7110"/>
              </w:tabs>
              <w:spacing w:line="400" w:lineRule="exact"/>
              <w:jc w:val="both"/>
              <w:rPr>
                <w:szCs w:val="21"/>
              </w:rPr>
            </w:pPr>
            <w:bookmarkStart w:id="1" w:name="_Hlk498105474"/>
            <w:r>
              <w:rPr>
                <w:rFonts w:hint="eastAsia"/>
                <w:szCs w:val="21"/>
              </w:rPr>
              <w:t>图</w:t>
            </w:r>
            <w:r>
              <w:rPr>
                <w:rFonts w:hint="eastAsia"/>
                <w:szCs w:val="21"/>
              </w:rPr>
              <w:t>1-1</w:t>
            </w:r>
            <w:r>
              <w:rPr>
                <w:rFonts w:hint="eastAsia"/>
                <w:szCs w:val="21"/>
              </w:rPr>
              <w:t>：氧化铝</w:t>
            </w:r>
            <w:r>
              <w:rPr>
                <w:szCs w:val="21"/>
              </w:rPr>
              <w:t>月度产量对比图</w:t>
            </w:r>
          </w:p>
        </w:tc>
      </w:tr>
      <w:tr w:rsidR="0026591B">
        <w:tc>
          <w:tcPr>
            <w:tcW w:w="5000" w:type="pct"/>
          </w:tcPr>
          <w:p w:rsidR="0026591B" w:rsidRDefault="00E70822">
            <w:pPr>
              <w:tabs>
                <w:tab w:val="left" w:pos="7110"/>
              </w:tabs>
              <w:spacing w:line="400" w:lineRule="exact"/>
              <w:jc w:val="both"/>
              <w:rPr>
                <w:rFonts w:ascii="华文新魏" w:eastAsia="华文新魏" w:hAnsi="新宋体"/>
                <w:sz w:val="28"/>
                <w:szCs w:val="28"/>
              </w:rPr>
            </w:pPr>
            <w:r>
              <w:rPr>
                <w:rFonts w:ascii="华文新魏" w:eastAsia="华文新魏" w:hAnsi="新宋体"/>
                <w:noProof/>
                <w:sz w:val="28"/>
                <w:szCs w:val="28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-635</wp:posOffset>
                  </wp:positionV>
                  <wp:extent cx="5304790" cy="2762250"/>
                  <wp:effectExtent l="0" t="0" r="0" b="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4790" cy="276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6591B" w:rsidRDefault="0026591B">
      <w:pPr>
        <w:tabs>
          <w:tab w:val="left" w:pos="7110"/>
        </w:tabs>
        <w:spacing w:line="400" w:lineRule="exact"/>
        <w:jc w:val="both"/>
        <w:rPr>
          <w:rFonts w:ascii="华文新魏" w:eastAsia="华文新魏" w:hAnsi="新宋体"/>
          <w:sz w:val="28"/>
          <w:szCs w:val="28"/>
        </w:rPr>
      </w:pP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591B">
        <w:tc>
          <w:tcPr>
            <w:tcW w:w="5000" w:type="pct"/>
          </w:tcPr>
          <w:p w:rsidR="0026591B" w:rsidRDefault="00AB71A3">
            <w:pPr>
              <w:tabs>
                <w:tab w:val="left" w:pos="7110"/>
              </w:tabs>
              <w:spacing w:line="4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图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：电解铝</w:t>
            </w:r>
            <w:r>
              <w:rPr>
                <w:szCs w:val="21"/>
              </w:rPr>
              <w:t>月度产量对比图</w:t>
            </w:r>
          </w:p>
        </w:tc>
      </w:tr>
      <w:tr w:rsidR="0026591B">
        <w:tc>
          <w:tcPr>
            <w:tcW w:w="5000" w:type="pct"/>
          </w:tcPr>
          <w:p w:rsidR="0026591B" w:rsidRDefault="00E70822">
            <w:pPr>
              <w:tabs>
                <w:tab w:val="left" w:pos="7110"/>
              </w:tabs>
              <w:spacing w:line="400" w:lineRule="exact"/>
              <w:jc w:val="both"/>
              <w:rPr>
                <w:rFonts w:ascii="华文新魏" w:eastAsia="华文新魏" w:hAnsi="新宋体"/>
                <w:sz w:val="28"/>
                <w:szCs w:val="28"/>
              </w:rPr>
            </w:pPr>
            <w:r>
              <w:rPr>
                <w:rFonts w:ascii="华文新魏" w:eastAsia="华文新魏" w:hAnsi="新宋体"/>
                <w:noProof/>
                <w:sz w:val="28"/>
                <w:szCs w:val="28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-3810</wp:posOffset>
                  </wp:positionV>
                  <wp:extent cx="5282565" cy="287655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565" cy="287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6591B" w:rsidRDefault="007054D2">
      <w:pPr>
        <w:tabs>
          <w:tab w:val="left" w:pos="7110"/>
        </w:tabs>
        <w:spacing w:line="400" w:lineRule="exact"/>
        <w:jc w:val="both"/>
        <w:rPr>
          <w:rFonts w:ascii="华文新魏" w:eastAsia="华文新魏" w:hAnsi="新宋体"/>
          <w:sz w:val="28"/>
          <w:szCs w:val="28"/>
        </w:rPr>
      </w:pPr>
      <w:r>
        <w:rPr>
          <w:rFonts w:ascii="华文新魏" w:eastAsia="华文新魏" w:hAnsi="新宋体" w:hint="eastAsia"/>
          <w:sz w:val="28"/>
          <w:szCs w:val="28"/>
        </w:rPr>
        <w:lastRenderedPageBreak/>
        <w:t>5</w:t>
      </w:r>
      <w:r w:rsidR="00AB71A3">
        <w:rPr>
          <w:rFonts w:ascii="华文新魏" w:eastAsia="华文新魏" w:hAnsi="新宋体" w:hint="eastAsia"/>
          <w:sz w:val="28"/>
          <w:szCs w:val="28"/>
        </w:rPr>
        <w:t>月</w:t>
      </w:r>
      <w:r w:rsidR="00AB71A3">
        <w:rPr>
          <w:rFonts w:ascii="华文新魏" w:eastAsia="华文新魏" w:hAnsi="新宋体" w:hint="eastAsia"/>
          <w:sz w:val="28"/>
          <w:szCs w:val="28"/>
        </w:rPr>
        <w:t>氧化铝</w:t>
      </w:r>
      <w:r>
        <w:rPr>
          <w:rFonts w:ascii="华文新魏" w:eastAsia="华文新魏" w:hAnsi="新宋体" w:hint="eastAsia"/>
          <w:sz w:val="28"/>
          <w:szCs w:val="28"/>
        </w:rPr>
        <w:t>产量与上月基本持平</w:t>
      </w:r>
    </w:p>
    <w:p w:rsidR="007D7164" w:rsidRDefault="00F14F86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>
        <w:rPr>
          <w:rFonts w:ascii="新宋体" w:eastAsia="新宋体" w:hAnsi="新宋体" w:hint="eastAsia"/>
          <w:sz w:val="21"/>
          <w:szCs w:val="21"/>
        </w:rPr>
        <w:t>据了解，</w:t>
      </w:r>
      <w:r w:rsidR="007D7164" w:rsidRPr="007D7164">
        <w:rPr>
          <w:rFonts w:ascii="新宋体" w:eastAsia="新宋体" w:hAnsi="新宋体" w:hint="eastAsia"/>
          <w:sz w:val="21"/>
          <w:szCs w:val="21"/>
        </w:rPr>
        <w:t>4月国内氧化铝产量为551.1万吨，折算日产18.37万吨，日产量相较3月增加2500 吨左右，主要是由于当月氧化铝价格整体低位倒逼国产</w:t>
      </w:r>
      <w:proofErr w:type="gramStart"/>
      <w:r w:rsidR="007D7164" w:rsidRPr="007D7164">
        <w:rPr>
          <w:rFonts w:ascii="新宋体" w:eastAsia="新宋体" w:hAnsi="新宋体" w:hint="eastAsia"/>
          <w:sz w:val="21"/>
          <w:szCs w:val="21"/>
        </w:rPr>
        <w:t>矿价格</w:t>
      </w:r>
      <w:proofErr w:type="gramEnd"/>
      <w:r w:rsidR="007D7164" w:rsidRPr="007D7164">
        <w:rPr>
          <w:rFonts w:ascii="新宋体" w:eastAsia="新宋体" w:hAnsi="新宋体" w:hint="eastAsia"/>
          <w:sz w:val="21"/>
          <w:szCs w:val="21"/>
        </w:rPr>
        <w:t>明显下调，应用国产矿石的氧化铝产能在成本预期下降下保持稳产，同时部分企业为了摊平成本，借助规模化优势加大稳产高产力度，利用产量优势来降低单位成本。但同时由于氧化铝价格较低，部分使用进口矿的企业由于成本较高、亏损严重而陆续选择减停产部分生产线（如国电投山西、水江氧化铝及香江万基等企业），一定程度上抵消了应用国产矿的企业稳产高产带来的增量。进入5月以来，氧化铝价格持续温和反弹并逐步靠近晋</w:t>
      </w:r>
      <w:proofErr w:type="gramStart"/>
      <w:r w:rsidR="007D7164" w:rsidRPr="007D7164">
        <w:rPr>
          <w:rFonts w:ascii="新宋体" w:eastAsia="新宋体" w:hAnsi="新宋体" w:hint="eastAsia"/>
          <w:sz w:val="21"/>
          <w:szCs w:val="21"/>
        </w:rPr>
        <w:t>豫成本</w:t>
      </w:r>
      <w:proofErr w:type="gramEnd"/>
      <w:r w:rsidR="007D7164" w:rsidRPr="007D7164">
        <w:rPr>
          <w:rFonts w:ascii="新宋体" w:eastAsia="新宋体" w:hAnsi="新宋体" w:hint="eastAsia"/>
          <w:sz w:val="21"/>
          <w:szCs w:val="21"/>
        </w:rPr>
        <w:t>线，全行业亏损局面有所缓解，但晋</w:t>
      </w:r>
      <w:proofErr w:type="gramStart"/>
      <w:r w:rsidR="007D7164" w:rsidRPr="007D7164">
        <w:rPr>
          <w:rFonts w:ascii="新宋体" w:eastAsia="新宋体" w:hAnsi="新宋体" w:hint="eastAsia"/>
          <w:sz w:val="21"/>
          <w:szCs w:val="21"/>
        </w:rPr>
        <w:t>豫区域</w:t>
      </w:r>
      <w:proofErr w:type="gramEnd"/>
      <w:r w:rsidR="007D7164" w:rsidRPr="007D7164">
        <w:rPr>
          <w:rFonts w:ascii="新宋体" w:eastAsia="新宋体" w:hAnsi="新宋体" w:hint="eastAsia"/>
          <w:sz w:val="21"/>
          <w:szCs w:val="21"/>
        </w:rPr>
        <w:t>依然亏损的局面尚无法支撑前期停产产能恢复生产，部分企业因矿石供应连续问题、生产线矿石应用调整问题而继续影响产量。预计 5 月氧化铝实产产量为 568 万吨，折算当月日产量18.32万吨左右，与4月基本持平。6月国电投遵义铝业预计部分实现产量、应用国产矿石的氧化铝企业保持稳产高产，国电投山西、香江万基等企业因进口</w:t>
      </w:r>
      <w:proofErr w:type="gramStart"/>
      <w:r w:rsidR="007D7164" w:rsidRPr="007D7164">
        <w:rPr>
          <w:rFonts w:ascii="新宋体" w:eastAsia="新宋体" w:hAnsi="新宋体" w:hint="eastAsia"/>
          <w:sz w:val="21"/>
          <w:szCs w:val="21"/>
        </w:rPr>
        <w:t>矿入料</w:t>
      </w:r>
      <w:proofErr w:type="gramEnd"/>
      <w:r w:rsidR="007D7164" w:rsidRPr="007D7164">
        <w:rPr>
          <w:rFonts w:ascii="新宋体" w:eastAsia="新宋体" w:hAnsi="新宋体" w:hint="eastAsia"/>
          <w:sz w:val="21"/>
          <w:szCs w:val="21"/>
        </w:rPr>
        <w:t>下降，</w:t>
      </w:r>
      <w:proofErr w:type="gramStart"/>
      <w:r w:rsidR="007D7164" w:rsidRPr="007D7164">
        <w:rPr>
          <w:rFonts w:ascii="新宋体" w:eastAsia="新宋体" w:hAnsi="新宋体" w:hint="eastAsia"/>
          <w:sz w:val="21"/>
          <w:szCs w:val="21"/>
        </w:rPr>
        <w:t>固含拉</w:t>
      </w:r>
      <w:proofErr w:type="gramEnd"/>
      <w:r w:rsidR="007D7164" w:rsidRPr="007D7164">
        <w:rPr>
          <w:rFonts w:ascii="新宋体" w:eastAsia="新宋体" w:hAnsi="新宋体" w:hint="eastAsia"/>
          <w:sz w:val="21"/>
          <w:szCs w:val="21"/>
        </w:rPr>
        <w:t>低，预计产量将出现下降，预计当月日产量基本保持稳定。</w:t>
      </w:r>
    </w:p>
    <w:p w:rsidR="0026591B" w:rsidRDefault="006414DF">
      <w:pPr>
        <w:tabs>
          <w:tab w:val="left" w:pos="7110"/>
        </w:tabs>
        <w:spacing w:line="400" w:lineRule="exact"/>
        <w:jc w:val="both"/>
        <w:rPr>
          <w:rFonts w:ascii="华文新魏" w:eastAsia="华文新魏" w:hAnsi="新宋体"/>
          <w:sz w:val="28"/>
          <w:szCs w:val="28"/>
        </w:rPr>
      </w:pPr>
      <w:r>
        <w:rPr>
          <w:rFonts w:ascii="华文新魏" w:eastAsia="华文新魏" w:hAnsi="新宋体" w:hint="eastAsia"/>
          <w:sz w:val="28"/>
          <w:szCs w:val="28"/>
        </w:rPr>
        <w:t>电解铝厂利润修复，新增复产产能加快启动</w:t>
      </w:r>
    </w:p>
    <w:p w:rsidR="0000753A" w:rsidRPr="0000753A" w:rsidRDefault="0000753A" w:rsidP="0000753A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 w:rsidRPr="0000753A">
        <w:rPr>
          <w:rFonts w:ascii="新宋体" w:eastAsia="新宋体" w:hAnsi="新宋体" w:hint="eastAsia"/>
          <w:sz w:val="21"/>
          <w:szCs w:val="21"/>
        </w:rPr>
        <w:t>数据显示，</w:t>
      </w:r>
      <w:r w:rsidR="006414DF">
        <w:rPr>
          <w:rFonts w:ascii="新宋体" w:eastAsia="新宋体" w:hAnsi="新宋体" w:hint="eastAsia"/>
          <w:sz w:val="21"/>
          <w:szCs w:val="21"/>
        </w:rPr>
        <w:t>2020</w:t>
      </w:r>
      <w:r w:rsidRPr="0000753A">
        <w:rPr>
          <w:rFonts w:ascii="新宋体" w:eastAsia="新宋体" w:hAnsi="新宋体" w:hint="eastAsia"/>
          <w:sz w:val="21"/>
          <w:szCs w:val="21"/>
        </w:rPr>
        <w:t>年</w:t>
      </w:r>
      <w:r w:rsidR="006414DF">
        <w:rPr>
          <w:rFonts w:ascii="新宋体" w:eastAsia="新宋体" w:hAnsi="新宋体" w:hint="eastAsia"/>
          <w:sz w:val="21"/>
          <w:szCs w:val="21"/>
        </w:rPr>
        <w:t>5</w:t>
      </w:r>
      <w:r w:rsidRPr="0000753A">
        <w:rPr>
          <w:rFonts w:ascii="新宋体" w:eastAsia="新宋体" w:hAnsi="新宋体" w:hint="eastAsia"/>
          <w:sz w:val="21"/>
          <w:szCs w:val="21"/>
        </w:rPr>
        <w:t>月中国电解</w:t>
      </w:r>
      <w:proofErr w:type="gramStart"/>
      <w:r w:rsidRPr="0000753A">
        <w:rPr>
          <w:rFonts w:ascii="新宋体" w:eastAsia="新宋体" w:hAnsi="新宋体" w:hint="eastAsia"/>
          <w:sz w:val="21"/>
          <w:szCs w:val="21"/>
        </w:rPr>
        <w:t>铝运行</w:t>
      </w:r>
      <w:proofErr w:type="gramEnd"/>
      <w:r w:rsidRPr="0000753A">
        <w:rPr>
          <w:rFonts w:ascii="新宋体" w:eastAsia="新宋体" w:hAnsi="新宋体" w:hint="eastAsia"/>
          <w:sz w:val="21"/>
          <w:szCs w:val="21"/>
        </w:rPr>
        <w:t>产能3693.1万吨，同比增加1.19%， 环比增加0.49%，截至5月底建成产能4101.1万吨，当月电解铝开工率90.05%。随着铝价进一步反弹，国内电解铝行业整体实现大幅扭亏，</w:t>
      </w:r>
      <w:proofErr w:type="gramStart"/>
      <w:r w:rsidRPr="0000753A">
        <w:rPr>
          <w:rFonts w:ascii="新宋体" w:eastAsia="新宋体" w:hAnsi="新宋体" w:hint="eastAsia"/>
          <w:sz w:val="21"/>
          <w:szCs w:val="21"/>
        </w:rPr>
        <w:t>部分铝企吨铝</w:t>
      </w:r>
      <w:proofErr w:type="gramEnd"/>
      <w:r w:rsidRPr="0000753A">
        <w:rPr>
          <w:rFonts w:ascii="新宋体" w:eastAsia="新宋体" w:hAnsi="新宋体" w:hint="eastAsia"/>
          <w:sz w:val="21"/>
          <w:szCs w:val="21"/>
        </w:rPr>
        <w:t>利润理论上重回千元以上，进而带动行业投复产计划积极推进。</w:t>
      </w:r>
      <w:r w:rsidR="006414DF">
        <w:rPr>
          <w:rFonts w:ascii="新宋体" w:eastAsia="新宋体" w:hAnsi="新宋体" w:hint="eastAsia"/>
          <w:sz w:val="21"/>
          <w:szCs w:val="21"/>
        </w:rPr>
        <w:t>据</w:t>
      </w:r>
      <w:r w:rsidRPr="0000753A">
        <w:rPr>
          <w:rFonts w:ascii="新宋体" w:eastAsia="新宋体" w:hAnsi="新宋体" w:hint="eastAsia"/>
          <w:sz w:val="21"/>
          <w:szCs w:val="21"/>
        </w:rPr>
        <w:t>了解，鹤庆溢鑫二期剩余产能自上月下旬</w:t>
      </w:r>
      <w:proofErr w:type="gramStart"/>
      <w:r w:rsidRPr="0000753A">
        <w:rPr>
          <w:rFonts w:ascii="新宋体" w:eastAsia="新宋体" w:hAnsi="新宋体" w:hint="eastAsia"/>
          <w:sz w:val="21"/>
          <w:szCs w:val="21"/>
        </w:rPr>
        <w:t>通电投产</w:t>
      </w:r>
      <w:proofErr w:type="gramEnd"/>
      <w:r w:rsidRPr="0000753A">
        <w:rPr>
          <w:rFonts w:ascii="新宋体" w:eastAsia="新宋体" w:hAnsi="新宋体" w:hint="eastAsia"/>
          <w:sz w:val="21"/>
          <w:szCs w:val="21"/>
        </w:rPr>
        <w:t>以来，目前</w:t>
      </w:r>
      <w:proofErr w:type="gramStart"/>
      <w:r w:rsidRPr="0000753A">
        <w:rPr>
          <w:rFonts w:ascii="新宋体" w:eastAsia="新宋体" w:hAnsi="新宋体" w:hint="eastAsia"/>
          <w:sz w:val="21"/>
          <w:szCs w:val="21"/>
        </w:rPr>
        <w:t>基本启动</w:t>
      </w:r>
      <w:proofErr w:type="gramEnd"/>
      <w:r w:rsidRPr="0000753A">
        <w:rPr>
          <w:rFonts w:ascii="新宋体" w:eastAsia="新宋体" w:hAnsi="新宋体" w:hint="eastAsia"/>
          <w:sz w:val="21"/>
          <w:szCs w:val="21"/>
        </w:rPr>
        <w:t>完成；文山铝业一区电解槽月中正式举行投产仪式； 广元林丰一期二段5月</w:t>
      </w:r>
      <w:r w:rsidR="006414DF">
        <w:rPr>
          <w:rFonts w:ascii="新宋体" w:eastAsia="新宋体" w:hAnsi="新宋体" w:hint="eastAsia"/>
          <w:sz w:val="21"/>
          <w:szCs w:val="21"/>
        </w:rPr>
        <w:t>2</w:t>
      </w:r>
      <w:r w:rsidRPr="0000753A">
        <w:rPr>
          <w:rFonts w:ascii="新宋体" w:eastAsia="新宋体" w:hAnsi="新宋体" w:hint="eastAsia"/>
          <w:sz w:val="21"/>
          <w:szCs w:val="21"/>
        </w:rPr>
        <w:t xml:space="preserve">0 日一次通电成功。复产方面，湖北华盛铝电60余台电解槽已准备就绪，近期准备启动部分产能；河南永登启槽15台左右，产量贡献有限；河南万基、重庆 </w:t>
      </w:r>
      <w:proofErr w:type="gramStart"/>
      <w:r w:rsidRPr="0000753A">
        <w:rPr>
          <w:rFonts w:ascii="新宋体" w:eastAsia="新宋体" w:hAnsi="新宋体" w:hint="eastAsia"/>
          <w:sz w:val="21"/>
          <w:szCs w:val="21"/>
        </w:rPr>
        <w:t>旗能也</w:t>
      </w:r>
      <w:proofErr w:type="gramEnd"/>
      <w:r w:rsidRPr="0000753A">
        <w:rPr>
          <w:rFonts w:ascii="新宋体" w:eastAsia="新宋体" w:hAnsi="新宋体" w:hint="eastAsia"/>
          <w:sz w:val="21"/>
          <w:szCs w:val="21"/>
        </w:rPr>
        <w:t>陆续启动前期修槽产能。</w:t>
      </w:r>
    </w:p>
    <w:p w:rsidR="0026591B" w:rsidRPr="0000753A" w:rsidRDefault="0000753A" w:rsidP="0000753A">
      <w:pPr>
        <w:tabs>
          <w:tab w:val="left" w:pos="7110"/>
        </w:tabs>
        <w:spacing w:line="400" w:lineRule="exact"/>
        <w:jc w:val="both"/>
        <w:rPr>
          <w:rFonts w:ascii="新宋体" w:eastAsia="新宋体" w:hAnsi="新宋体"/>
          <w:sz w:val="21"/>
          <w:szCs w:val="21"/>
        </w:rPr>
      </w:pPr>
      <w:r w:rsidRPr="0000753A">
        <w:rPr>
          <w:rFonts w:ascii="新宋体" w:eastAsia="新宋体" w:hAnsi="新宋体" w:hint="eastAsia"/>
          <w:sz w:val="21"/>
          <w:szCs w:val="21"/>
        </w:rPr>
        <w:t>预计5月中国电解铝产量310万吨，日均产量10万吨，环比微幅上升。</w:t>
      </w:r>
      <w:proofErr w:type="gramStart"/>
      <w:r w:rsidRPr="0000753A">
        <w:rPr>
          <w:rFonts w:ascii="新宋体" w:eastAsia="新宋体" w:hAnsi="新宋体" w:hint="eastAsia"/>
          <w:sz w:val="21"/>
          <w:szCs w:val="21"/>
        </w:rPr>
        <w:t>铝企大幅</w:t>
      </w:r>
      <w:proofErr w:type="gramEnd"/>
      <w:r w:rsidRPr="0000753A">
        <w:rPr>
          <w:rFonts w:ascii="新宋体" w:eastAsia="新宋体" w:hAnsi="新宋体" w:hint="eastAsia"/>
          <w:sz w:val="21"/>
          <w:szCs w:val="21"/>
        </w:rPr>
        <w:t>扭亏为盈带动企业投复产计划稳步推进，但整体规模有限，进而带动国内原铝产量少量增加。公开资料显示，广元林丰一期二段预计6月底全部启动外，二期25万吨产能计划在7月份启动第一段产线。除四川之外，市场更为关注的云南地区也有两个项目正在紧锣密鼓的筹备投产，</w:t>
      </w:r>
      <w:r w:rsidR="006414DF">
        <w:rPr>
          <w:rFonts w:ascii="新宋体" w:eastAsia="新宋体" w:hAnsi="新宋体" w:hint="eastAsia"/>
          <w:sz w:val="21"/>
          <w:szCs w:val="21"/>
        </w:rPr>
        <w:t>据</w:t>
      </w:r>
      <w:r w:rsidRPr="0000753A">
        <w:rPr>
          <w:rFonts w:ascii="新宋体" w:eastAsia="新宋体" w:hAnsi="新宋体" w:hint="eastAsia"/>
          <w:sz w:val="21"/>
          <w:szCs w:val="21"/>
        </w:rPr>
        <w:t>了解，云南神火、云铝海</w:t>
      </w:r>
      <w:proofErr w:type="gramStart"/>
      <w:r w:rsidRPr="0000753A">
        <w:rPr>
          <w:rFonts w:ascii="新宋体" w:eastAsia="新宋体" w:hAnsi="新宋体" w:hint="eastAsia"/>
          <w:sz w:val="21"/>
          <w:szCs w:val="21"/>
        </w:rPr>
        <w:t>鑫</w:t>
      </w:r>
      <w:proofErr w:type="gramEnd"/>
      <w:r w:rsidRPr="0000753A">
        <w:rPr>
          <w:rFonts w:ascii="新宋体" w:eastAsia="新宋体" w:hAnsi="新宋体" w:hint="eastAsia"/>
          <w:sz w:val="21"/>
          <w:szCs w:val="21"/>
        </w:rPr>
        <w:t>或相继在6 月、7月份启动二期产能， 共计25万吨产能左右。复产方面，重庆国丰、包头铝业和华云新材料均计划6月复产。除国内电解</w:t>
      </w:r>
      <w:proofErr w:type="gramStart"/>
      <w:r w:rsidRPr="0000753A">
        <w:rPr>
          <w:rFonts w:ascii="新宋体" w:eastAsia="新宋体" w:hAnsi="新宋体" w:hint="eastAsia"/>
          <w:sz w:val="21"/>
          <w:szCs w:val="21"/>
        </w:rPr>
        <w:t>铝企业</w:t>
      </w:r>
      <w:proofErr w:type="gramEnd"/>
      <w:r w:rsidRPr="0000753A">
        <w:rPr>
          <w:rFonts w:ascii="新宋体" w:eastAsia="新宋体" w:hAnsi="新宋体" w:hint="eastAsia"/>
          <w:sz w:val="21"/>
          <w:szCs w:val="21"/>
        </w:rPr>
        <w:t>投复产积极外，由于内外价差的缘故，二季度以来部分进口铝锭开始涌入国内市场，从本月已经出现的印度铝锭再到5、6月份集中入关的传闻，进口铝锭的流入也将加重国内市场供应压力。</w:t>
      </w:r>
    </w:p>
    <w:p w:rsidR="0026591B" w:rsidRDefault="0026591B" w:rsidP="0000753A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</w:p>
    <w:p w:rsidR="006414DF" w:rsidRPr="006414DF" w:rsidRDefault="006414DF" w:rsidP="0000753A">
      <w:pPr>
        <w:tabs>
          <w:tab w:val="left" w:pos="7110"/>
        </w:tabs>
        <w:spacing w:line="400" w:lineRule="exact"/>
        <w:jc w:val="both"/>
        <w:rPr>
          <w:rFonts w:ascii="新宋体" w:eastAsia="新宋体" w:hAnsi="新宋体"/>
          <w:sz w:val="21"/>
          <w:szCs w:val="21"/>
        </w:rPr>
      </w:pPr>
    </w:p>
    <w:p w:rsidR="0026591B" w:rsidRDefault="00AB71A3">
      <w:pPr>
        <w:spacing w:beforeLines="100" w:before="312" w:afterLines="50" w:after="156" w:line="240" w:lineRule="auto"/>
        <w:outlineLvl w:val="2"/>
        <w:rPr>
          <w:rFonts w:ascii="新宋体" w:eastAsia="新宋体" w:hAnsi="新宋体"/>
          <w:b/>
          <w:color w:val="796A4F"/>
          <w:sz w:val="28"/>
          <w:szCs w:val="28"/>
        </w:rPr>
      </w:pPr>
      <w:r>
        <w:rPr>
          <w:rFonts w:hint="eastAsia"/>
          <w:sz w:val="30"/>
          <w:szCs w:val="30"/>
        </w:rPr>
        <w:lastRenderedPageBreak/>
        <w:t>二</w:t>
      </w:r>
      <w:r>
        <w:rPr>
          <w:sz w:val="30"/>
          <w:szCs w:val="30"/>
        </w:rPr>
        <w:t>、</w:t>
      </w:r>
      <w:proofErr w:type="gramStart"/>
      <w:r>
        <w:rPr>
          <w:rFonts w:ascii="??" w:hAnsi="??" w:hint="eastAsia"/>
          <w:b/>
          <w:bCs/>
          <w:kern w:val="44"/>
          <w:sz w:val="28"/>
          <w:szCs w:val="28"/>
        </w:rPr>
        <w:t>铝产业</w:t>
      </w:r>
      <w:proofErr w:type="gramEnd"/>
      <w:r>
        <w:rPr>
          <w:rFonts w:ascii="??" w:hAnsi="??" w:hint="eastAsia"/>
          <w:b/>
          <w:bCs/>
          <w:kern w:val="44"/>
          <w:sz w:val="28"/>
          <w:szCs w:val="28"/>
        </w:rPr>
        <w:t>链供需平衡情况</w:t>
      </w: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591B">
        <w:tc>
          <w:tcPr>
            <w:tcW w:w="5000" w:type="pct"/>
          </w:tcPr>
          <w:p w:rsidR="0026591B" w:rsidRDefault="00AB71A3">
            <w:pPr>
              <w:tabs>
                <w:tab w:val="left" w:pos="7110"/>
              </w:tabs>
              <w:spacing w:line="4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图</w:t>
            </w:r>
            <w:r>
              <w:rPr>
                <w:rFonts w:hint="eastAsia"/>
                <w:szCs w:val="21"/>
              </w:rPr>
              <w:t>2-1</w:t>
            </w:r>
            <w:r>
              <w:rPr>
                <w:rFonts w:hint="eastAsia"/>
                <w:szCs w:val="21"/>
              </w:rPr>
              <w:t>：国内氧化铝供需平衡表</w:t>
            </w:r>
          </w:p>
        </w:tc>
      </w:tr>
      <w:tr w:rsidR="0026591B">
        <w:tc>
          <w:tcPr>
            <w:tcW w:w="5000" w:type="pct"/>
          </w:tcPr>
          <w:p w:rsidR="0026591B" w:rsidRDefault="00396E79">
            <w:pPr>
              <w:tabs>
                <w:tab w:val="left" w:pos="7110"/>
              </w:tabs>
              <w:spacing w:line="400" w:lineRule="exact"/>
              <w:jc w:val="both"/>
              <w:rPr>
                <w:rFonts w:ascii="华文新魏" w:eastAsia="华文新魏" w:hAnsi="新宋体"/>
                <w:sz w:val="28"/>
                <w:szCs w:val="28"/>
              </w:rPr>
            </w:pPr>
            <w:r>
              <w:rPr>
                <w:rFonts w:ascii="华文新魏" w:eastAsia="华文新魏" w:hAnsi="新宋体"/>
                <w:noProof/>
                <w:sz w:val="28"/>
                <w:szCs w:val="28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5334000" cy="2889885"/>
                  <wp:effectExtent l="0" t="0" r="0" b="5715"/>
                  <wp:wrapTopAndBottom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88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71A3">
              <w:rPr>
                <w:rFonts w:ascii="华文新魏" w:eastAsia="华文新魏" w:hAnsi="新宋体"/>
                <w:sz w:val="28"/>
                <w:szCs w:val="28"/>
              </w:rPr>
              <w:t xml:space="preserve"> </w:t>
            </w:r>
          </w:p>
        </w:tc>
      </w:tr>
    </w:tbl>
    <w:p w:rsidR="0026591B" w:rsidRDefault="0026591B">
      <w:pPr>
        <w:tabs>
          <w:tab w:val="left" w:pos="7110"/>
        </w:tabs>
        <w:spacing w:line="400" w:lineRule="exact"/>
        <w:jc w:val="both"/>
        <w:rPr>
          <w:rFonts w:ascii="新宋体" w:eastAsia="新宋体" w:hAnsi="新宋体"/>
          <w:sz w:val="21"/>
          <w:szCs w:val="21"/>
        </w:rPr>
      </w:pP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591B">
        <w:tc>
          <w:tcPr>
            <w:tcW w:w="5000" w:type="pct"/>
          </w:tcPr>
          <w:p w:rsidR="0026591B" w:rsidRDefault="00396E79">
            <w:pPr>
              <w:tabs>
                <w:tab w:val="left" w:pos="7110"/>
              </w:tabs>
              <w:spacing w:line="400" w:lineRule="exact"/>
              <w:jc w:val="both"/>
              <w:rPr>
                <w:szCs w:val="21"/>
              </w:rPr>
            </w:pPr>
            <w:r>
              <w:rPr>
                <w:rFonts w:ascii="华文新魏" w:eastAsia="华文新魏" w:hAnsi="新宋体"/>
                <w:noProof/>
                <w:sz w:val="28"/>
                <w:szCs w:val="28"/>
              </w:rPr>
              <w:drawing>
                <wp:anchor distT="0" distB="0" distL="114300" distR="114300" simplePos="0" relativeHeight="252327936" behindDoc="0" locked="0" layoutInCell="1" allowOverlap="1" wp14:anchorId="21937A46" wp14:editId="31C68E7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377825</wp:posOffset>
                  </wp:positionV>
                  <wp:extent cx="5334000" cy="2828290"/>
                  <wp:effectExtent l="0" t="0" r="0" b="0"/>
                  <wp:wrapTopAndBottom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82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71A3">
              <w:rPr>
                <w:rFonts w:hint="eastAsia"/>
                <w:szCs w:val="21"/>
              </w:rPr>
              <w:t>图</w:t>
            </w:r>
            <w:r w:rsidR="00AB71A3">
              <w:rPr>
                <w:rFonts w:hint="eastAsia"/>
                <w:szCs w:val="21"/>
              </w:rPr>
              <w:t>2-3</w:t>
            </w:r>
            <w:r w:rsidR="00AB71A3">
              <w:rPr>
                <w:rFonts w:hint="eastAsia"/>
                <w:szCs w:val="21"/>
              </w:rPr>
              <w:t>：国内电解铝供需平衡表</w:t>
            </w:r>
          </w:p>
        </w:tc>
      </w:tr>
      <w:tr w:rsidR="0026591B">
        <w:tc>
          <w:tcPr>
            <w:tcW w:w="5000" w:type="pct"/>
          </w:tcPr>
          <w:p w:rsidR="0026591B" w:rsidRDefault="0026591B">
            <w:pPr>
              <w:tabs>
                <w:tab w:val="left" w:pos="7110"/>
              </w:tabs>
              <w:spacing w:line="400" w:lineRule="exact"/>
              <w:jc w:val="both"/>
              <w:rPr>
                <w:rFonts w:ascii="华文新魏" w:eastAsia="华文新魏" w:hAnsi="新宋体"/>
                <w:sz w:val="28"/>
                <w:szCs w:val="28"/>
              </w:rPr>
            </w:pPr>
          </w:p>
        </w:tc>
      </w:tr>
    </w:tbl>
    <w:p w:rsidR="0026591B" w:rsidRDefault="0026591B">
      <w:pPr>
        <w:tabs>
          <w:tab w:val="left" w:pos="7110"/>
        </w:tabs>
        <w:spacing w:line="400" w:lineRule="exact"/>
        <w:jc w:val="both"/>
        <w:rPr>
          <w:rFonts w:ascii="华文新魏" w:eastAsia="华文新魏" w:hAnsi="新宋体"/>
          <w:sz w:val="28"/>
          <w:szCs w:val="28"/>
        </w:rPr>
      </w:pPr>
    </w:p>
    <w:bookmarkEnd w:id="1"/>
    <w:p w:rsidR="0026591B" w:rsidRDefault="00FD1E91">
      <w:pPr>
        <w:tabs>
          <w:tab w:val="left" w:pos="7110"/>
        </w:tabs>
        <w:spacing w:line="400" w:lineRule="exact"/>
        <w:jc w:val="both"/>
        <w:rPr>
          <w:rFonts w:ascii="华文新魏" w:eastAsia="华文新魏" w:hAnsi="新宋体"/>
          <w:sz w:val="28"/>
          <w:szCs w:val="28"/>
        </w:rPr>
      </w:pPr>
      <w:r>
        <w:rPr>
          <w:rFonts w:ascii="华文新魏" w:eastAsia="华文新魏" w:hAnsi="新宋体" w:hint="eastAsia"/>
          <w:sz w:val="28"/>
          <w:szCs w:val="28"/>
        </w:rPr>
        <w:lastRenderedPageBreak/>
        <w:t>5</w:t>
      </w:r>
      <w:r w:rsidR="00AB71A3">
        <w:rPr>
          <w:rFonts w:ascii="华文新魏" w:eastAsia="华文新魏" w:hAnsi="新宋体" w:hint="eastAsia"/>
          <w:sz w:val="28"/>
          <w:szCs w:val="28"/>
        </w:rPr>
        <w:t>月氧化铝市场静态</w:t>
      </w:r>
      <w:r w:rsidR="001C75B9">
        <w:rPr>
          <w:rFonts w:ascii="华文新魏" w:eastAsia="华文新魏" w:hAnsi="新宋体" w:hint="eastAsia"/>
          <w:sz w:val="28"/>
          <w:szCs w:val="28"/>
        </w:rPr>
        <w:t>仍然</w:t>
      </w:r>
      <w:r w:rsidR="00AB71A3">
        <w:rPr>
          <w:rFonts w:ascii="华文新魏" w:eastAsia="华文新魏" w:hAnsi="新宋体" w:hint="eastAsia"/>
          <w:sz w:val="28"/>
          <w:szCs w:val="28"/>
        </w:rPr>
        <w:t>短缺</w:t>
      </w:r>
    </w:p>
    <w:p w:rsidR="00161692" w:rsidRDefault="00161692" w:rsidP="00161692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 w:rsidRPr="00161692">
        <w:rPr>
          <w:rFonts w:ascii="新宋体" w:eastAsia="新宋体" w:hAnsi="新宋体" w:hint="eastAsia"/>
          <w:sz w:val="21"/>
          <w:szCs w:val="21"/>
        </w:rPr>
        <w:t>数据显示，5 月氧化铝实产产量568万吨，净进口氧化铝预计35万吨（以海关口径数据为基准预测），氧化铝总供应量为603万吨。电解铝产量310.4万吨， 折算氧化铝需求594万吨，非铝行业氧化铝需求预计30万吨左右，氧化铝总需求量为624万吨，预计5月氧化铝供需静态数字短缺21万吨左右。</w:t>
      </w:r>
    </w:p>
    <w:p w:rsidR="0026591B" w:rsidRDefault="00EA0615" w:rsidP="00161692">
      <w:pPr>
        <w:tabs>
          <w:tab w:val="left" w:pos="7110"/>
        </w:tabs>
        <w:spacing w:line="400" w:lineRule="exact"/>
        <w:jc w:val="both"/>
        <w:rPr>
          <w:rFonts w:ascii="华文新魏" w:eastAsia="华文新魏" w:hAnsi="新宋体"/>
          <w:sz w:val="28"/>
          <w:szCs w:val="28"/>
        </w:rPr>
      </w:pPr>
      <w:r>
        <w:rPr>
          <w:rFonts w:ascii="华文新魏" w:eastAsia="华文新魏" w:hAnsi="新宋体" w:hint="eastAsia"/>
          <w:sz w:val="28"/>
          <w:szCs w:val="28"/>
        </w:rPr>
        <w:t>5</w:t>
      </w:r>
      <w:r w:rsidR="00AB71A3">
        <w:rPr>
          <w:rFonts w:ascii="华文新魏" w:eastAsia="华文新魏" w:hAnsi="新宋体" w:hint="eastAsia"/>
          <w:sz w:val="28"/>
          <w:szCs w:val="28"/>
        </w:rPr>
        <w:t>月原铝市场仍</w:t>
      </w:r>
      <w:r w:rsidR="00AB71A3">
        <w:rPr>
          <w:rFonts w:ascii="华文新魏" w:eastAsia="华文新魏" w:hAnsi="新宋体" w:hint="eastAsia"/>
          <w:sz w:val="28"/>
          <w:szCs w:val="28"/>
        </w:rPr>
        <w:t>短缺</w:t>
      </w:r>
      <w:r w:rsidR="003473B3">
        <w:rPr>
          <w:rFonts w:ascii="华文新魏" w:eastAsia="华文新魏" w:hAnsi="新宋体" w:hint="eastAsia"/>
          <w:sz w:val="28"/>
          <w:szCs w:val="28"/>
        </w:rPr>
        <w:t>扩大至</w:t>
      </w:r>
      <w:r w:rsidR="00AB71A3">
        <w:rPr>
          <w:rFonts w:ascii="华文新魏" w:eastAsia="华文新魏" w:hAnsi="新宋体" w:hint="eastAsia"/>
          <w:sz w:val="28"/>
          <w:szCs w:val="28"/>
        </w:rPr>
        <w:t>2</w:t>
      </w:r>
      <w:r w:rsidR="003473B3">
        <w:rPr>
          <w:rFonts w:ascii="华文新魏" w:eastAsia="华文新魏" w:hAnsi="新宋体" w:hint="eastAsia"/>
          <w:sz w:val="28"/>
          <w:szCs w:val="28"/>
        </w:rPr>
        <w:t>6</w:t>
      </w:r>
      <w:r w:rsidR="00AB71A3">
        <w:rPr>
          <w:rFonts w:ascii="华文新魏" w:eastAsia="华文新魏" w:hAnsi="新宋体" w:hint="eastAsia"/>
          <w:sz w:val="28"/>
          <w:szCs w:val="28"/>
        </w:rPr>
        <w:t>万吨</w:t>
      </w:r>
    </w:p>
    <w:p w:rsidR="00EA0615" w:rsidRPr="00EA0615" w:rsidRDefault="00EA0615" w:rsidP="00EA0615">
      <w:pPr>
        <w:spacing w:beforeLines="100" w:before="312" w:afterLines="50" w:after="156" w:line="400" w:lineRule="exact"/>
        <w:outlineLvl w:val="2"/>
        <w:rPr>
          <w:rFonts w:ascii="新宋体" w:eastAsia="新宋体" w:hAnsi="新宋体" w:hint="eastAsia"/>
          <w:sz w:val="21"/>
          <w:szCs w:val="21"/>
        </w:rPr>
      </w:pPr>
      <w:r w:rsidRPr="00EA0615">
        <w:rPr>
          <w:rFonts w:ascii="新宋体" w:eastAsia="新宋体" w:hAnsi="新宋体" w:hint="eastAsia"/>
          <w:sz w:val="21"/>
          <w:szCs w:val="21"/>
        </w:rPr>
        <w:t>预计5月原铝产量310万吨，消费量337.5万吨，当月理论供应短缺26.2万吨。一方面，各行各业复工复产积极推进，房地产、汽车等重点领域需求复苏带动型材、板 带及轮毂等订单回升，加上光伏装机抢夺工期等原因，铝锭库存继续快速去化；另一方面，5月份以来，文山铝业、广元林丰及重庆旗能等项目稳步推进投复产计划，但整体规模有限，加上投产初期产量贡献较小，供应端暂无明显增加。</w:t>
      </w:r>
    </w:p>
    <w:p w:rsidR="0026591B" w:rsidRDefault="00EA0615" w:rsidP="00EA0615">
      <w:pPr>
        <w:spacing w:beforeLines="100" w:before="312" w:afterLines="50" w:after="156" w:line="400" w:lineRule="exact"/>
        <w:outlineLvl w:val="2"/>
        <w:rPr>
          <w:rFonts w:ascii="新宋体" w:eastAsia="新宋体" w:hAnsi="新宋体"/>
          <w:sz w:val="21"/>
          <w:szCs w:val="21"/>
        </w:rPr>
      </w:pPr>
      <w:r w:rsidRPr="00EA0615">
        <w:rPr>
          <w:rFonts w:ascii="新宋体" w:eastAsia="新宋体" w:hAnsi="新宋体" w:hint="eastAsia"/>
          <w:sz w:val="21"/>
          <w:szCs w:val="21"/>
        </w:rPr>
        <w:t>对于后市，电解铝市场重回全行业盈利状态后，</w:t>
      </w:r>
      <w:proofErr w:type="gramStart"/>
      <w:r w:rsidRPr="00EA0615">
        <w:rPr>
          <w:rFonts w:ascii="新宋体" w:eastAsia="新宋体" w:hAnsi="新宋体" w:hint="eastAsia"/>
          <w:sz w:val="21"/>
          <w:szCs w:val="21"/>
        </w:rPr>
        <w:t>铝企投</w:t>
      </w:r>
      <w:proofErr w:type="gramEnd"/>
      <w:r w:rsidRPr="00EA0615">
        <w:rPr>
          <w:rFonts w:ascii="新宋体" w:eastAsia="新宋体" w:hAnsi="新宋体" w:hint="eastAsia"/>
          <w:sz w:val="21"/>
          <w:szCs w:val="21"/>
        </w:rPr>
        <w:t>复产更加积极，后期重点关注云南神 火、云铝海</w:t>
      </w:r>
      <w:proofErr w:type="gramStart"/>
      <w:r w:rsidRPr="00EA0615">
        <w:rPr>
          <w:rFonts w:ascii="新宋体" w:eastAsia="新宋体" w:hAnsi="新宋体" w:hint="eastAsia"/>
          <w:sz w:val="21"/>
          <w:szCs w:val="21"/>
        </w:rPr>
        <w:t>鑫</w:t>
      </w:r>
      <w:proofErr w:type="gramEnd"/>
      <w:r w:rsidRPr="00EA0615">
        <w:rPr>
          <w:rFonts w:ascii="新宋体" w:eastAsia="新宋体" w:hAnsi="新宋体" w:hint="eastAsia"/>
          <w:sz w:val="21"/>
          <w:szCs w:val="21"/>
        </w:rPr>
        <w:t>、文山铝业、内蒙古创源和重庆国丰等项目；需求端则注意订单的持续性和稳 定性，部分加工企业表示，四五月份以来新增订单出现明显萎缩，后劲不足预期强烈。另外， 有关大量进口铝锭入关的传闻也有待证实。整体来看，预计6月国内电解铝供应缺口或有所 收窄。</w:t>
      </w:r>
    </w:p>
    <w:p w:rsidR="0026591B" w:rsidRDefault="00AB71A3">
      <w:pPr>
        <w:spacing w:beforeLines="100" w:before="312" w:afterLines="50" w:after="156" w:line="240" w:lineRule="auto"/>
        <w:outlineLvl w:val="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价格运行趋势</w:t>
      </w:r>
    </w:p>
    <w:p w:rsidR="0026591B" w:rsidRDefault="00DA5A3A">
      <w:pPr>
        <w:tabs>
          <w:tab w:val="left" w:pos="7110"/>
        </w:tabs>
        <w:spacing w:line="400" w:lineRule="exact"/>
        <w:jc w:val="both"/>
        <w:rPr>
          <w:rFonts w:ascii="华文新魏" w:eastAsia="华文新魏" w:hAnsi="新宋体"/>
          <w:sz w:val="28"/>
          <w:szCs w:val="28"/>
        </w:rPr>
      </w:pPr>
      <w:r>
        <w:rPr>
          <w:rFonts w:ascii="华文新魏" w:eastAsia="华文新魏" w:hAnsi="新宋体" w:hint="eastAsia"/>
          <w:sz w:val="28"/>
          <w:szCs w:val="28"/>
        </w:rPr>
        <w:t>5</w:t>
      </w:r>
      <w:r w:rsidR="00AB71A3">
        <w:rPr>
          <w:rFonts w:ascii="华文新魏" w:eastAsia="华文新魏" w:hAnsi="新宋体" w:hint="eastAsia"/>
          <w:sz w:val="28"/>
          <w:szCs w:val="28"/>
        </w:rPr>
        <w:t>月氧化铝价格</w:t>
      </w:r>
      <w:r>
        <w:rPr>
          <w:rFonts w:ascii="华文新魏" w:eastAsia="华文新魏" w:hAnsi="新宋体" w:hint="eastAsia"/>
          <w:sz w:val="28"/>
          <w:szCs w:val="28"/>
        </w:rPr>
        <w:t>温和上涨</w:t>
      </w:r>
    </w:p>
    <w:p w:rsidR="009D73AB" w:rsidRPr="009D73AB" w:rsidRDefault="009D73AB" w:rsidP="009D73AB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 w:rsidRPr="009D73AB">
        <w:rPr>
          <w:rFonts w:ascii="新宋体" w:eastAsia="新宋体" w:hAnsi="新宋体" w:hint="eastAsia"/>
          <w:sz w:val="21"/>
          <w:szCs w:val="21"/>
        </w:rPr>
        <w:t>5 月氧化铝市场走势波澜不惊，市场处于温和上扬态势中，由于生产企业间的氧化铝长单处 于正常执行和发运过程中，现货氧化铝市场依然保持成交稀少和流动性较差的格局，但是这 也为主要贸易商的主动做市提供了基本条件。</w:t>
      </w:r>
    </w:p>
    <w:p w:rsidR="009D73AB" w:rsidRPr="009D73AB" w:rsidRDefault="009D73AB" w:rsidP="009D73AB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 w:rsidRPr="009D73AB">
        <w:rPr>
          <w:rFonts w:ascii="新宋体" w:eastAsia="新宋体" w:hAnsi="新宋体" w:hint="eastAsia"/>
          <w:sz w:val="21"/>
          <w:szCs w:val="21"/>
        </w:rPr>
        <w:t xml:space="preserve">本月氧化铝现货市场做市条件增加，升水成交明显增多，并引领报价小幅度反弹，而现货升 </w:t>
      </w:r>
      <w:proofErr w:type="gramStart"/>
      <w:r w:rsidRPr="009D73AB">
        <w:rPr>
          <w:rFonts w:ascii="新宋体" w:eastAsia="新宋体" w:hAnsi="新宋体" w:hint="eastAsia"/>
          <w:sz w:val="21"/>
          <w:szCs w:val="21"/>
        </w:rPr>
        <w:t>水成交</w:t>
      </w:r>
      <w:proofErr w:type="gramEnd"/>
      <w:r w:rsidRPr="009D73AB">
        <w:rPr>
          <w:rFonts w:ascii="新宋体" w:eastAsia="新宋体" w:hAnsi="新宋体" w:hint="eastAsia"/>
          <w:sz w:val="21"/>
          <w:szCs w:val="21"/>
        </w:rPr>
        <w:t>增加的影响因素，主要有以下几方面：</w:t>
      </w:r>
    </w:p>
    <w:p w:rsidR="009D73AB" w:rsidRPr="009D73AB" w:rsidRDefault="009D73AB" w:rsidP="009D73AB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 w:rsidRPr="009D73AB">
        <w:rPr>
          <w:rFonts w:ascii="新宋体" w:eastAsia="新宋体" w:hAnsi="新宋体" w:hint="eastAsia"/>
          <w:sz w:val="21"/>
          <w:szCs w:val="21"/>
        </w:rPr>
        <w:t>首先是氧化铝现货市场的供需基本面保持稳定，无论国内氧化铝主体企业生产、进口氧化铝 保有数量还是电解铝主体企业生产，虽然个体企业变动有别，但整体波动有限。氧化铝日产量连续两个月稳定在18.3万吨左右，电解铝日产量连续两个月稳定在9.99万吨左右，变动非常微妙，氧化铝市场的供需基本处于相对平衡过程中。</w:t>
      </w:r>
    </w:p>
    <w:p w:rsidR="009D73AB" w:rsidRPr="009D73AB" w:rsidRDefault="009D73AB" w:rsidP="009D73AB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 w:rsidRPr="009D73AB">
        <w:rPr>
          <w:rFonts w:ascii="新宋体" w:eastAsia="新宋体" w:hAnsi="新宋体" w:hint="eastAsia"/>
          <w:sz w:val="21"/>
          <w:szCs w:val="21"/>
        </w:rPr>
        <w:lastRenderedPageBreak/>
        <w:t>其次是铝价高企，铝厂现金流明显好转，5 月电解铝企业开始普遍盈利，铝价同样在主要力 量可控的操盘下继续保持高稳。5月国内现货铝价平均值13166 元/吨，相较上月上涨 1109 元，同期电解</w:t>
      </w:r>
      <w:proofErr w:type="gramStart"/>
      <w:r w:rsidRPr="009D73AB">
        <w:rPr>
          <w:rFonts w:ascii="新宋体" w:eastAsia="新宋体" w:hAnsi="新宋体" w:hint="eastAsia"/>
          <w:sz w:val="21"/>
          <w:szCs w:val="21"/>
        </w:rPr>
        <w:t>铝企业</w:t>
      </w:r>
      <w:proofErr w:type="gramEnd"/>
      <w:r w:rsidRPr="009D73AB">
        <w:rPr>
          <w:rFonts w:ascii="新宋体" w:eastAsia="新宋体" w:hAnsi="新宋体" w:hint="eastAsia"/>
          <w:sz w:val="21"/>
          <w:szCs w:val="21"/>
        </w:rPr>
        <w:t>加权综合成本处于下降过程中，一升一降中，国内电解</w:t>
      </w:r>
      <w:proofErr w:type="gramStart"/>
      <w:r w:rsidRPr="009D73AB">
        <w:rPr>
          <w:rFonts w:ascii="新宋体" w:eastAsia="新宋体" w:hAnsi="新宋体" w:hint="eastAsia"/>
          <w:sz w:val="21"/>
          <w:szCs w:val="21"/>
        </w:rPr>
        <w:t>铝企业</w:t>
      </w:r>
      <w:proofErr w:type="gramEnd"/>
      <w:r w:rsidRPr="009D73AB">
        <w:rPr>
          <w:rFonts w:ascii="新宋体" w:eastAsia="新宋体" w:hAnsi="新宋体" w:hint="eastAsia"/>
          <w:sz w:val="21"/>
          <w:szCs w:val="21"/>
        </w:rPr>
        <w:t>盈利状况 明显好转。</w:t>
      </w:r>
    </w:p>
    <w:p w:rsidR="009D73AB" w:rsidRPr="009D73AB" w:rsidRDefault="009D73AB" w:rsidP="009D73AB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 w:rsidRPr="009D73AB">
        <w:rPr>
          <w:rFonts w:ascii="新宋体" w:eastAsia="新宋体" w:hAnsi="新宋体" w:hint="eastAsia"/>
          <w:sz w:val="21"/>
          <w:szCs w:val="21"/>
        </w:rPr>
        <w:t>再次是同期晋豫两地氧化铝企业普遍处于亏损境地，市场尤其是参与市场的主要氧化铝企业 对价格修复到成本线附近有期待和诉求。当前晋豫两地氧化铝企业加权平均成本2255元左右，按照月度2203元的平均价格来结算，依然处于亏损状态，尤其考虑时间周期和下浮，企业亏损依然较为明显。</w:t>
      </w:r>
    </w:p>
    <w:p w:rsidR="0026591B" w:rsidRDefault="009D73AB" w:rsidP="009D73AB">
      <w:pPr>
        <w:tabs>
          <w:tab w:val="left" w:pos="7110"/>
        </w:tabs>
        <w:spacing w:line="400" w:lineRule="exact"/>
        <w:jc w:val="both"/>
        <w:rPr>
          <w:rFonts w:ascii="新宋体" w:eastAsia="新宋体" w:hAnsi="新宋体"/>
          <w:sz w:val="21"/>
          <w:szCs w:val="21"/>
        </w:rPr>
      </w:pPr>
      <w:r w:rsidRPr="009D73AB">
        <w:rPr>
          <w:rFonts w:ascii="新宋体" w:eastAsia="新宋体" w:hAnsi="新宋体" w:hint="eastAsia"/>
          <w:sz w:val="21"/>
          <w:szCs w:val="21"/>
        </w:rPr>
        <w:t>最后是海外氧化铝价格趋势性上涨未带来明显压力。综合 4 月中旬以来的进口氧化铝价格走势，澳洲离岸价格自225美元反弹至当前的250美元附近，折算进口车板完税价格自2000 元上移至2160 元左右，加之进口量基本处于平均30万吨水平，尚未对国内氧化铝供应和价格形成明显压力。</w:t>
      </w:r>
    </w:p>
    <w:p w:rsidR="0026591B" w:rsidRDefault="005B7E95">
      <w:pPr>
        <w:tabs>
          <w:tab w:val="left" w:pos="7110"/>
        </w:tabs>
        <w:spacing w:line="400" w:lineRule="exact"/>
        <w:jc w:val="both"/>
        <w:rPr>
          <w:rFonts w:ascii="华文新魏" w:eastAsia="华文新魏" w:hAnsi="新宋体"/>
          <w:sz w:val="28"/>
          <w:szCs w:val="28"/>
        </w:rPr>
      </w:pPr>
      <w:r>
        <w:rPr>
          <w:rFonts w:ascii="华文新魏" w:eastAsia="华文新魏" w:hAnsi="新宋体" w:hint="eastAsia"/>
          <w:sz w:val="28"/>
          <w:szCs w:val="28"/>
        </w:rPr>
        <w:t>5</w:t>
      </w:r>
      <w:r w:rsidR="00AB71A3">
        <w:rPr>
          <w:rFonts w:ascii="华文新魏" w:eastAsia="华文新魏" w:hAnsi="新宋体" w:hint="eastAsia"/>
          <w:sz w:val="28"/>
          <w:szCs w:val="28"/>
        </w:rPr>
        <w:t>月</w:t>
      </w:r>
      <w:r>
        <w:rPr>
          <w:rFonts w:ascii="华文新魏" w:eastAsia="华文新魏" w:hAnsi="新宋体" w:hint="eastAsia"/>
          <w:sz w:val="28"/>
          <w:szCs w:val="28"/>
        </w:rPr>
        <w:t>下游消费持续向好支撑价格持续走高</w:t>
      </w:r>
    </w:p>
    <w:p w:rsidR="000401CA" w:rsidRPr="000401CA" w:rsidRDefault="000401CA" w:rsidP="000401CA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 w:rsidRPr="000401CA">
        <w:rPr>
          <w:rFonts w:ascii="新宋体" w:eastAsia="新宋体" w:hAnsi="新宋体" w:hint="eastAsia"/>
          <w:sz w:val="21"/>
          <w:szCs w:val="21"/>
        </w:rPr>
        <w:t>5月中国电解铝市场现货价格在震荡中整体大幅向上。</w:t>
      </w:r>
    </w:p>
    <w:p w:rsidR="000401CA" w:rsidRPr="000401CA" w:rsidRDefault="000401CA" w:rsidP="000401CA">
      <w:pPr>
        <w:tabs>
          <w:tab w:val="left" w:pos="7110"/>
        </w:tabs>
        <w:spacing w:line="400" w:lineRule="exact"/>
        <w:jc w:val="both"/>
        <w:rPr>
          <w:rFonts w:ascii="新宋体" w:eastAsia="新宋体" w:hAnsi="新宋体" w:hint="eastAsia"/>
          <w:sz w:val="21"/>
          <w:szCs w:val="21"/>
        </w:rPr>
      </w:pPr>
      <w:r w:rsidRPr="000401CA">
        <w:rPr>
          <w:rFonts w:ascii="新宋体" w:eastAsia="新宋体" w:hAnsi="新宋体" w:hint="eastAsia"/>
          <w:sz w:val="21"/>
          <w:szCs w:val="21"/>
        </w:rPr>
        <w:t>5月期铝表现依旧内强外弱，特别是5月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上旬伦铝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延续4月后期下跌趋势，一路下探至1460美元/吨，再次刷新2016年以来的新低；5月中旬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开始伦铝在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多方作用下不断拉涨，重新站上1520美元/吨上方。LME 三月期铝最低跌至 1460 美元/吨，最高涨至 1522美元/吨，收于 1522美元/吨，环比下跌7美元/吨。LME 铝库存量为145.81万吨，较上个月增加 11.19 万吨。从月初欧美公布各项宏观数据来看，经济下行风险仍然显著，美国ADP就业人数骤减，创下历史最大降幅，原油价格下跌，宏观氛围不佳直接影响有色品种价格，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伦铝延续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前期弱势疲软趋势，直线下探至1460美元/吨，刷新4月份刚刚创下的五年来新低。5月下旬频繁传出新冠病毒疫苗取得阶段性成果、叠加美联储发声继续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维持贴零水平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的宽松政策以及将致力于支撑经济的传闻，拉升期铝价格再次攀上1522美元/吨，刷新近两个月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以来伦铝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高价。SHFE 三月期铝最低降至12415元/吨，最高至12770 元/吨，收于 12825元/吨，环比上涨604元/吨。</w:t>
      </w:r>
    </w:p>
    <w:p w:rsidR="0026591B" w:rsidRDefault="000401CA" w:rsidP="000401CA">
      <w:pPr>
        <w:tabs>
          <w:tab w:val="left" w:pos="7110"/>
        </w:tabs>
        <w:spacing w:line="400" w:lineRule="exact"/>
        <w:jc w:val="both"/>
      </w:pPr>
      <w:r w:rsidRPr="000401CA">
        <w:rPr>
          <w:rFonts w:ascii="新宋体" w:eastAsia="新宋体" w:hAnsi="新宋体" w:hint="eastAsia"/>
          <w:sz w:val="21"/>
          <w:szCs w:val="21"/>
        </w:rPr>
        <w:t>5月中国电解铝市场现货价格在震荡中整体大幅向上。5月铝锭长江现货均价13130元/吨，环比上涨1073.33元/吨；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南储现货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均价13222.5元/吨，环比上涨1082.02元/吨。5月中国铝锭社会库存持续下降，由4月末的123.18万吨下降至5月末的96.44万吨，降幅达到26.74万吨，铝锭社会库存再次回到百万吨以内，刷新近4个月以来的新低。现货大幅去库使得5月现货价格继续保持强势，中旬开始重新站上万三之上，4月中国电解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铝企业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平均完全成本12176.16元/吨，长江现货四月均价12056.67元/吨，平均亏损119.49元/吨，亏损</w:t>
      </w:r>
      <w:r w:rsidRPr="000401CA">
        <w:rPr>
          <w:rFonts w:ascii="新宋体" w:eastAsia="新宋体" w:hAnsi="新宋体" w:hint="eastAsia"/>
          <w:sz w:val="21"/>
          <w:szCs w:val="21"/>
        </w:rPr>
        <w:lastRenderedPageBreak/>
        <w:t>幅度对比3月大幅收窄，特别是5月在成本端波动较小的情况下，铝锭月均价大幅上涨，使得电解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铝企业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纷纷为复产以及新投产做准备，云南文山在5月下旬已经开始一期一段一区8万吨左右产能的投产，预计9月完成一段全部17万吨产能的投放。中国两会的召开，提振基建等持续发力，加之铝锭社会库存的大幅下降使得电解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铝企业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将新投产以及复产的重心放在6月，届时电解铝产量释放将有所增加；加之中国国内需求强劲，使得其他国家看好中国市场，流入中国铝锭量有所增加，使得供应端压力有所增加。下游需求端汽车、房地产等均在恢复中，但短期压力仍存。中汽</w:t>
      </w:r>
      <w:proofErr w:type="gramStart"/>
      <w:r w:rsidRPr="000401CA">
        <w:rPr>
          <w:rFonts w:ascii="新宋体" w:eastAsia="新宋体" w:hAnsi="新宋体" w:hint="eastAsia"/>
          <w:sz w:val="21"/>
          <w:szCs w:val="21"/>
        </w:rPr>
        <w:t>协发布</w:t>
      </w:r>
      <w:proofErr w:type="gramEnd"/>
      <w:r w:rsidRPr="000401CA">
        <w:rPr>
          <w:rFonts w:ascii="新宋体" w:eastAsia="新宋体" w:hAnsi="新宋体" w:hint="eastAsia"/>
          <w:sz w:val="21"/>
          <w:szCs w:val="21"/>
        </w:rPr>
        <w:t>4月中国汽车产销数据显示，中国4月份汽车产量210.2万辆，同比增长2.3%；4月中国汽车销量为207万辆，同比4.4%；1-4月销量为576.1万辆，同比下降31.1%；4月份新能源车销量同比下降26.5%，1-4月份新能源车销量同比下降43.4%。</w:t>
      </w:r>
    </w:p>
    <w:sectPr w:rsidR="0026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??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5E"/>
    <w:rsid w:val="0000753A"/>
    <w:rsid w:val="000401CA"/>
    <w:rsid w:val="00046124"/>
    <w:rsid w:val="000A2C8B"/>
    <w:rsid w:val="000A47B7"/>
    <w:rsid w:val="000C6E04"/>
    <w:rsid w:val="000F5B85"/>
    <w:rsid w:val="00146132"/>
    <w:rsid w:val="00161692"/>
    <w:rsid w:val="001C75B9"/>
    <w:rsid w:val="00241958"/>
    <w:rsid w:val="0026591B"/>
    <w:rsid w:val="00282C0A"/>
    <w:rsid w:val="002D4F32"/>
    <w:rsid w:val="0032357C"/>
    <w:rsid w:val="003266E1"/>
    <w:rsid w:val="00332F1E"/>
    <w:rsid w:val="003457A7"/>
    <w:rsid w:val="003473B3"/>
    <w:rsid w:val="00363E9E"/>
    <w:rsid w:val="0037448E"/>
    <w:rsid w:val="00381712"/>
    <w:rsid w:val="00381D34"/>
    <w:rsid w:val="00396E79"/>
    <w:rsid w:val="003C1249"/>
    <w:rsid w:val="003C54D4"/>
    <w:rsid w:val="003D15C7"/>
    <w:rsid w:val="003D4DF9"/>
    <w:rsid w:val="003F2421"/>
    <w:rsid w:val="004017A7"/>
    <w:rsid w:val="00405A2B"/>
    <w:rsid w:val="004333F1"/>
    <w:rsid w:val="0044405C"/>
    <w:rsid w:val="00444421"/>
    <w:rsid w:val="00447555"/>
    <w:rsid w:val="00461D9B"/>
    <w:rsid w:val="004724FD"/>
    <w:rsid w:val="004847A0"/>
    <w:rsid w:val="0048737A"/>
    <w:rsid w:val="00494389"/>
    <w:rsid w:val="0051027B"/>
    <w:rsid w:val="005174CA"/>
    <w:rsid w:val="00541107"/>
    <w:rsid w:val="00581325"/>
    <w:rsid w:val="005830B7"/>
    <w:rsid w:val="00595BED"/>
    <w:rsid w:val="005A1877"/>
    <w:rsid w:val="005B7E95"/>
    <w:rsid w:val="005D753D"/>
    <w:rsid w:val="006304EB"/>
    <w:rsid w:val="006414DF"/>
    <w:rsid w:val="00672164"/>
    <w:rsid w:val="00693768"/>
    <w:rsid w:val="006E4F89"/>
    <w:rsid w:val="006E68B3"/>
    <w:rsid w:val="007054D2"/>
    <w:rsid w:val="007222E0"/>
    <w:rsid w:val="00731852"/>
    <w:rsid w:val="00732812"/>
    <w:rsid w:val="00785B5E"/>
    <w:rsid w:val="007A0876"/>
    <w:rsid w:val="007A0A98"/>
    <w:rsid w:val="007C35D7"/>
    <w:rsid w:val="007D3D59"/>
    <w:rsid w:val="007D7164"/>
    <w:rsid w:val="007F5B5B"/>
    <w:rsid w:val="00835482"/>
    <w:rsid w:val="00886B81"/>
    <w:rsid w:val="008A7580"/>
    <w:rsid w:val="008B73BE"/>
    <w:rsid w:val="008C309C"/>
    <w:rsid w:val="00904822"/>
    <w:rsid w:val="0095553F"/>
    <w:rsid w:val="00971C5D"/>
    <w:rsid w:val="00975F9D"/>
    <w:rsid w:val="00984401"/>
    <w:rsid w:val="009874BC"/>
    <w:rsid w:val="009935A7"/>
    <w:rsid w:val="009B4B5A"/>
    <w:rsid w:val="009D73AB"/>
    <w:rsid w:val="009F1063"/>
    <w:rsid w:val="00A00C12"/>
    <w:rsid w:val="00A13BE6"/>
    <w:rsid w:val="00A15EC1"/>
    <w:rsid w:val="00A2791A"/>
    <w:rsid w:val="00A3591C"/>
    <w:rsid w:val="00A674EE"/>
    <w:rsid w:val="00A70834"/>
    <w:rsid w:val="00AB71A3"/>
    <w:rsid w:val="00AE0FD9"/>
    <w:rsid w:val="00AF468E"/>
    <w:rsid w:val="00B040EF"/>
    <w:rsid w:val="00B046D2"/>
    <w:rsid w:val="00B11CBB"/>
    <w:rsid w:val="00B3396D"/>
    <w:rsid w:val="00B4446C"/>
    <w:rsid w:val="00B675EE"/>
    <w:rsid w:val="00C05556"/>
    <w:rsid w:val="00C7298F"/>
    <w:rsid w:val="00CE0934"/>
    <w:rsid w:val="00CE2C26"/>
    <w:rsid w:val="00CF07B2"/>
    <w:rsid w:val="00CF1A6F"/>
    <w:rsid w:val="00CF365B"/>
    <w:rsid w:val="00D174FB"/>
    <w:rsid w:val="00D17BDE"/>
    <w:rsid w:val="00D3234D"/>
    <w:rsid w:val="00D426E1"/>
    <w:rsid w:val="00D46FD0"/>
    <w:rsid w:val="00D50314"/>
    <w:rsid w:val="00D63185"/>
    <w:rsid w:val="00D756FF"/>
    <w:rsid w:val="00DA3B68"/>
    <w:rsid w:val="00DA5A3A"/>
    <w:rsid w:val="00DD521D"/>
    <w:rsid w:val="00DE4B6C"/>
    <w:rsid w:val="00DF0BAE"/>
    <w:rsid w:val="00E0140D"/>
    <w:rsid w:val="00E25F8F"/>
    <w:rsid w:val="00E554EC"/>
    <w:rsid w:val="00E70822"/>
    <w:rsid w:val="00E92815"/>
    <w:rsid w:val="00EA0615"/>
    <w:rsid w:val="00EF1A24"/>
    <w:rsid w:val="00EF4B4E"/>
    <w:rsid w:val="00F14F86"/>
    <w:rsid w:val="00F27427"/>
    <w:rsid w:val="00F759E8"/>
    <w:rsid w:val="00F85398"/>
    <w:rsid w:val="00FC3854"/>
    <w:rsid w:val="00FD1E91"/>
    <w:rsid w:val="00FE36D7"/>
    <w:rsid w:val="024D176A"/>
    <w:rsid w:val="110A488E"/>
    <w:rsid w:val="2B7F4296"/>
    <w:rsid w:val="359E5630"/>
    <w:rsid w:val="46874BE5"/>
    <w:rsid w:val="5AB05873"/>
    <w:rsid w:val="5E941791"/>
    <w:rsid w:val="717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wangmin</dc:creator>
  <cp:lastModifiedBy>PC</cp:lastModifiedBy>
  <cp:revision>175</cp:revision>
  <dcterms:created xsi:type="dcterms:W3CDTF">2019-07-04T03:30:00Z</dcterms:created>
  <dcterms:modified xsi:type="dcterms:W3CDTF">2020-06-11T12:28:00Z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