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bookmarkStart w:id="22" w:name="_GoBack"/>
      <w:r>
        <w:rPr>
          <w:rFonts w:ascii="宋体" w:hAnsi="宋体"/>
        </w:rPr>
        <w:drawing>
          <wp:anchor distT="0" distB="0" distL="114300" distR="114300" simplePos="0" relativeHeight="251657216" behindDoc="1" locked="0" layoutInCell="1" allowOverlap="1">
            <wp:simplePos x="0" y="0"/>
            <wp:positionH relativeFrom="column">
              <wp:posOffset>-715010</wp:posOffset>
            </wp:positionH>
            <wp:positionV relativeFrom="paragraph">
              <wp:posOffset>-553085</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bookmarkEnd w:id="22"/>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6.18</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13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29</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rFonts w:hint="eastAsia"/>
          <w:color w:val="auto"/>
          <w:sz w:val="24"/>
          <w:szCs w:val="24"/>
          <w:lang w:eastAsia="zh-CN"/>
        </w:rPr>
        <w:t>成品油</w:t>
      </w:r>
      <w:r>
        <w:rPr>
          <w:rStyle w:val="31"/>
          <w:rFonts w:hint="eastAsia"/>
          <w:color w:val="auto"/>
          <w:sz w:val="24"/>
          <w:szCs w:val="24"/>
        </w:rPr>
        <w:t>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30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4</w:t>
      </w:r>
      <w:r>
        <w:rPr>
          <w:rStyle w:val="31"/>
          <w:rFonts w:hint="eastAsia" w:ascii="宋体" w:hAnsi="宋体"/>
          <w:b/>
          <w:color w:val="auto"/>
          <w:sz w:val="24"/>
          <w:szCs w:val="24"/>
        </w:rPr>
        <w:t>份全国车用汽油和航空汽油进出口统计数据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31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w:t>
      </w:r>
      <w:r>
        <w:rPr>
          <w:rStyle w:val="31"/>
          <w:rFonts w:hint="eastAsia" w:ascii="宋体" w:hAnsi="宋体"/>
          <w:b/>
          <w:color w:val="auto"/>
          <w:sz w:val="24"/>
          <w:szCs w:val="24"/>
          <w:lang w:val="en-US" w:eastAsia="zh-CN"/>
        </w:rPr>
        <w:t>8</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1</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31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4</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32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4</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34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2020/6/11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36.34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38.55</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EIA原油库存上涨的利空影响持续发酵，市场认为当前原油需求的恢复或将短期内见顶，这一观点导致日内油价承压下滑。此外，市场对经济复苏的忧虑也有所加重，市场风险情绪回落，美股大跌。这也加大了油价的下行压力。</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2020/6/12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36.26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38.73</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虽然市场对于需求恢复的担忧仍然存在，导致油价承压，但是OPEC+的减产以及最新公布的美国钻井数跌至历史新低仍支撑油价。</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2020/6/15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37.12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39.72</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原油需求仍有复苏的迹象以及对OPEC+减产行动的乐观前景，盖过了市场对疫情二次爆发将会影响经济及原油需求的担忧。</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2020/6/16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38.38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40.96</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国际能源署（IEA）公布月度原油市场报告，报告整体偏向乐观，数据显示，IEA对2020年石油需求的预期提高近50万桶/日至9170万桶/日，并认为此前的需求下跌虽然是前所未有的，但仍略低于预期。IEA表示，迄今为止，欧佩克+协议和20国集团能源部长会议为恢复市场稳定做出了重大贡献。如果最近的生产趋势得以维持，需求也有所复苏，那么到下半年末，市场将会更加稳定。受此乐观预期提振，油价收盘上涨。</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2020/6/17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37.96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40.71</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日内OPEC公布最新一期月报，数据显示在5月份，OPEC原油产量减少630万桶/日。消息人士指出，OPEC+估计创纪录的970万桶/天的减产计划在5月份落实了87%。但同时，OPEC也在月报中下调了2020年原油需求预期，此外，日内公布的EIA原油库存数据显示截至截至6月12日当周EIA原油库存变动实际公布增加121.50万桶。</w:t>
            </w:r>
          </w:p>
        </w:tc>
      </w:tr>
    </w:tbl>
    <w:p>
      <w:pPr>
        <w:rPr>
          <w:rFonts w:hint="eastAsia"/>
        </w:rPr>
      </w:pPr>
    </w:p>
    <w:p>
      <w:pPr>
        <w:pStyle w:val="3"/>
        <w:spacing w:before="120" w:after="120" w:line="240" w:lineRule="auto"/>
        <w:rPr>
          <w:rFonts w:ascii="宋体" w:hAnsi="宋体"/>
          <w:b/>
          <w:sz w:val="30"/>
          <w:szCs w:val="30"/>
        </w:rPr>
      </w:pPr>
      <w:bookmarkStart w:id="2"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lang w:val="en-US" w:eastAsia="zh-CN"/>
        </w:rPr>
        <w:t>20</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pPr>
        <w:rPr>
          <w:rFonts w:hint="eastAsia" w:ascii="宋体" w:hAnsi="宋体" w:cs="Arial"/>
          <w:b/>
          <w:kern w:val="0"/>
          <w:sz w:val="30"/>
          <w:szCs w:val="30"/>
        </w:rPr>
      </w:pPr>
    </w:p>
    <w:p>
      <w:pPr>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150485" cy="3841115"/>
            <wp:effectExtent l="0" t="0" r="12065" b="698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150485" cy="3841115"/>
                    </a:xfrm>
                    <a:prstGeom prst="rect">
                      <a:avLst/>
                    </a:prstGeom>
                    <a:noFill/>
                    <a:ln>
                      <a:noFill/>
                    </a:ln>
                  </pic:spPr>
                </pic:pic>
              </a:graphicData>
            </a:graphic>
          </wp:inline>
        </w:drawing>
      </w:r>
    </w:p>
    <w:p>
      <w:pPr>
        <w:pStyle w:val="2"/>
        <w:numPr>
          <w:ilvl w:val="0"/>
          <w:numId w:val="1"/>
        </w:numPr>
        <w:spacing w:before="120" w:after="0" w:line="240" w:lineRule="auto"/>
      </w:pPr>
      <w:bookmarkStart w:id="3" w:name="_Toc533771864"/>
      <w:r>
        <w:rPr>
          <w:rFonts w:hint="eastAsia"/>
        </w:rPr>
        <w:t>近期影响国际原油市场的主要因素</w:t>
      </w:r>
      <w:bookmarkEnd w:id="3"/>
    </w:p>
    <w:p>
      <w:pPr>
        <w:numPr>
          <w:ilvl w:val="0"/>
          <w:numId w:val="2"/>
        </w:numPr>
        <w:ind w:firstLine="551" w:firstLineChars="196"/>
        <w:outlineLvl w:val="1"/>
        <w:rPr>
          <w:rFonts w:hint="eastAsia" w:ascii="黑体" w:hAnsi="宋体" w:eastAsia="黑体"/>
          <w:b/>
          <w:color w:val="000000"/>
          <w:sz w:val="28"/>
          <w:szCs w:val="28"/>
        </w:rPr>
      </w:pPr>
      <w:bookmarkStart w:id="4" w:name="_Toc10115991"/>
      <w:r>
        <w:rPr>
          <w:rFonts w:hint="eastAsia" w:ascii="黑体" w:hAnsi="宋体" w:eastAsia="黑体"/>
          <w:b/>
          <w:color w:val="000000"/>
          <w:sz w:val="28"/>
          <w:szCs w:val="28"/>
        </w:rPr>
        <w:t>美国原油库存情况</w:t>
      </w:r>
      <w:bookmarkEnd w:id="4"/>
      <w:r>
        <w:rPr>
          <w:rFonts w:hint="eastAsia" w:ascii="黑体" w:hAnsi="宋体" w:eastAsia="黑体"/>
          <w:b/>
          <w:color w:val="000000"/>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5" w:name="_Toc10115992"/>
      <w:r>
        <w:rPr>
          <w:rFonts w:hint="eastAsia" w:asciiTheme="minorEastAsia" w:hAnsiTheme="minorEastAsia" w:eastAsiaTheme="minorEastAsia" w:cstheme="minorEastAsia"/>
          <w:color w:val="333335"/>
          <w:kern w:val="2"/>
          <w:sz w:val="28"/>
          <w:szCs w:val="28"/>
          <w:shd w:val="clear" w:color="auto" w:fill="FFFFFF"/>
        </w:rPr>
        <w:t>本周美国能源信息署(EIA)周三(6月10日)公布报告显示，截至6月5日当周美国除却战略储备的商业原油库存增幅大超预期，但增幅不及早间API公布的842万桶。此外，精炼油库存增幅不及预期，汽油库存增幅超预期。具体数据显示，美国截至6月5日当周EIA原油库存变动实际公布增长572万桶，预期减少101.3万桶，前值减少207.7万桶。此外，美国截至6月5日当周EIA汽油库存实际公布增长86.60万桶，预期减少31.9万桶，前值增加爱279.5万桶;美国截至6月5日当周EIA精炼油库存实际公布增长156.80万桶，预期增加340.9万桶，前值增加993.4万桶。美国石油协会(API)公布的数据显示，截至6月5日当周API美国原油库存增加842万桶至5.394亿桶，预期减少145万桶，库欣原油库存减少228.5万桶;汽油库存减少291.3万桶，精炼油库存增加427.1万桶。</w:t>
      </w:r>
    </w:p>
    <w:p>
      <w:pPr>
        <w:pStyle w:val="23"/>
        <w:numPr>
          <w:ilvl w:val="0"/>
          <w:numId w:val="2"/>
        </w:numPr>
        <w:spacing w:line="360" w:lineRule="auto"/>
        <w:ind w:left="0" w:leftChars="0" w:firstLine="551" w:firstLineChars="196"/>
        <w:rPr>
          <w:rFonts w:hint="eastAsia" w:ascii="黑体" w:eastAsia="黑体"/>
          <w:b/>
          <w:sz w:val="28"/>
          <w:szCs w:val="28"/>
        </w:rPr>
      </w:pPr>
      <w:r>
        <w:rPr>
          <w:rFonts w:hint="eastAsia" w:ascii="黑体" w:eastAsia="黑体"/>
          <w:b/>
          <w:sz w:val="28"/>
          <w:szCs w:val="28"/>
        </w:rPr>
        <w:t>美国经济形势</w:t>
      </w:r>
      <w:bookmarkEnd w:id="5"/>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本周北京时间18日凌晨，美股周三收盘涨跌不一，道指与标普指数(3113.49, -11.25, -0.36%)结束三连涨，纳指连续第四日收高。市场仍关注美国经济复苏状况及冠状病毒疫情反弹的迹象。美联储主席鲍威尔敦促国会不要太快取消财政支持，并重申美联储将直接购买公司债券。</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道指跌170.37点，或0.65%，报26119.61点;纳指涨14.66点，或0.15%，报9910.53点;标普500指数跌11.25点，或0.36%，报3113.49点。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美股邮轮股、航空股、能源股、银行股等周期股集体下跌。挪威邮轮跌超8%，皇家加勒比邮轮跌超7%。</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鲍威尔敦促国会不要太快取消财政支持 称美联储将直接购买公司债券</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美联储主席鲍威尔周三在美国众议院金融服务委员会发表并回答提问，其讲话内容与周二向参议院银行委员会提交的讲话内容相同。</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在是否延长抗疫救济的问题争论日益激烈之际，鲍威尔敦促国会不要太快取消对家庭和小企业的联邦救济。</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鲍威尔周三在众议院金融服务委员会回答问题时说：“如果国会过快撤回其提供的支持，我感到这样会有问题。我认为考虑继续为刚失业的人和挣扎中的小企业提供支持是适当的。美国经济才刚刚开始复苏。这是关键的阶段，我认为目前支持正当其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他还表示，美联储将逐渐从购买ETF转向直接购买公司债券。他说，美联储具有里程碑意义的公司债券购买计划最终将主要涉及公司债券，而不是公司债ETF。</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就在他发表上述言论的同一周，美联储宣布将扩大从ETF购买公司债券的工具，将购买单个公司的债券。</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他表示：“随着时间的推移，我们将逐渐从ETF转向债券购买，这是支持流动性和市场运作的更好工具。”</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美联储在3月底宣布将启动两项工具PMCCF与SMCCF，以进入9.6万亿美元的公司债市场，此举引发股市大幅上扬。前者直接从发行者手中购买债券，后者通过二级市场购买一些跟踪所有等级债券指数的ETF。</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在购买单个债券的声明中，美联储表示，它将创建一个涵盖整个市场债券的指数，不过截至公告前一天的3月22日，发行方的评级必须为BBB-或Baa3。鲍威尔强调，这些计划是为了确保市场正常运转。</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不过，这些举措受到了一些批评，因为其中包括投机级(即垃圾级)债券，特别是那些在冠状病毒大流行前仍为投资级、但此后被下调评级的公司。</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鲍威尔说：“市场正在发挥作用。公司可以借钱，人们可以借钱。公司并没有表现出严重的财务压力，他们也不太可能采取削减成本之类的措施。”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他重申了自己的立场，即在不再需要这些工具来支撑市场后，“我们将搁置这些工具”，包括公司债券计划。除了公司债券，美联储还每月购买至少800亿美元的美国国债和400亿美元的抵押贷款支持证券。</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投资者相信乐观数据指向经济复苏</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经济迅速复苏的更多乐观迹象促成了昨日美股上涨。周二上午的经济数据显示，美国5月零售销售环比增长17.7%，增速达到经济学家预期的两倍，为史上最大环比增幅。这份数据表明，在经历了4月份创纪录的下降之后，美国消费者支出正在迅速恢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强劲的零售销售数据至少使一些经济学家修正了对今年第二季度经济活动收缩深度的预期。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Capital Economics资深美国经济学家Andrew Hunter表示：“5月零售销售环比增长17.7%，表明随着许多州的封锁隔离措施逐步解除，经济活动开始复苏，且复苏速度比我们及其他机构所预期的更快。因此，我们现在估计第二季度的实际消费与整体GDP年率萎缩30%，而不是先前预测的萎缩40%。”</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尽管包括5月非农就业报告在内的最新一轮的新经济数据都带来惊喜，但许多经济学家和决策者仍呼吁谨慎：只要冠状病毒大流行持续下去，就必须关注长期经济疲软的风险.</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美国21个州新冠肺炎确诊病例数上涨 专家预计第二波高峰正在到来</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当地时间6月17日，美国多个州新冠肺炎确诊病例数继续攀升。据美国有线电视新闻网统计，21个州在过去数周出现新冠病毒感染确诊案例增加，8个州保持稳定。此外，德克萨斯州目前有2793人因为新冠病毒感染入院，该数字自退伍军人纪念日(5月25日)以来增长了85%。目前美国各地均开始了不同程度重启。专家预计新冠病毒感染第二次高峰正在到来。</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在此之前，根据来自人口稠密的佛罗里达州和德克萨斯州的每日更新数据，这些州的新增确诊与入院治疗的冠状病毒病例均创新高，表明冠状病毒疫情出现反弹。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周二美国六个州的新增感染人数创下历史新高，包括亚利桑那、佛罗里达、俄克拉荷马、俄勒冈、德克萨斯和内华达。</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国家过敏症和传染病研究所所长安东尼-福奇表示：“如果你去看看数据和事实，就会发现站在任何角度来看，卫生危机都没有结束。数字已经说明了一切。”美国副总统彭斯则表示，有关美国将出现第二波感染的说法是“过度恐慌”。</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美国纽约州州长科莫表示，纽约市将从下周一(6月22日)起进入重新开放的第二阶段。</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市场关注冠状病毒药物研究进展</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药物研究进展方面，一项研究表明仿制药物地塞米松有助于降低重症冠状病毒患者的死亡风险。据美联社16日报道，英国研究人员发现人工合成的类固醇——地塞米松对于需要呼吸机治疗的新冠肺炎重症患者，它可以降低35%的死亡率，而对于只需要补充氧气的患者，它可以降低20%的死亡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牛津大学研究员马丁-兰德雷表示，试验结果表明这种药物将会“挽救生命，并且治疗成本将大大降低”，是一项重大突破。</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世卫组织卫生紧急项目负责人瑞安周三称，地塞米松是应对冠状病毒疫情所需的许多突破之一，仍需看到完整数据。</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瑞安表示，地塞米松应在医学监督下使用，不适用于预防冠状病毒肺炎，应该用于冠状病毒肺炎危重症病人。地塞米松是一种非常强力的消炎药，可以挽救肺部和周围心血管发炎的重症病人，可能是因为其可以减轻炎症状况，从而保证肺部继续向血液中输送氧气。</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焦点个股</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塔吉特从7月5日起将美国地区的底薪提高到每小时15美元。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特斯拉在关键市场加州的新车注册量大幅下滑，4月和5月的新车注册量合计下降37%。摩根士丹利重申特斯拉减持评级。</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此外，特斯拉周二在提交给美国证券交易委员会(SEC)的文件中披露，该公司已在2020年6月10日与松下签订了一项为期三年的锂电池供货和定价协议，该协议涉及松下在内华达州的超级工厂锂离子电池的生产和供应。协议有效期为自2020年4月1日起至2023年3月31日止。</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密苏里州共和党参议员Josh Hawley据悉周三将出台一项法案，让消费者有理由起诉Facebook或Twitter等科技公司，指控它们有选择性地审查政治言论。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其他市场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周三亚洲市场中，中国沪深300指数收高不到0.1%。上证综合指数收高0.1%。香港恒生指数收高0.6%。日本日经225综合指数收跌0.5%。韩国Kospi指数收高0.1%。</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欧洲股市面，英国富时100指数收高0.2%，德国DAX指数收高0.49%，法国CAC指数收高0.88%，西班牙IBEX指数收高0.23%。</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原油期货价格周三收跌。美国政府报告称美上周原油库存小幅攀升，但美国原油储存中心的原油、汽油以及馏分油库存均有所下降。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美国能源信息署(EIA)报告称，截止6月12日当周，美国原油库存增加120万桶，市场预期为减少350万桶。不过非官方机构美国石油协会(API)昨日报告显示，美国上周原油库存减少近390万桶。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原油输出国组织(OPEC)在周三发布的报告中预测今年下半年全球原油需求将会下降，但下降幅度会远远好于第一季度。受到冠状病毒疫情及相关控制疫情措施影响，今年第一季度的原油需求大幅下降。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周三，纽约商品交易所7月交割的西德州中质原油(WTI)期货价格下跌42美分，跌幅1.1%，收于每桶37.96美元。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作为全球原油价格基准的伦敦洲际交易所8月布伦特原油期货价格下跌25美分，跌幅0.6%，收于每桶40.71美元。昨日该期货收高3.1%。</w:t>
      </w:r>
    </w:p>
    <w:p>
      <w:pPr>
        <w:pStyle w:val="23"/>
        <w:spacing w:line="360" w:lineRule="auto"/>
        <w:ind w:firstLine="560" w:firstLineChars="200"/>
        <w:rPr>
          <w:rFonts w:hint="eastAsia" w:ascii="华文仿宋" w:hAnsi="华文仿宋" w:eastAsia="华文仿宋" w:cs="华文仿宋"/>
          <w:color w:val="333335"/>
          <w:kern w:val="2"/>
          <w:sz w:val="28"/>
          <w:szCs w:val="28"/>
          <w:shd w:val="clear" w:color="auto" w:fill="FFFFFF"/>
        </w:rPr>
      </w:pPr>
    </w:p>
    <w:p>
      <w:pPr>
        <w:pStyle w:val="23"/>
        <w:numPr>
          <w:ilvl w:val="0"/>
          <w:numId w:val="0"/>
        </w:numPr>
        <w:spacing w:line="360" w:lineRule="auto"/>
        <w:ind w:leftChars="196"/>
        <w:rPr>
          <w:rFonts w:hint="eastAsia" w:ascii="黑体" w:eastAsia="黑体"/>
          <w:b/>
          <w:sz w:val="28"/>
          <w:szCs w:val="28"/>
        </w:rPr>
      </w:pPr>
    </w:p>
    <w:p>
      <w:pPr>
        <w:pStyle w:val="23"/>
        <w:spacing w:line="360" w:lineRule="auto"/>
        <w:ind w:firstLine="562" w:firstLineChars="200"/>
        <w:jc w:val="both"/>
        <w:rPr>
          <w:rFonts w:hint="eastAsia" w:ascii="黑体" w:eastAsia="黑体"/>
          <w:b/>
          <w:sz w:val="28"/>
          <w:szCs w:val="28"/>
        </w:rPr>
      </w:pPr>
      <w:bookmarkStart w:id="6" w:name="_Toc10115993"/>
      <w:r>
        <w:rPr>
          <w:rFonts w:hint="eastAsia" w:ascii="黑体" w:eastAsia="黑体"/>
          <w:b/>
          <w:sz w:val="28"/>
          <w:szCs w:val="28"/>
        </w:rPr>
        <w:t>3.世界经济形势</w:t>
      </w:r>
      <w:bookmarkEnd w:id="6"/>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国际货币基金组织(IMF)将大幅下调经济预期，并就一场“世所未见”的危机发出警告。</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IMF首席经济学家吉塔·戈皮纳特当地时间16日说，全球经济将出现比IMF于4月所预测的更大规模的萎缩。</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据报道，在欧洲国家实施封锁的最初几周里，IMF曾说，全球经济将遭遇自上世纪30年代“大萧条”以来最严重的金融危机。当时，它预测2020年全球经济将萎缩3%。</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现在，尽管一些经济体开始重启，但IMF警告说，衰退可能会愈发严重。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戈皮纳特说：“发达经济体和新兴市场经济体都将在2020年陷入衰退，这是自‘大萧条’以来的第一次。即将在6月发布的《世界经济展望报告》更新版中很可能会显示，负增长率甚至比之前估计的还要糟糕。”</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IMF还说，当前被其称为“大封锁”的危机“不同于世界以往见过的任何危机”。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这场疫情一开始是一种卫生突发事件，但很快就因为必要的社会疏远措施和旅行限制措施而引发了经济危机。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许多国家目前已开始解除封锁，但事实证明这具有挑战性;在另一些国家，这一过程非常缓慢。与此同时，部分国家仍在努力应对不断增加的新冠肺炎病例。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根据美国约翰斯·霍普金斯大学的数据，全球累计新冠确诊病例已经超过800万例。美国、巴西、俄罗斯、印度和英国目前是病例数量最多的5个国家。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IMF指出，服务业受到的影响比制造业更加严重——这与以往的危机有所不同。在以往的危机中，缺少投资对制造业活动的影响最大。</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因此，戈皮纳特说，“由于消费者需求被压抑，有可能会出现更快的反弹，这与以往危机过后的情况不一样”。</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不过，她也提醒人们，这并非理所当然的事情，因为这场卫生危机可能改变消费者的支出习惯，人们可能会存更多的钱。</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报道注意到，当经济体、政府、医疗部门和公民仍在与疫情作斗争之际，股市却创下了新高。事实上，自危机爆发以来，标准普尔500指数已经收复了大部分失地。与此同时，在央行的大力干预下，债券市场也已在一定程度上恢复平静。</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戈皮纳特说：“主权债券利差上升和新兴市场货币贬值的幅度都比我们在全球金融危机期间看到的要小，几乎没有例外。考虑到‘大封锁’期间新兴市场受到的冲击更大，这一点值得注意。”</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因此，她警告说，如果卫生或经济状况恶化，公开市场可能会出现“急剧调整”。</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numPr>
          <w:ilvl w:val="0"/>
          <w:numId w:val="0"/>
        </w:numPr>
        <w:rPr>
          <w:rFonts w:hint="eastAsia" w:ascii="黑体" w:eastAsia="黑体"/>
          <w:b/>
          <w:sz w:val="28"/>
          <w:szCs w:val="28"/>
        </w:rPr>
      </w:pPr>
      <w:r>
        <w:rPr>
          <w:rFonts w:hint="eastAsia" w:ascii="黑体" w:eastAsia="黑体"/>
          <w:b/>
          <w:sz w:val="28"/>
          <w:szCs w:val="28"/>
          <w:lang w:val="en-US" w:eastAsia="zh-CN"/>
        </w:rPr>
        <w:t>4、</w:t>
      </w:r>
      <w:r>
        <w:rPr>
          <w:rFonts w:hint="eastAsia" w:ascii="黑体" w:eastAsia="黑体"/>
          <w:b/>
          <w:sz w:val="28"/>
          <w:szCs w:val="28"/>
        </w:rPr>
        <w:t>后市预测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7" w:name="_Toc533771866"/>
      <w:r>
        <w:rPr>
          <w:rFonts w:hint="eastAsia" w:asciiTheme="minorEastAsia" w:hAnsiTheme="minorEastAsia" w:eastAsiaTheme="minorEastAsia" w:cstheme="minorEastAsia"/>
          <w:color w:val="333335"/>
          <w:kern w:val="2"/>
          <w:sz w:val="28"/>
          <w:szCs w:val="28"/>
          <w:shd w:val="clear" w:color="auto" w:fill="FFFFFF"/>
        </w:rPr>
        <w:t>本周美国WTI原油原油价格在36.26-38.38美元/桶。布伦特原油价格在38.55-40.96美元/桶震荡。周内国际油震荡整理。原油市场的供需关系正在走向平衡，不过目前为止，需求的回升程度并没有人们预期的那么乐观，油价周三(6月17日)收盘下跌：美国WTI原油7月期货下跌0.42美元，跌幅1%，报37.96美元/桶;布伦特原油8月期货下跌0.25美元，跌幅0.6%，报40.71美元/桶。基本面利好因素：北京时间周三晚，美国EIA公布的数据显示，截至6月12日当周，美国除却战略储备的商业原油库存增加121.50万桶，增幅不及预期的增加160.5万桶，前值增加572万桶;当周EIA汽油库存实际公布减少166.60万桶，预期减少97.2万桶，前值增加86.6万桶;当周EIA精炼油库存实际公布减少135.80万桶，预期增加204.7万桶，前值增加156.8万桶。当日，美国石油协会(API)公布的数据显示，截至6月12日当周，API库欣原油库存减少328.9万桶，此前一周减少228.5万桶;精炼油库存增加91.9万桶，低于此前预期的增加265万桶以及427.1万桶的前值;美国上周原油进口减少2.8万桶。周三，欧佩克发布最新的月度报告显示，今年晚些时候欧佩克成员国将有放松生产限制的空间。该机构估计，第三季度全球对其原油的需求将升至每天2,780万桶，到2020年第四季度将升至每天3,120万桶。相比之下，欧佩克成员国5月份的日产量为24.20万桶，而这个数字在6月份似乎只会小幅上升。周二，国际能源署(IEA)表示，因亚洲石油进口强于预期，石油需求正从大幅下滑中复苏，并将其对2020年石油日需求的预测上调近50万桶。中国逐渐解除封锁措施后，4月份的需求几乎回到了一年前的水平，而印度5月份同样出现强劲反弹。尽管如此，因“航空业的严峻形势”，石油需求最早也要到2022年才能完全恢复。IEA预计，全球原油供需平衡目前将转为赤字，今年最后两个季度将有大量隐含库存。从6月起，原油库存将因产量大幅削减和炼油厂运营复苏而减少。本周四，欧佩克+将举行部长级监督委员会会议，讨论持续创纪录的减产，并观察各国是否履行了各自的减产份额，但五名欧佩克+消息人士称，本周由欧佩克牵头的评估石油市场状况的小组会议将建议欧佩克+就创纪录减产进行合作，这意味着需要就是否进一步延长协议进行进一步谈判。为了加强协议执行度的协商，欧佩克+还同意一个名为联合部长级监督委员会(JMMC)的小组在2020年底前每月开会一次。第一次会议将于周四举行。欧佩克+消息人士称，尽管此轮会议周期比过去更频繁，但JMMC的权限仍是为欧佩克+提供建议，这意味着不会立即做出延长减产协议的任何决定。基本面利空因素：北京时间周三，美国石油协会(API)公布的数据显示，截至6月12日当周，API原油库存增加385.7万桶至5.432亿桶，预期增加50万桶;汽油库存增加385.7万桶，高于此前减少23万桶的预期。金融博客零对冲对此评论道：受经济复苏(美国零售销售月率创历史最大增幅)与战胜疫情希望的推动，日内WTI原油期货回升至38美元/桶上方。不过，由于墨西哥湾沿岸地区受到天气影响，导致产量下滑与进口减少，市场预计原油库存有所减少。API原油库存录得意外增加，精炼油库存也迎来了连续11周的增加，数据公布后，WTI原油期货回落至38美元/桶下方。部分封锁措施的解除对汽油消费产生了部分影响，但仍未对工业柴油需求带来直接影响。随着各国放松封锁措施，世界各地的需求已开始逐渐上升。但市场也在担忧需求和供应，摩根士丹利表示，油价此前上涨过快，而全球石油需求可能不会在2021年底之前就回到疫情前的水平。供应问题或许会卷土重来，随着价格上涨，美国页岩油将重启生产;此外，当欧佩克和盟国开始减少减产幅度时，石油产量将急剧增加。</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预测下周WTI油价将触及35-39美元/桶，布油在之后几个月触及37-42美元/桶。</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lang w:val="en-US" w:eastAsia="zh-CN"/>
        </w:rPr>
      </w:pP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2.2国际市场MTBE价格</w:t>
      </w:r>
      <w:bookmarkEnd w:id="7"/>
    </w:p>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8"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6月17日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489.50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116.83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433.75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6月16日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466.00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116.03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431.75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6月15日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430.50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111.87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437.00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6月12日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427.00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109.50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432.00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6月11日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484.50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106.33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422.00 </w:t>
            </w:r>
          </w:p>
        </w:tc>
      </w:tr>
    </w:tbl>
    <w:p>
      <w:pPr>
        <w:pStyle w:val="2"/>
        <w:spacing w:before="120" w:after="0" w:line="240" w:lineRule="auto"/>
        <w:rPr>
          <w:rFonts w:hint="eastAsia"/>
        </w:rPr>
      </w:pPr>
    </w:p>
    <w:p>
      <w:pPr>
        <w:pStyle w:val="2"/>
        <w:numPr>
          <w:ilvl w:val="0"/>
          <w:numId w:val="3"/>
        </w:numPr>
        <w:spacing w:before="120" w:after="0" w:line="240" w:lineRule="auto"/>
        <w:rPr>
          <w:rFonts w:hint="eastAsia"/>
          <w:b/>
        </w:rPr>
      </w:pPr>
      <w:r>
        <w:rPr>
          <w:rFonts w:hint="eastAsia"/>
          <w:b/>
        </w:rPr>
        <w:t>本周国内市场</w:t>
      </w:r>
      <w:bookmarkEnd w:id="8"/>
    </w:p>
    <w:p>
      <w:pPr>
        <w:numPr>
          <w:ilvl w:val="0"/>
          <w:numId w:val="0"/>
        </w:numPr>
      </w:pPr>
    </w:p>
    <w:p>
      <w:pPr>
        <w:pStyle w:val="3"/>
        <w:spacing w:before="120" w:after="120" w:line="240" w:lineRule="auto"/>
        <w:rPr>
          <w:rFonts w:ascii="宋体" w:hAnsi="宋体"/>
          <w:b/>
          <w:sz w:val="30"/>
          <w:szCs w:val="30"/>
        </w:rPr>
      </w:pPr>
      <w:bookmarkStart w:id="9" w:name="_Toc533771865"/>
      <w:bookmarkStart w:id="10" w:name="_Toc533771868"/>
      <w:r>
        <w:rPr>
          <w:rFonts w:hint="eastAsia" w:ascii="宋体" w:hAnsi="宋体"/>
          <w:b/>
          <w:sz w:val="30"/>
          <w:szCs w:val="30"/>
        </w:rPr>
        <w:t>2.1影响国际原油市场的主要因素</w:t>
      </w:r>
      <w:bookmarkEnd w:id="9"/>
    </w:p>
    <w:p>
      <w:pPr>
        <w:pStyle w:val="3"/>
        <w:spacing w:before="120" w:after="120" w:line="240" w:lineRule="auto"/>
      </w:pPr>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97"/>
        <w:gridCol w:w="1699"/>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49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69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燕山石化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燕山石化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塔河石化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塔河石化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上海石化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上海石化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镇海石化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镇海石化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茂名石化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北海石化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天津石化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大连石化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w:t>
            </w:r>
            <w:r>
              <w:rPr>
                <w:rFonts w:hint="eastAsia" w:ascii="宋体" w:hAnsi="宋体" w:cs="宋体"/>
                <w:i w:val="0"/>
                <w:color w:val="000000"/>
                <w:kern w:val="0"/>
                <w:sz w:val="21"/>
                <w:szCs w:val="21"/>
                <w:u w:val="none"/>
                <w:lang w:val="en-US" w:eastAsia="zh-CN" w:bidi="ar"/>
              </w:rPr>
              <w:t>年4月上旬陆续停</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2020年6月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广西石化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抚顺石化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2020年6月底</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锦西石化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2020年7月底</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惠州炼厂</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2020年10月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中海油气(泰州)</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4月下旬</w:t>
            </w:r>
          </w:p>
        </w:tc>
      </w:tr>
    </w:tbl>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p>
    <w:p>
      <w:pPr>
        <w:numPr>
          <w:ilvl w:val="0"/>
          <w:numId w:val="4"/>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405"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160"/>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1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计划2020年6月中旬左右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2020年5月10日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计划2020年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底</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w:t>
            </w:r>
            <w:r>
              <w:rPr>
                <w:rFonts w:hint="eastAsia" w:ascii="宋体" w:hAnsi="宋体" w:cs="宋体"/>
                <w:i w:val="0"/>
                <w:color w:val="000000"/>
                <w:kern w:val="0"/>
                <w:sz w:val="21"/>
                <w:szCs w:val="21"/>
                <w:u w:val="none"/>
                <w:lang w:val="en-US" w:eastAsia="zh-CN" w:bidi="ar"/>
              </w:rPr>
              <w:t>29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5月初</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2020年3月15日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柴油加氢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bl>
    <w:p>
      <w:pPr>
        <w:numPr>
          <w:ilvl w:val="0"/>
          <w:numId w:val="0"/>
        </w:numPr>
        <w:jc w:val="center"/>
        <w:rPr>
          <w:rFonts w:hint="eastAsia" w:ascii="宋体" w:hAnsi="宋体"/>
          <w:sz w:val="28"/>
          <w:szCs w:val="28"/>
          <w:highlight w:val="none"/>
        </w:rPr>
      </w:pPr>
    </w:p>
    <w:p>
      <w:pPr>
        <w:rPr>
          <w:rFonts w:hint="eastAsia"/>
        </w:rPr>
      </w:pPr>
      <w:bookmarkStart w:id="11" w:name="_Toc533771869"/>
    </w:p>
    <w:bookmarkEnd w:id="11"/>
    <w:p>
      <w:pPr>
        <w:pStyle w:val="3"/>
        <w:spacing w:before="120" w:after="120" w:line="240" w:lineRule="auto"/>
        <w:rPr>
          <w:rFonts w:hint="eastAsia" w:ascii="宋体" w:hAnsi="宋体"/>
          <w:b/>
          <w:sz w:val="30"/>
          <w:szCs w:val="30"/>
          <w:highlight w:val="none"/>
        </w:rPr>
      </w:pPr>
      <w:bookmarkStart w:id="12" w:name="_Toc533771870"/>
      <w:r>
        <w:rPr>
          <w:rFonts w:hint="eastAsia" w:ascii="宋体" w:hAnsi="宋体"/>
          <w:b/>
          <w:sz w:val="30"/>
          <w:szCs w:val="30"/>
          <w:highlight w:val="none"/>
        </w:rPr>
        <w:t>3.2本周成品油市场行情</w:t>
      </w:r>
    </w:p>
    <w:p>
      <w:pPr>
        <w:pStyle w:val="23"/>
        <w:spacing w:line="360" w:lineRule="auto"/>
        <w:ind w:firstLine="560" w:firstLineChars="200"/>
        <w:jc w:val="both"/>
        <w:rPr>
          <w:rFonts w:hint="default" w:ascii="宋体" w:hAnsi="宋体" w:eastAsia="宋体" w:cs="宋体"/>
          <w:color w:val="333335"/>
          <w:kern w:val="2"/>
          <w:sz w:val="28"/>
          <w:szCs w:val="28"/>
          <w:shd w:val="clear" w:color="auto" w:fill="FFFFFF"/>
          <w:lang w:eastAsia="zh-CN"/>
        </w:rPr>
      </w:pPr>
      <w:r>
        <w:rPr>
          <w:rFonts w:hint="default" w:ascii="宋体" w:hAnsi="宋体" w:eastAsia="宋体" w:cs="宋体"/>
          <w:color w:val="333335"/>
          <w:kern w:val="2"/>
          <w:sz w:val="28"/>
          <w:szCs w:val="28"/>
          <w:shd w:val="clear" w:color="auto" w:fill="FFFFFF"/>
          <w:lang w:eastAsia="zh-CN"/>
        </w:rPr>
        <w:t>本周，国际原油期货宽幅震荡，据测算第五个工作日参考原油变化率为1.05%。受此影响，国内成品油市场购销氛围持淡，各地主营单位汽柴油销售执行优惠政策。与此同时，山东地炼成品油行情弱势下行，部分炼厂报价理性回调，且成交保持100元/吨左右优惠。具体来看出货方面：原油震荡走势利空业者心态，区内油市观望气氛浓厚，加上目前社会单位库存有待进一步消化，故中间商囤货操作甚少，仅少数下游用户按需采购，使得地炼整体出货表现一般，多数企业在面对库存上升局面不得已采取促销模式。</w:t>
      </w:r>
    </w:p>
    <w:p>
      <w:pPr>
        <w:pStyle w:val="23"/>
        <w:spacing w:line="360" w:lineRule="auto"/>
        <w:ind w:firstLine="560" w:firstLineChars="200"/>
        <w:jc w:val="both"/>
        <w:rPr>
          <w:rFonts w:hint="default" w:ascii="宋体" w:hAnsi="宋体" w:eastAsia="宋体" w:cs="宋体"/>
          <w:color w:val="333335"/>
          <w:kern w:val="2"/>
          <w:sz w:val="28"/>
          <w:szCs w:val="28"/>
          <w:shd w:val="clear" w:color="auto" w:fill="FFFFFF"/>
          <w:lang w:eastAsia="zh-CN"/>
        </w:rPr>
      </w:pPr>
      <w:r>
        <w:rPr>
          <w:rFonts w:hint="default" w:ascii="宋体" w:hAnsi="宋体" w:eastAsia="宋体" w:cs="宋体"/>
          <w:color w:val="333335"/>
          <w:kern w:val="2"/>
          <w:sz w:val="28"/>
          <w:szCs w:val="28"/>
          <w:shd w:val="clear" w:color="auto" w:fill="FFFFFF"/>
          <w:lang w:eastAsia="zh-CN"/>
        </w:rPr>
        <w:t>本周(6月12日-6月18日)消息面支撑减弱 华中区内油价大致维稳 具体分析如下，周内，国际原油处于盘整态势，整体波动幅度较为有限，零售价未能突破调价红线，且新一轮变化率维持0附近窄幅波动，消息面难寻有力支撑。柴油需求面受梅雨季节影响呈现疲态，汽油需求尚可。不过前期下游备货充足，主营客存水平普遍偏高，业者多消库观望为主。主营多数维持稳价保利政策，个别单位零星调整报价，不过实盘成交销售政策十分灵活。市场成交以刚需小单为主。后市而言，国际原油或维持区间震荡，本轮零售价搁浅与小涨概率并存，消息面支撑或较为有限。市场低价资源冲击明显，步入下旬主营或积极出货。预计短期内华中地区主营价格或维持窄幅整理态势，部分单位或暗中增加优惠以刺激出货。</w:t>
      </w:r>
    </w:p>
    <w:p>
      <w:pPr>
        <w:pStyle w:val="23"/>
        <w:spacing w:line="360" w:lineRule="auto"/>
        <w:ind w:firstLine="560" w:firstLineChars="200"/>
        <w:jc w:val="both"/>
        <w:rPr>
          <w:rFonts w:hint="default" w:ascii="宋体" w:hAnsi="宋体" w:eastAsia="宋体" w:cs="宋体"/>
          <w:color w:val="333335"/>
          <w:kern w:val="2"/>
          <w:sz w:val="28"/>
          <w:szCs w:val="28"/>
          <w:shd w:val="clear" w:color="auto" w:fill="FFFFFF"/>
          <w:lang w:eastAsia="zh-CN"/>
        </w:rPr>
      </w:pPr>
      <w:r>
        <w:rPr>
          <w:rFonts w:hint="default" w:ascii="宋体" w:hAnsi="宋体" w:eastAsia="宋体" w:cs="宋体"/>
          <w:color w:val="333335"/>
          <w:kern w:val="2"/>
          <w:sz w:val="28"/>
          <w:szCs w:val="28"/>
          <w:shd w:val="clear" w:color="auto" w:fill="FFFFFF"/>
          <w:lang w:eastAsia="zh-CN"/>
        </w:rPr>
        <w:t>本周(6月12日-6月18日)，华东地区成品油行情整体呈现柴弱企稳，市场整体成交表现平平。具体来看，周内国际油价震荡下跌，消息面支撑有限，区内成品油价格柴跌汽稳。与此同时，山东地炼汽柴油价格下跌，主营外采成本不断降低。随着区内降雨范围不断扩大，工矿、基建、物流等大型项目开工率受阻，柴油需求随之下降，部分主营开启优惠政策，实盘成交优惠可大幅降低，业者补货积极性提振，但整体出货表现一般。而受大范围降雨影响，民众出行减少，车载空调使用率下降，汽油需求受限，整体出货平平。综上所述，市场观望情绪仍存，业者补货稀少，整体成交表现平平。后期来看，国际原油期价或震荡整理，消息面或支撑有限。预计下周华东地区成品油行情或窄幅整理。</w:t>
      </w:r>
    </w:p>
    <w:p>
      <w:pPr>
        <w:pStyle w:val="23"/>
        <w:spacing w:line="360" w:lineRule="auto"/>
        <w:ind w:firstLine="560" w:firstLineChars="200"/>
        <w:jc w:val="both"/>
        <w:rPr>
          <w:rFonts w:hint="default" w:ascii="宋体" w:hAnsi="宋体" w:eastAsia="宋体" w:cs="宋体"/>
          <w:color w:val="333335"/>
          <w:kern w:val="2"/>
          <w:sz w:val="28"/>
          <w:szCs w:val="28"/>
          <w:shd w:val="clear" w:color="auto" w:fill="FFFFFF"/>
          <w:lang w:eastAsia="zh-CN"/>
        </w:rPr>
      </w:pPr>
      <w:r>
        <w:rPr>
          <w:rFonts w:hint="default" w:ascii="宋体" w:hAnsi="宋体" w:eastAsia="宋体" w:cs="宋体"/>
          <w:color w:val="333335"/>
          <w:kern w:val="2"/>
          <w:sz w:val="28"/>
          <w:szCs w:val="28"/>
          <w:shd w:val="clear" w:color="auto" w:fill="FFFFFF"/>
          <w:lang w:eastAsia="zh-CN"/>
        </w:rPr>
        <w:t>本周(6月12日-6月18日)，华北地区主营呈现汽涨柴稳行情，市场交投气氛平淡。分析来看，国际原油期价宽幅震荡，新一轮原油变化率负向开端转为正向运行，消息面指引市场有限。山东地炼汽柴油行情行情承压下行，主营外采成本随之降低。供需面来看，受南方梅雨季节影响，户外工程基建等开工受限，柴油需求受一定抑制;而高温天气下，车用汽油消耗增多，汽油终端需求向好。综合来看，区内主营汽柴油行情呈现不一，汽涨柴跌为主，部分主营积极出货加大优惠，下游业者入市采购按需，成交谨慎小单。后市而言，国际原油或区间震荡，本轮零售价搁浅与小涨概率并存，预计短期区内成品油行情或陷入盘整，实盘成交优惠商谈。</w:t>
      </w:r>
    </w:p>
    <w:p>
      <w:pPr>
        <w:pStyle w:val="23"/>
        <w:spacing w:line="360" w:lineRule="auto"/>
        <w:ind w:firstLine="560" w:firstLineChars="200"/>
        <w:jc w:val="both"/>
        <w:rPr>
          <w:rFonts w:hint="default" w:ascii="宋体" w:hAnsi="宋体" w:eastAsia="宋体" w:cs="宋体"/>
          <w:color w:val="333335"/>
          <w:kern w:val="2"/>
          <w:sz w:val="28"/>
          <w:szCs w:val="28"/>
          <w:shd w:val="clear" w:color="auto" w:fill="FFFFFF"/>
          <w:lang w:eastAsia="zh-CN"/>
        </w:rPr>
      </w:pPr>
      <w:r>
        <w:rPr>
          <w:rFonts w:hint="default" w:ascii="宋体" w:hAnsi="宋体" w:eastAsia="宋体" w:cs="宋体"/>
          <w:color w:val="333335"/>
          <w:kern w:val="2"/>
          <w:sz w:val="28"/>
          <w:szCs w:val="28"/>
          <w:shd w:val="clear" w:color="auto" w:fill="FFFFFF"/>
          <w:lang w:eastAsia="zh-CN"/>
        </w:rPr>
        <w:t>本周(6月12日-6月18日)，西南地区汽柴行情稳中下行，市场成交难改平淡。分析来看：国际原油期价走势震荡，本轮成品油零售价调整与否仍存变数，消息面对市场难有支撑。此外，部分地区降水增多，户外工程基建等行业开工受限，柴油需求维持低迷;汽油方面，夏季高温天气增多，车用空调用油增多，汽油进入需求旺季，但市场供应量充足，汽油行情亦缺乏上行动力。主营单位出货欠佳，部分地区价格回落，且优惠力度加大，成交重心整体下移。不过，业者补货心态谨慎，大单采购有限，市场成交仍显平淡。就后市而言，国际油价或维持震荡小涨，本轮零售价搁浅及小涨概率并存，消息面支撑力度有限。业者根据自身库存情况逢低补货，市场成交难有提升。</w:t>
      </w:r>
    </w:p>
    <w:p>
      <w:pPr>
        <w:pStyle w:val="23"/>
        <w:spacing w:line="360" w:lineRule="auto"/>
        <w:ind w:firstLine="560" w:firstLineChars="200"/>
        <w:jc w:val="both"/>
        <w:rPr>
          <w:rFonts w:hint="default" w:ascii="宋体" w:hAnsi="宋体" w:eastAsia="宋体" w:cs="宋体"/>
          <w:color w:val="333335"/>
          <w:kern w:val="2"/>
          <w:sz w:val="28"/>
          <w:szCs w:val="28"/>
          <w:shd w:val="clear" w:color="auto" w:fill="FFFFFF"/>
          <w:lang w:eastAsia="zh-CN"/>
        </w:rPr>
      </w:pPr>
      <w:r>
        <w:rPr>
          <w:rFonts w:hint="default" w:ascii="宋体" w:hAnsi="宋体" w:eastAsia="宋体" w:cs="宋体"/>
          <w:color w:val="333335"/>
          <w:kern w:val="2"/>
          <w:sz w:val="28"/>
          <w:szCs w:val="28"/>
          <w:shd w:val="clear" w:color="auto" w:fill="FFFFFF"/>
          <w:lang w:eastAsia="zh-CN"/>
        </w:rPr>
        <w:t>本周(6月12日-6月18日)，西北地炼柴油行情延续跌势，汽油行情维持淡稳，市场购销平淡。分析来看：周内国际油价维持震荡走势，不过，原油均价仍未突破40美元/桶的“地板价”，本轮调价仍存变数，消息面对市场指引有限。同时，随着延炼恢复正常生产，汽柴供应量逐步提升。但柴油需求随着夏收的收尾而逐步转淡，市场供应压力增加，销售公司周内柴价再度下调;汽油进入消费旺季，需求面略有支撑，销售公司价格保持稳定。业者操作心态谨慎，消库之余按需补货，市场成交气氛平平。就后市而言，国际油价或维持震荡小涨，本轮零售价小涨及搁浅概率并存，消息面对市场支撑作用偏弱。业者入市补货谨慎，市场成交刚需为主。由于目前柴油需求不振，整体行情或继续承压;汽油需求略有提升，但市场供应充足，整体行情亦缺乏上行动力。</w:t>
      </w:r>
    </w:p>
    <w:p>
      <w:pPr>
        <w:pStyle w:val="23"/>
        <w:spacing w:line="360" w:lineRule="auto"/>
        <w:ind w:firstLine="560" w:firstLineChars="200"/>
        <w:jc w:val="both"/>
        <w:rPr>
          <w:rFonts w:hint="default" w:ascii="宋体" w:hAnsi="宋体" w:eastAsia="宋体" w:cs="宋体"/>
          <w:color w:val="333335"/>
          <w:kern w:val="2"/>
          <w:sz w:val="28"/>
          <w:szCs w:val="28"/>
          <w:shd w:val="clear" w:color="auto" w:fill="FFFFFF"/>
          <w:lang w:eastAsia="zh-CN"/>
        </w:rPr>
      </w:pPr>
      <w:r>
        <w:rPr>
          <w:rFonts w:hint="default" w:ascii="宋体" w:hAnsi="宋体" w:eastAsia="宋体" w:cs="宋体"/>
          <w:color w:val="333335"/>
          <w:kern w:val="2"/>
          <w:sz w:val="28"/>
          <w:szCs w:val="28"/>
          <w:shd w:val="clear" w:color="auto" w:fill="FFFFFF"/>
          <w:lang w:eastAsia="zh-CN"/>
        </w:rPr>
        <w:t>后市前瞻：进入下周，中国疫情出现反复或令原油需求前景蒙阴，国际油价保持震荡态势。以WTI为例，预计主流运行区间在36-40(均值38)美元/桶之间，环比上涨0.79美元/桶或2.12%。在缺少实质性利好因素提振前，山东地区成品油行情清淡局面恐难以得到有效改善，加上目前地炼整体库存普遍有所升高，因此炼厂方面短期内将以出货走量为主，因此建议中下游商家多按需采购，切忌大量囤货。综上所述，预计山东地炼汽柴油价格稳中走低，跌幅在100元/吨左右。</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autofit"/>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2020/6/18</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2020/6/11</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6904</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7394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7394</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6904</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7394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7394</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6683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6683</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吉林市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吉林市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bookmarkStart w:id="14" w:name="_Toc533771872"/>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2020/6/18</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2020/6/11</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5575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5575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5575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5575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5785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5785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5785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5785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5595</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tbl>
      <w:tblPr>
        <w:tblStyle w:val="24"/>
        <w:tblW w:w="9405" w:type="dxa"/>
        <w:tblInd w:w="0" w:type="dxa"/>
        <w:shd w:val="clear" w:color="auto" w:fill="auto"/>
        <w:tblLayout w:type="fixed"/>
        <w:tblCellMar>
          <w:top w:w="0" w:type="dxa"/>
          <w:left w:w="0" w:type="dxa"/>
          <w:bottom w:w="0" w:type="dxa"/>
          <w:right w:w="0" w:type="dxa"/>
        </w:tblCellMar>
      </w:tblPr>
      <w:tblGrid>
        <w:gridCol w:w="945"/>
        <w:gridCol w:w="1470"/>
        <w:gridCol w:w="1170"/>
        <w:gridCol w:w="1155"/>
        <w:gridCol w:w="1065"/>
        <w:gridCol w:w="1080"/>
        <w:gridCol w:w="1260"/>
        <w:gridCol w:w="1260"/>
      </w:tblGrid>
      <w:tr>
        <w:tblPrEx>
          <w:shd w:val="clear" w:color="auto" w:fill="auto"/>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2020/6/18</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2020/6/11</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5112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5248</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5266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5323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-144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5341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5485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p>
      <w:pPr>
        <w:rPr>
          <w:rFonts w:hint="eastAsia"/>
          <w:bCs/>
          <w:szCs w:val="21"/>
          <w:lang w:val="en-US" w:eastAsia="zh-CN"/>
        </w:rPr>
      </w:pPr>
    </w:p>
    <w:tbl>
      <w:tblPr>
        <w:tblStyle w:val="24"/>
        <w:tblW w:w="930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color="auto" w:fill="auto"/>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2020/6/18</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2020/6/11</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4710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bl>
    <w:p>
      <w:pPr>
        <w:pStyle w:val="3"/>
        <w:spacing w:before="120" w:after="120" w:line="240" w:lineRule="auto"/>
        <w:rPr>
          <w:rFonts w:hint="eastAsia" w:ascii="宋体" w:hAnsi="宋体"/>
          <w:b/>
          <w:sz w:val="10"/>
          <w:szCs w:val="10"/>
          <w:lang w:val="en-US" w:eastAsia="zh-CN"/>
        </w:rPr>
      </w:pPr>
      <w:bookmarkStart w:id="16" w:name="_Toc533771874"/>
    </w:p>
    <w:p>
      <w:pPr>
        <w:rPr>
          <w:rFonts w:hint="eastAsia"/>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四、2020年4月份进出口统计数据</w:t>
      </w:r>
      <w:bookmarkEnd w:id="16"/>
      <w:bookmarkStart w:id="17" w:name="_Toc533771875"/>
    </w:p>
    <w:p>
      <w:pPr>
        <w:rPr>
          <w:rFonts w:hint="eastAsia"/>
        </w:rPr>
      </w:pPr>
    </w:p>
    <w:p>
      <w:pPr>
        <w:pStyle w:val="3"/>
        <w:spacing w:before="120" w:after="120" w:line="240" w:lineRule="auto"/>
        <w:rPr>
          <w:rFonts w:hint="eastAsia" w:ascii="宋体" w:hAnsi="宋体"/>
          <w:b/>
          <w:sz w:val="30"/>
          <w:szCs w:val="30"/>
        </w:rPr>
      </w:pPr>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657" w:type="dxa"/>
        <w:tblInd w:w="0" w:type="dxa"/>
        <w:shd w:val="clear" w:color="auto" w:fill="auto"/>
        <w:tblLayout w:type="autofit"/>
        <w:tblCellMar>
          <w:top w:w="0" w:type="dxa"/>
          <w:left w:w="0" w:type="dxa"/>
          <w:bottom w:w="0" w:type="dxa"/>
          <w:right w:w="0" w:type="dxa"/>
        </w:tblCellMar>
      </w:tblPr>
      <w:tblGrid>
        <w:gridCol w:w="2160"/>
        <w:gridCol w:w="2565"/>
        <w:gridCol w:w="2262"/>
        <w:gridCol w:w="2670"/>
      </w:tblGrid>
      <w:tr>
        <w:tblPrEx>
          <w:shd w:val="clear" w:color="auto" w:fill="auto"/>
          <w:tblCellMar>
            <w:top w:w="0" w:type="dxa"/>
            <w:left w:w="0" w:type="dxa"/>
            <w:bottom w:w="0" w:type="dxa"/>
            <w:right w:w="0" w:type="dxa"/>
          </w:tblCellMar>
        </w:tblPrEx>
        <w:trPr>
          <w:trHeight w:val="390" w:hRule="atLeast"/>
        </w:trPr>
        <w:tc>
          <w:tcPr>
            <w:tcW w:w="216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出口目的地</w:t>
            </w:r>
          </w:p>
        </w:tc>
        <w:tc>
          <w:tcPr>
            <w:tcW w:w="256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数量</w:t>
            </w:r>
          </w:p>
        </w:tc>
        <w:tc>
          <w:tcPr>
            <w:tcW w:w="2262"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单位</w:t>
            </w:r>
          </w:p>
        </w:tc>
        <w:tc>
          <w:tcPr>
            <w:tcW w:w="267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出口金额美元</w:t>
            </w:r>
          </w:p>
        </w:tc>
      </w:tr>
      <w:tr>
        <w:tblPrEx>
          <w:tblCellMar>
            <w:top w:w="0" w:type="dxa"/>
            <w:left w:w="0" w:type="dxa"/>
            <w:bottom w:w="0" w:type="dxa"/>
            <w:right w:w="0" w:type="dxa"/>
          </w:tblCellMar>
        </w:tblPrEx>
        <w:trPr>
          <w:trHeight w:val="420"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阿联酋</w:t>
            </w:r>
          </w:p>
        </w:tc>
        <w:tc>
          <w:tcPr>
            <w:tcW w:w="2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189109.4</w:t>
            </w:r>
          </w:p>
        </w:tc>
        <w:tc>
          <w:tcPr>
            <w:tcW w:w="22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吨</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74661782</w:t>
            </w:r>
          </w:p>
        </w:tc>
      </w:tr>
      <w:tr>
        <w:tblPrEx>
          <w:tblCellMar>
            <w:top w:w="0" w:type="dxa"/>
            <w:left w:w="0" w:type="dxa"/>
            <w:bottom w:w="0" w:type="dxa"/>
            <w:right w:w="0" w:type="dxa"/>
          </w:tblCellMar>
        </w:tblPrEx>
        <w:trPr>
          <w:trHeight w:val="420"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澳大利亚</w:t>
            </w:r>
          </w:p>
        </w:tc>
        <w:tc>
          <w:tcPr>
            <w:tcW w:w="2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46628.6</w:t>
            </w:r>
          </w:p>
        </w:tc>
        <w:tc>
          <w:tcPr>
            <w:tcW w:w="22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吨</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16632611</w:t>
            </w:r>
          </w:p>
        </w:tc>
      </w:tr>
      <w:tr>
        <w:tblPrEx>
          <w:tblCellMar>
            <w:top w:w="0" w:type="dxa"/>
            <w:left w:w="0" w:type="dxa"/>
            <w:bottom w:w="0" w:type="dxa"/>
            <w:right w:w="0" w:type="dxa"/>
          </w:tblCellMar>
        </w:tblPrEx>
        <w:trPr>
          <w:trHeight w:val="420"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菲律宾</w:t>
            </w:r>
          </w:p>
        </w:tc>
        <w:tc>
          <w:tcPr>
            <w:tcW w:w="2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135835.8</w:t>
            </w:r>
          </w:p>
        </w:tc>
        <w:tc>
          <w:tcPr>
            <w:tcW w:w="22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吨</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27096169</w:t>
            </w:r>
          </w:p>
        </w:tc>
      </w:tr>
      <w:tr>
        <w:tblPrEx>
          <w:tblCellMar>
            <w:top w:w="0" w:type="dxa"/>
            <w:left w:w="0" w:type="dxa"/>
            <w:bottom w:w="0" w:type="dxa"/>
            <w:right w:w="0" w:type="dxa"/>
          </w:tblCellMar>
        </w:tblPrEx>
        <w:trPr>
          <w:trHeight w:val="420"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韩国</w:t>
            </w:r>
          </w:p>
        </w:tc>
        <w:tc>
          <w:tcPr>
            <w:tcW w:w="2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50675</w:t>
            </w:r>
          </w:p>
        </w:tc>
        <w:tc>
          <w:tcPr>
            <w:tcW w:w="22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吨</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18755725</w:t>
            </w:r>
          </w:p>
        </w:tc>
      </w:tr>
      <w:tr>
        <w:tblPrEx>
          <w:tblCellMar>
            <w:top w:w="0" w:type="dxa"/>
            <w:left w:w="0" w:type="dxa"/>
            <w:bottom w:w="0" w:type="dxa"/>
            <w:right w:w="0" w:type="dxa"/>
          </w:tblCellMar>
        </w:tblPrEx>
        <w:trPr>
          <w:trHeight w:val="420"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马来西亚</w:t>
            </w:r>
          </w:p>
        </w:tc>
        <w:tc>
          <w:tcPr>
            <w:tcW w:w="2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123185.5</w:t>
            </w:r>
          </w:p>
        </w:tc>
        <w:tc>
          <w:tcPr>
            <w:tcW w:w="22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吨</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52105870</w:t>
            </w:r>
          </w:p>
        </w:tc>
      </w:tr>
      <w:tr>
        <w:tblPrEx>
          <w:tblCellMar>
            <w:top w:w="0" w:type="dxa"/>
            <w:left w:w="0" w:type="dxa"/>
            <w:bottom w:w="0" w:type="dxa"/>
            <w:right w:w="0" w:type="dxa"/>
          </w:tblCellMar>
        </w:tblPrEx>
        <w:trPr>
          <w:trHeight w:val="420"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蒙古</w:t>
            </w:r>
          </w:p>
        </w:tc>
        <w:tc>
          <w:tcPr>
            <w:tcW w:w="2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4508.1</w:t>
            </w:r>
          </w:p>
        </w:tc>
        <w:tc>
          <w:tcPr>
            <w:tcW w:w="22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吨</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850275</w:t>
            </w:r>
          </w:p>
        </w:tc>
      </w:tr>
      <w:tr>
        <w:tblPrEx>
          <w:tblCellMar>
            <w:top w:w="0" w:type="dxa"/>
            <w:left w:w="0" w:type="dxa"/>
            <w:bottom w:w="0" w:type="dxa"/>
            <w:right w:w="0" w:type="dxa"/>
          </w:tblCellMar>
        </w:tblPrEx>
        <w:trPr>
          <w:trHeight w:val="420"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缅甸</w:t>
            </w:r>
          </w:p>
        </w:tc>
        <w:tc>
          <w:tcPr>
            <w:tcW w:w="2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4639.7</w:t>
            </w:r>
          </w:p>
        </w:tc>
        <w:tc>
          <w:tcPr>
            <w:tcW w:w="22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吨</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2850776</w:t>
            </w:r>
          </w:p>
        </w:tc>
      </w:tr>
      <w:tr>
        <w:tblPrEx>
          <w:tblCellMar>
            <w:top w:w="0" w:type="dxa"/>
            <w:left w:w="0" w:type="dxa"/>
            <w:bottom w:w="0" w:type="dxa"/>
            <w:right w:w="0" w:type="dxa"/>
          </w:tblCellMar>
        </w:tblPrEx>
        <w:trPr>
          <w:trHeight w:val="420"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墨西哥</w:t>
            </w:r>
          </w:p>
        </w:tc>
        <w:tc>
          <w:tcPr>
            <w:tcW w:w="2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137584.3</w:t>
            </w:r>
          </w:p>
        </w:tc>
        <w:tc>
          <w:tcPr>
            <w:tcW w:w="22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吨</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48880403</w:t>
            </w:r>
          </w:p>
        </w:tc>
      </w:tr>
      <w:tr>
        <w:tblPrEx>
          <w:tblCellMar>
            <w:top w:w="0" w:type="dxa"/>
            <w:left w:w="0" w:type="dxa"/>
            <w:bottom w:w="0" w:type="dxa"/>
            <w:right w:w="0" w:type="dxa"/>
          </w:tblCellMar>
        </w:tblPrEx>
        <w:trPr>
          <w:trHeight w:val="420"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日本</w:t>
            </w:r>
          </w:p>
        </w:tc>
        <w:tc>
          <w:tcPr>
            <w:tcW w:w="2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79543.4</w:t>
            </w:r>
          </w:p>
        </w:tc>
        <w:tc>
          <w:tcPr>
            <w:tcW w:w="22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吨</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50152542</w:t>
            </w:r>
          </w:p>
        </w:tc>
      </w:tr>
      <w:tr>
        <w:tblPrEx>
          <w:tblCellMar>
            <w:top w:w="0" w:type="dxa"/>
            <w:left w:w="0" w:type="dxa"/>
            <w:bottom w:w="0" w:type="dxa"/>
            <w:right w:w="0" w:type="dxa"/>
          </w:tblCellMar>
        </w:tblPrEx>
        <w:trPr>
          <w:trHeight w:val="420"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新加坡</w:t>
            </w:r>
          </w:p>
        </w:tc>
        <w:tc>
          <w:tcPr>
            <w:tcW w:w="2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1090392.1</w:t>
            </w:r>
          </w:p>
        </w:tc>
        <w:tc>
          <w:tcPr>
            <w:tcW w:w="22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吨</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446271807</w:t>
            </w:r>
          </w:p>
        </w:tc>
      </w:tr>
      <w:tr>
        <w:tblPrEx>
          <w:tblCellMar>
            <w:top w:w="0" w:type="dxa"/>
            <w:left w:w="0" w:type="dxa"/>
            <w:bottom w:w="0" w:type="dxa"/>
            <w:right w:w="0" w:type="dxa"/>
          </w:tblCellMar>
        </w:tblPrEx>
        <w:trPr>
          <w:trHeight w:val="420"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印度尼西亚</w:t>
            </w:r>
          </w:p>
        </w:tc>
        <w:tc>
          <w:tcPr>
            <w:tcW w:w="2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29885.2</w:t>
            </w:r>
          </w:p>
        </w:tc>
        <w:tc>
          <w:tcPr>
            <w:tcW w:w="22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吨</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8447437</w:t>
            </w:r>
          </w:p>
        </w:tc>
      </w:tr>
      <w:tr>
        <w:tblPrEx>
          <w:tblCellMar>
            <w:top w:w="0" w:type="dxa"/>
            <w:left w:w="0" w:type="dxa"/>
            <w:bottom w:w="0" w:type="dxa"/>
            <w:right w:w="0" w:type="dxa"/>
          </w:tblCellMar>
        </w:tblPrEx>
        <w:trPr>
          <w:trHeight w:val="420"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越南</w:t>
            </w:r>
          </w:p>
        </w:tc>
        <w:tc>
          <w:tcPr>
            <w:tcW w:w="256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8674</w:t>
            </w:r>
          </w:p>
        </w:tc>
        <w:tc>
          <w:tcPr>
            <w:tcW w:w="226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吨</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i w:val="0"/>
                <w:color w:val="333333"/>
                <w:sz w:val="28"/>
                <w:szCs w:val="28"/>
                <w:u w:val="none"/>
              </w:rPr>
            </w:pPr>
            <w:r>
              <w:rPr>
                <w:rFonts w:hint="default" w:ascii="Segoe UI" w:hAnsi="Segoe UI" w:eastAsia="Segoe UI" w:cs="Segoe UI"/>
                <w:i w:val="0"/>
                <w:color w:val="333333"/>
                <w:kern w:val="0"/>
                <w:sz w:val="28"/>
                <w:szCs w:val="28"/>
                <w:u w:val="none"/>
                <w:lang w:val="en-US" w:eastAsia="zh-CN" w:bidi="ar"/>
              </w:rPr>
              <w:t>5204400</w:t>
            </w:r>
          </w:p>
        </w:tc>
      </w:tr>
    </w:tbl>
    <w:p>
      <w:pPr>
        <w:rPr>
          <w:rFonts w:hint="eastAsia"/>
          <w:bCs/>
          <w:szCs w:val="21"/>
        </w:rPr>
      </w:pPr>
    </w:p>
    <w:p>
      <w:pPr>
        <w:rPr>
          <w:rFonts w:hint="eastAsia"/>
        </w:rPr>
      </w:pPr>
      <w:bookmarkStart w:id="18" w:name="_Toc533771876"/>
    </w:p>
    <w:p>
      <w:pPr>
        <w:rPr>
          <w:rFonts w:hint="eastAsia"/>
        </w:rPr>
      </w:pPr>
    </w:p>
    <w:p>
      <w:pPr>
        <w:rPr>
          <w:rFonts w:hint="eastAsia"/>
        </w:rPr>
      </w:pPr>
    </w:p>
    <w:p>
      <w:pPr>
        <w:pStyle w:val="3"/>
        <w:spacing w:before="120" w:after="120" w:line="240" w:lineRule="auto"/>
        <w:rPr>
          <w:rFonts w:hint="eastAsia" w:ascii="宋体" w:hAnsi="宋体"/>
          <w:b/>
          <w:sz w:val="30"/>
          <w:szCs w:val="30"/>
        </w:rPr>
      </w:pPr>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1726"/>
        <w:gridCol w:w="1726"/>
        <w:gridCol w:w="188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shd w:val="clear" w:color="auto" w:fill="00CCFF"/>
            <w:vAlign w:val="center"/>
          </w:tcPr>
          <w:p>
            <w:pPr>
              <w:keepNext w:val="0"/>
              <w:keepLines w:val="0"/>
              <w:widowControl/>
              <w:suppressLineNumbers w:val="0"/>
              <w:jc w:val="center"/>
              <w:textAlignment w:val="center"/>
              <w:rPr>
                <w:bCs/>
                <w:color w:val="00B0F0"/>
                <w:szCs w:val="21"/>
              </w:rPr>
            </w:pPr>
            <w:r>
              <w:rPr>
                <w:rFonts w:hint="eastAsia" w:ascii="宋体" w:hAnsi="宋体" w:eastAsia="宋体" w:cs="宋体"/>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出口数量</w:t>
            </w:r>
          </w:p>
        </w:tc>
        <w:tc>
          <w:tcPr>
            <w:tcW w:w="1688"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105125.293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18170.052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966.84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262963.309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99.5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397.4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63.913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6847.894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94.515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74.2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175973.373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270770.818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173054.409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82.765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32.8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41937</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188.9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4541.022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139.8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509.5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981.955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40755.789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384.8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224.073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114.5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1318.39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216.847</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367.5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263.103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506.059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9" w:name="_Toc533771877"/>
      <w:bookmarkStart w:id="20" w:name="_Toc533771879"/>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月份全国原油进出口统计数据</w:t>
      </w:r>
      <w:bookmarkEnd w:id="19"/>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bCs/>
          <w:szCs w:val="21"/>
        </w:rPr>
      </w:pPr>
    </w:p>
    <w:tbl>
      <w:tblPr>
        <w:tblStyle w:val="24"/>
        <w:tblW w:w="4687" w:type="pct"/>
        <w:tblInd w:w="0" w:type="dxa"/>
        <w:tblLayout w:type="autofit"/>
        <w:tblCellMar>
          <w:top w:w="0" w:type="dxa"/>
          <w:left w:w="108" w:type="dxa"/>
          <w:bottom w:w="0" w:type="dxa"/>
          <w:right w:w="108" w:type="dxa"/>
        </w:tblCellMar>
      </w:tblPr>
      <w:tblGrid>
        <w:gridCol w:w="901"/>
        <w:gridCol w:w="906"/>
        <w:gridCol w:w="906"/>
        <w:gridCol w:w="1320"/>
        <w:gridCol w:w="1275"/>
        <w:gridCol w:w="1397"/>
        <w:gridCol w:w="1168"/>
        <w:gridCol w:w="1364"/>
      </w:tblGrid>
      <w:tr>
        <w:tblPrEx>
          <w:tblCellMar>
            <w:top w:w="0" w:type="dxa"/>
            <w:left w:w="108" w:type="dxa"/>
            <w:bottom w:w="0" w:type="dxa"/>
            <w:right w:w="108" w:type="dxa"/>
          </w:tblCellMar>
        </w:tblPrEx>
        <w:trPr>
          <w:trHeight w:val="1230" w:hRule="atLeast"/>
        </w:trPr>
        <w:tc>
          <w:tcPr>
            <w:tcW w:w="488"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产品</w:t>
            </w:r>
          </w:p>
        </w:tc>
        <w:tc>
          <w:tcPr>
            <w:tcW w:w="490"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年度</w:t>
            </w:r>
          </w:p>
        </w:tc>
        <w:tc>
          <w:tcPr>
            <w:tcW w:w="490"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月份</w:t>
            </w:r>
          </w:p>
        </w:tc>
        <w:tc>
          <w:tcPr>
            <w:tcW w:w="713"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产销国</w:t>
            </w:r>
          </w:p>
        </w:tc>
        <w:tc>
          <w:tcPr>
            <w:tcW w:w="690"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进口数量/吨</w:t>
            </w:r>
          </w:p>
        </w:tc>
        <w:tc>
          <w:tcPr>
            <w:tcW w:w="756"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进口金额/美元</w:t>
            </w:r>
          </w:p>
        </w:tc>
        <w:tc>
          <w:tcPr>
            <w:tcW w:w="632"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出口数量/吨</w:t>
            </w:r>
          </w:p>
        </w:tc>
        <w:tc>
          <w:tcPr>
            <w:tcW w:w="738"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出口金额/美元</w:t>
            </w:r>
          </w:p>
        </w:tc>
      </w:tr>
      <w:tr>
        <w:tblPrEx>
          <w:tblCellMar>
            <w:top w:w="0" w:type="dxa"/>
            <w:left w:w="108" w:type="dxa"/>
            <w:bottom w:w="0" w:type="dxa"/>
            <w:right w:w="108" w:type="dxa"/>
          </w:tblCellMar>
        </w:tblPrEx>
        <w:trPr>
          <w:trHeight w:val="450" w:hRule="atLeast"/>
        </w:trPr>
        <w:tc>
          <w:tcPr>
            <w:tcW w:w="488" w:type="pct"/>
            <w:vMerge w:val="restart"/>
            <w:tcBorders>
              <w:top w:val="nil"/>
              <w:left w:val="single" w:color="333333" w:sz="8" w:space="0"/>
              <w:bottom w:val="single" w:color="333333" w:sz="8" w:space="0"/>
              <w:right w:val="single" w:color="333333" w:sz="8" w:space="0"/>
            </w:tcBorders>
            <w:shd w:val="clear" w:color="auto" w:fill="auto"/>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石油原油(包括从沥青矿物提取的原油)</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印度尼西亚</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267002.02</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49240908</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伊朗</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518338</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113239668</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伊拉克</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3991342.86</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1121496485</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科威特</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1570823.67</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459178010</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马来西亚</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1578030.37</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263422220</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蒙古</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12813.84</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1932093</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阿曼</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3835235.84</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1192477239</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卡塔尔</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251382.72</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69519098</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沙特阿拉伯</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5160907.88</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1350301452</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泰国</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72536.29</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20480820</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阿联酋</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3081430.75</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874390444</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也门</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270467.84</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69234458</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越南</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39036.76</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11619778</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哈萨克斯坦</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552165.34</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142032863</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阿尔及利亚</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138907.81</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72713377</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安哥拉</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3404514.07</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936124014</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乍得</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139957.2</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40530998</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刚果(布)</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623253.34</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149873986</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埃及</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100187.94</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19244950</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赤道几内亚</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188531.52</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44856103</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加蓬</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298155.97</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79088988</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加纳</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258177.6</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69499283</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利比亚</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60137.06</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17410696</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尼日利亚</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274908</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88272603</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南苏丹共和国</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214156.84</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43706488</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英国</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389829.06</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133458126</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挪威</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1583400.06</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488955569</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俄罗斯联邦</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7204271.89</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1942080697</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巴西</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2239986.47</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584768266</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哥伦比亚</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1532110.46</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324553415</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厄瓜多尔</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364135.31</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71405830</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加拿大</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172206.04</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34256386</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90" w:hRule="atLeast"/>
        </w:trPr>
        <w:tc>
          <w:tcPr>
            <w:tcW w:w="488"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w:t>
            </w:r>
          </w:p>
        </w:tc>
        <w:tc>
          <w:tcPr>
            <w:tcW w:w="4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澳大利亚</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42300.09</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8539591</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00" w:hRule="atLeast"/>
        </w:trPr>
        <w:tc>
          <w:tcPr>
            <w:tcW w:w="2182" w:type="pct"/>
            <w:gridSpan w:val="4"/>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2020年4月合计</w:t>
            </w:r>
          </w:p>
        </w:tc>
        <w:tc>
          <w:tcPr>
            <w:tcW w:w="69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40430640.9</w:t>
            </w:r>
          </w:p>
        </w:tc>
        <w:tc>
          <w:tcPr>
            <w:tcW w:w="756"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10887904902</w:t>
            </w:r>
          </w:p>
        </w:tc>
        <w:tc>
          <w:tcPr>
            <w:tcW w:w="6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0</w:t>
            </w:r>
          </w:p>
        </w:tc>
        <w:tc>
          <w:tcPr>
            <w:tcW w:w="738"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0</w:t>
            </w:r>
          </w:p>
        </w:tc>
      </w:tr>
    </w:tbl>
    <w:p>
      <w:pPr>
        <w:rPr>
          <w:rFonts w:hint="eastAsia"/>
          <w:bCs/>
          <w:szCs w:val="21"/>
        </w:rPr>
      </w:pPr>
    </w:p>
    <w:p>
      <w:pPr>
        <w:pStyle w:val="3"/>
        <w:spacing w:before="120" w:after="120" w:line="240" w:lineRule="auto"/>
        <w:rPr>
          <w:rFonts w:hint="eastAsia" w:ascii="宋体" w:hAnsi="宋体"/>
          <w:b/>
          <w:sz w:val="30"/>
          <w:szCs w:val="30"/>
        </w:rPr>
      </w:pPr>
      <w:bookmarkStart w:id="21" w:name="_Toc533771878"/>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4</w:t>
      </w:r>
      <w:r>
        <w:rPr>
          <w:rFonts w:hint="eastAsia" w:ascii="宋体" w:hAnsi="宋体"/>
          <w:b/>
          <w:sz w:val="30"/>
          <w:szCs w:val="30"/>
        </w:rPr>
        <w:t>月份全国航空煤油进出口统计数据</w:t>
      </w:r>
      <w:bookmarkEnd w:id="21"/>
    </w:p>
    <w:p>
      <w:pPr>
        <w:ind w:firstLine="420" w:firstLineChars="200"/>
        <w:jc w:val="left"/>
      </w:pPr>
      <w:r>
        <w:rPr>
          <w:rFonts w:hint="eastAsia" w:ascii="宋体" w:hAnsi="宋体"/>
        </w:rPr>
        <w:t>单位：</w:t>
      </w:r>
      <w:r>
        <w:rPr>
          <w:rFonts w:hint="eastAsia" w:ascii="宋体" w:hAnsi="宋体"/>
          <w:lang w:eastAsia="zh-CN"/>
        </w:rPr>
        <w:t>吨</w:t>
      </w:r>
      <w:r>
        <w:rPr>
          <w:rFonts w:hint="eastAsia" w:ascii="宋体" w:hAnsi="宋体"/>
        </w:rPr>
        <w:t>，美元</w:t>
      </w:r>
    </w:p>
    <w:tbl>
      <w:tblPr>
        <w:tblStyle w:val="24"/>
        <w:tblW w:w="9507" w:type="dxa"/>
        <w:tblInd w:w="0" w:type="dxa"/>
        <w:shd w:val="clear" w:color="auto" w:fill="auto"/>
        <w:tblLayout w:type="fixed"/>
        <w:tblCellMar>
          <w:top w:w="0" w:type="dxa"/>
          <w:left w:w="0" w:type="dxa"/>
          <w:bottom w:w="0" w:type="dxa"/>
          <w:right w:w="0" w:type="dxa"/>
        </w:tblCellMar>
      </w:tblPr>
      <w:tblGrid>
        <w:gridCol w:w="2682"/>
        <w:gridCol w:w="1695"/>
        <w:gridCol w:w="1710"/>
        <w:gridCol w:w="1515"/>
        <w:gridCol w:w="1905"/>
      </w:tblGrid>
      <w:tr>
        <w:tblPrEx>
          <w:shd w:val="clear" w:color="auto" w:fill="auto"/>
          <w:tblCellMar>
            <w:top w:w="0" w:type="dxa"/>
            <w:left w:w="0" w:type="dxa"/>
            <w:bottom w:w="0" w:type="dxa"/>
            <w:right w:w="0" w:type="dxa"/>
          </w:tblCellMar>
        </w:tblPrEx>
        <w:trPr>
          <w:trHeight w:val="51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国家</w:t>
            </w:r>
          </w:p>
        </w:tc>
        <w:tc>
          <w:tcPr>
            <w:tcW w:w="169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进口数量/吨</w:t>
            </w:r>
          </w:p>
        </w:tc>
        <w:tc>
          <w:tcPr>
            <w:tcW w:w="171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进口金额/美元</w:t>
            </w:r>
          </w:p>
        </w:tc>
        <w:tc>
          <w:tcPr>
            <w:tcW w:w="151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出口数量/吨</w:t>
            </w:r>
          </w:p>
        </w:tc>
        <w:tc>
          <w:tcPr>
            <w:tcW w:w="190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出口金额/美元</w:t>
            </w:r>
          </w:p>
        </w:tc>
      </w:tr>
      <w:tr>
        <w:tblPrEx>
          <w:tblCellMar>
            <w:top w:w="0" w:type="dxa"/>
            <w:left w:w="0" w:type="dxa"/>
            <w:bottom w:w="0" w:type="dxa"/>
            <w:right w:w="0" w:type="dxa"/>
          </w:tblCellMar>
        </w:tblPrEx>
        <w:trPr>
          <w:trHeight w:val="30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孟加拉国</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72692.136</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39309173</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柬埔寨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333.907</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208447</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中国香港</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410551.09</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211951747</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印度</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410.444</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242324</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印度尼西亚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76558.807</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32043498</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伊朗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503.108</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311117</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日本</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141268.779</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76031520</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科威特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33.305</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20982</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中国澳门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67.339</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41081</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马来西亚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155715.183</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84369670</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巴基斯坦</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212.934</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132855</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菲律宾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49214.521</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23555461</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卡塔尔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2769.705</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1693508</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新加坡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35.703</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17993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195346.239</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67773909</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韩国</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280415.027</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92055938</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180759.91</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75607970</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斯里兰卡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400.715</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244454</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泰国</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699.641</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429632</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土耳其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3862.881</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2313668</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阿联酋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17432.271</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10468683</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越南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48231.964</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25776108</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29050.074</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9005523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中国台湾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715.702</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441192</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哈萨克斯坦</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40.012</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25113</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吉尔吉斯斯坦</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33.99</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21207</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乌兹别克斯坦</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66.382</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41117</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埃塞俄比亚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3617.829</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2222015</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非洲其他国家(地区)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184260</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47694600</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比利时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2833.57</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1749650</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英国</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20710.099</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11426471</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德国</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3892.018</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2348201</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法国</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112.799</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68684</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卢森堡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9704.071</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6170199</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荷兰</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207603.596</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87691617</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西班牙</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302.794</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184047</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奥地利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91.787</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55250</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波兰</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68.36</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42030</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瑞士</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51.921</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31196</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拉脱维亚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11.832</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7992</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阿塞拜疆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3684.488</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2268920</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俄罗斯联邦</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10022.689</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6167033</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智利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39401.588</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19156178</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秘鲁</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38844.407</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11603138</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美国</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9.056</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2813</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21435.113</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13194490</w:t>
            </w:r>
          </w:p>
        </w:tc>
      </w:tr>
      <w:tr>
        <w:tblPrEx>
          <w:tblCellMar>
            <w:top w:w="0" w:type="dxa"/>
            <w:left w:w="0" w:type="dxa"/>
            <w:bottom w:w="0" w:type="dxa"/>
            <w:right w:w="0" w:type="dxa"/>
          </w:tblCellMar>
        </w:tblPrEx>
        <w:trPr>
          <w:trHeight w:val="27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澳大利亚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124162.365</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55694110</w:t>
            </w:r>
          </w:p>
        </w:tc>
      </w:tr>
      <w:tr>
        <w:tblPrEx>
          <w:tblCellMar>
            <w:top w:w="0" w:type="dxa"/>
            <w:left w:w="0" w:type="dxa"/>
            <w:bottom w:w="0" w:type="dxa"/>
            <w:right w:w="0" w:type="dxa"/>
          </w:tblCellMar>
        </w:tblPrEx>
        <w:trPr>
          <w:trHeight w:val="300" w:hRule="atLeast"/>
        </w:trPr>
        <w:tc>
          <w:tcPr>
            <w:tcW w:w="2682"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合计</w:t>
            </w:r>
          </w:p>
        </w:tc>
        <w:tc>
          <w:tcPr>
            <w:tcW w:w="169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309509.86</w:t>
            </w:r>
          </w:p>
        </w:tc>
        <w:tc>
          <w:tcPr>
            <w:tcW w:w="171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101082267</w:t>
            </w:r>
          </w:p>
        </w:tc>
        <w:tc>
          <w:tcPr>
            <w:tcW w:w="151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2028732.291</w:t>
            </w:r>
          </w:p>
        </w:tc>
        <w:tc>
          <w:tcPr>
            <w:tcW w:w="190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920830257</w:t>
            </w:r>
          </w:p>
        </w:tc>
      </w:tr>
    </w:tbl>
    <w:p>
      <w:pPr>
        <w:pStyle w:val="3"/>
        <w:spacing w:before="120" w:after="120" w:line="240" w:lineRule="auto"/>
        <w:rPr>
          <w:rFonts w:hint="eastAsia" w:ascii="宋体" w:hAnsi="宋体"/>
          <w:b/>
          <w:sz w:val="30"/>
          <w:szCs w:val="30"/>
        </w:rPr>
      </w:pPr>
    </w:p>
    <w:bookmarkEnd w:id="20"/>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abstractNum w:abstractNumId="2">
    <w:nsid w:val="1566DFC1"/>
    <w:multiLevelType w:val="singleLevel"/>
    <w:tmpl w:val="1566DFC1"/>
    <w:lvl w:ilvl="0" w:tentative="0">
      <w:start w:val="1"/>
      <w:numFmt w:val="decimal"/>
      <w:lvlText w:val="%1."/>
      <w:lvlJc w:val="left"/>
      <w:pPr>
        <w:tabs>
          <w:tab w:val="left" w:pos="312"/>
        </w:tabs>
      </w:pPr>
    </w:lvl>
  </w:abstractNum>
  <w:abstractNum w:abstractNumId="3">
    <w:nsid w:val="2263F9C1"/>
    <w:multiLevelType w:val="singleLevel"/>
    <w:tmpl w:val="2263F9C1"/>
    <w:lvl w:ilvl="0" w:tentative="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74199B"/>
    <w:rsid w:val="018C042F"/>
    <w:rsid w:val="019139BB"/>
    <w:rsid w:val="01A95B6A"/>
    <w:rsid w:val="01BD1D63"/>
    <w:rsid w:val="01FE2CFE"/>
    <w:rsid w:val="02526173"/>
    <w:rsid w:val="029A6633"/>
    <w:rsid w:val="029F2908"/>
    <w:rsid w:val="02AC60AA"/>
    <w:rsid w:val="02D85611"/>
    <w:rsid w:val="02FE589D"/>
    <w:rsid w:val="03211A1D"/>
    <w:rsid w:val="0324523D"/>
    <w:rsid w:val="03331E75"/>
    <w:rsid w:val="034407FB"/>
    <w:rsid w:val="034F6246"/>
    <w:rsid w:val="03562125"/>
    <w:rsid w:val="035F2635"/>
    <w:rsid w:val="036D5E24"/>
    <w:rsid w:val="037413B6"/>
    <w:rsid w:val="03A57F11"/>
    <w:rsid w:val="044E5434"/>
    <w:rsid w:val="048101D3"/>
    <w:rsid w:val="048C7CAA"/>
    <w:rsid w:val="04987F00"/>
    <w:rsid w:val="04A45D71"/>
    <w:rsid w:val="04BF7371"/>
    <w:rsid w:val="04F36106"/>
    <w:rsid w:val="05292B71"/>
    <w:rsid w:val="05314FD7"/>
    <w:rsid w:val="053B1A3D"/>
    <w:rsid w:val="05C01E8E"/>
    <w:rsid w:val="05D708A6"/>
    <w:rsid w:val="06300679"/>
    <w:rsid w:val="067746D4"/>
    <w:rsid w:val="069C6A8D"/>
    <w:rsid w:val="06B9287B"/>
    <w:rsid w:val="06DA3028"/>
    <w:rsid w:val="06F31CB3"/>
    <w:rsid w:val="06F93008"/>
    <w:rsid w:val="0718687A"/>
    <w:rsid w:val="07252677"/>
    <w:rsid w:val="076C6634"/>
    <w:rsid w:val="07820AB4"/>
    <w:rsid w:val="079B346A"/>
    <w:rsid w:val="07D15C8A"/>
    <w:rsid w:val="07E76A1F"/>
    <w:rsid w:val="0809715C"/>
    <w:rsid w:val="080A4814"/>
    <w:rsid w:val="0820276D"/>
    <w:rsid w:val="08573B5A"/>
    <w:rsid w:val="086F6B65"/>
    <w:rsid w:val="08A4401C"/>
    <w:rsid w:val="08A55AD2"/>
    <w:rsid w:val="08CD17C0"/>
    <w:rsid w:val="09223CDC"/>
    <w:rsid w:val="09371EEF"/>
    <w:rsid w:val="093F6B95"/>
    <w:rsid w:val="09524755"/>
    <w:rsid w:val="095B63CA"/>
    <w:rsid w:val="09717916"/>
    <w:rsid w:val="098251C0"/>
    <w:rsid w:val="098C4592"/>
    <w:rsid w:val="09915D75"/>
    <w:rsid w:val="09F11ACB"/>
    <w:rsid w:val="09FB6243"/>
    <w:rsid w:val="0A29795D"/>
    <w:rsid w:val="0A2D68BE"/>
    <w:rsid w:val="0A3C22BA"/>
    <w:rsid w:val="0A557C07"/>
    <w:rsid w:val="0A5B4AF5"/>
    <w:rsid w:val="0A7B7455"/>
    <w:rsid w:val="0AA33DAF"/>
    <w:rsid w:val="0AC60296"/>
    <w:rsid w:val="0AD32487"/>
    <w:rsid w:val="0B017D09"/>
    <w:rsid w:val="0B0715B1"/>
    <w:rsid w:val="0B400CB2"/>
    <w:rsid w:val="0B421176"/>
    <w:rsid w:val="0B721C38"/>
    <w:rsid w:val="0BB16187"/>
    <w:rsid w:val="0BCE6861"/>
    <w:rsid w:val="0BDC4FBC"/>
    <w:rsid w:val="0C08318F"/>
    <w:rsid w:val="0C1E7ABD"/>
    <w:rsid w:val="0C586B50"/>
    <w:rsid w:val="0C586E44"/>
    <w:rsid w:val="0C7F402D"/>
    <w:rsid w:val="0CB81916"/>
    <w:rsid w:val="0CE32FB8"/>
    <w:rsid w:val="0CE44838"/>
    <w:rsid w:val="0D731CA1"/>
    <w:rsid w:val="0DA370DA"/>
    <w:rsid w:val="0DA7099A"/>
    <w:rsid w:val="0DB01CE1"/>
    <w:rsid w:val="0DC46B30"/>
    <w:rsid w:val="0DC9706D"/>
    <w:rsid w:val="0DD115AA"/>
    <w:rsid w:val="0DEA06F6"/>
    <w:rsid w:val="0E01030B"/>
    <w:rsid w:val="0E04318C"/>
    <w:rsid w:val="0E274301"/>
    <w:rsid w:val="0E31785B"/>
    <w:rsid w:val="0E8B35C9"/>
    <w:rsid w:val="0EAF107B"/>
    <w:rsid w:val="0EB4347F"/>
    <w:rsid w:val="0EC1627E"/>
    <w:rsid w:val="0ED36950"/>
    <w:rsid w:val="0EED0FC5"/>
    <w:rsid w:val="0EF248CA"/>
    <w:rsid w:val="0F034AA6"/>
    <w:rsid w:val="0F125E7D"/>
    <w:rsid w:val="0F26373F"/>
    <w:rsid w:val="0F446A41"/>
    <w:rsid w:val="0F5808CC"/>
    <w:rsid w:val="0F666559"/>
    <w:rsid w:val="0F7D42FE"/>
    <w:rsid w:val="0F820E85"/>
    <w:rsid w:val="0FC910AB"/>
    <w:rsid w:val="0FD23F99"/>
    <w:rsid w:val="101C7D06"/>
    <w:rsid w:val="1024515A"/>
    <w:rsid w:val="1046198D"/>
    <w:rsid w:val="10CE39DE"/>
    <w:rsid w:val="10FA6B68"/>
    <w:rsid w:val="11422692"/>
    <w:rsid w:val="11590029"/>
    <w:rsid w:val="117F7F48"/>
    <w:rsid w:val="1265739D"/>
    <w:rsid w:val="12662947"/>
    <w:rsid w:val="13267B35"/>
    <w:rsid w:val="134A6D86"/>
    <w:rsid w:val="13594CF7"/>
    <w:rsid w:val="135A728A"/>
    <w:rsid w:val="13772D89"/>
    <w:rsid w:val="138744BB"/>
    <w:rsid w:val="13E7373B"/>
    <w:rsid w:val="13FE142E"/>
    <w:rsid w:val="144B6D3F"/>
    <w:rsid w:val="147759A4"/>
    <w:rsid w:val="147A75E5"/>
    <w:rsid w:val="14BC21CE"/>
    <w:rsid w:val="14BE2339"/>
    <w:rsid w:val="14D56BF6"/>
    <w:rsid w:val="14F32D76"/>
    <w:rsid w:val="14F5216B"/>
    <w:rsid w:val="151B73F8"/>
    <w:rsid w:val="15211EFF"/>
    <w:rsid w:val="15353F74"/>
    <w:rsid w:val="154F205D"/>
    <w:rsid w:val="15615E0F"/>
    <w:rsid w:val="156D2843"/>
    <w:rsid w:val="15701AB8"/>
    <w:rsid w:val="159001BC"/>
    <w:rsid w:val="15B939D5"/>
    <w:rsid w:val="15D83B2E"/>
    <w:rsid w:val="15DD70EA"/>
    <w:rsid w:val="15E11AB3"/>
    <w:rsid w:val="15E25134"/>
    <w:rsid w:val="16600954"/>
    <w:rsid w:val="16734EEE"/>
    <w:rsid w:val="16E22B33"/>
    <w:rsid w:val="17116BE2"/>
    <w:rsid w:val="17194D7A"/>
    <w:rsid w:val="172078E9"/>
    <w:rsid w:val="172D12A6"/>
    <w:rsid w:val="173C1948"/>
    <w:rsid w:val="17464B66"/>
    <w:rsid w:val="175B5D81"/>
    <w:rsid w:val="17652D76"/>
    <w:rsid w:val="177778D5"/>
    <w:rsid w:val="177C4324"/>
    <w:rsid w:val="18704C74"/>
    <w:rsid w:val="18CA4E8D"/>
    <w:rsid w:val="191B1724"/>
    <w:rsid w:val="194573ED"/>
    <w:rsid w:val="195D29F2"/>
    <w:rsid w:val="196465FF"/>
    <w:rsid w:val="196B6E10"/>
    <w:rsid w:val="198154A5"/>
    <w:rsid w:val="19850C75"/>
    <w:rsid w:val="198A3D94"/>
    <w:rsid w:val="198F27F8"/>
    <w:rsid w:val="199C5ECD"/>
    <w:rsid w:val="19B1121F"/>
    <w:rsid w:val="19E14ABD"/>
    <w:rsid w:val="1A051BC1"/>
    <w:rsid w:val="1A555BDB"/>
    <w:rsid w:val="1A660755"/>
    <w:rsid w:val="1A703BC4"/>
    <w:rsid w:val="1A7262E8"/>
    <w:rsid w:val="1ABE2D20"/>
    <w:rsid w:val="1ACC4B7F"/>
    <w:rsid w:val="1AD417D6"/>
    <w:rsid w:val="1AE7665A"/>
    <w:rsid w:val="1B816F9A"/>
    <w:rsid w:val="1B8175D6"/>
    <w:rsid w:val="1B9C1B61"/>
    <w:rsid w:val="1BFE2971"/>
    <w:rsid w:val="1C01336C"/>
    <w:rsid w:val="1C1669BA"/>
    <w:rsid w:val="1C1C3102"/>
    <w:rsid w:val="1C2230E8"/>
    <w:rsid w:val="1C2E2C8D"/>
    <w:rsid w:val="1C6C7614"/>
    <w:rsid w:val="1CB31F52"/>
    <w:rsid w:val="1CDC7753"/>
    <w:rsid w:val="1CEC4A0D"/>
    <w:rsid w:val="1D1712A0"/>
    <w:rsid w:val="1D2B7B9F"/>
    <w:rsid w:val="1D305274"/>
    <w:rsid w:val="1D3F5714"/>
    <w:rsid w:val="1D466011"/>
    <w:rsid w:val="1D547E28"/>
    <w:rsid w:val="1D655DB6"/>
    <w:rsid w:val="1D980258"/>
    <w:rsid w:val="1D9C1F14"/>
    <w:rsid w:val="1DB113DA"/>
    <w:rsid w:val="1DFB4E0B"/>
    <w:rsid w:val="1E2278F4"/>
    <w:rsid w:val="1E5542CC"/>
    <w:rsid w:val="1E6D6ABE"/>
    <w:rsid w:val="1E755624"/>
    <w:rsid w:val="1EB15364"/>
    <w:rsid w:val="1EBE2AB5"/>
    <w:rsid w:val="1F092A2D"/>
    <w:rsid w:val="1F352B32"/>
    <w:rsid w:val="1F6B3A34"/>
    <w:rsid w:val="1F751CBE"/>
    <w:rsid w:val="1F963D6D"/>
    <w:rsid w:val="1F98363F"/>
    <w:rsid w:val="1FCD7675"/>
    <w:rsid w:val="1FFC155B"/>
    <w:rsid w:val="20010BD0"/>
    <w:rsid w:val="20137C9A"/>
    <w:rsid w:val="20261774"/>
    <w:rsid w:val="203A4D2E"/>
    <w:rsid w:val="205B78B2"/>
    <w:rsid w:val="205C4184"/>
    <w:rsid w:val="206558CE"/>
    <w:rsid w:val="206901B1"/>
    <w:rsid w:val="2078018B"/>
    <w:rsid w:val="20AD55FF"/>
    <w:rsid w:val="20C12FDC"/>
    <w:rsid w:val="211001E9"/>
    <w:rsid w:val="21147D43"/>
    <w:rsid w:val="2119067D"/>
    <w:rsid w:val="21216F1B"/>
    <w:rsid w:val="215A4604"/>
    <w:rsid w:val="217C7ED4"/>
    <w:rsid w:val="21862B07"/>
    <w:rsid w:val="21A70D61"/>
    <w:rsid w:val="21B2244C"/>
    <w:rsid w:val="224E7428"/>
    <w:rsid w:val="2261560B"/>
    <w:rsid w:val="22944164"/>
    <w:rsid w:val="229674ED"/>
    <w:rsid w:val="22AC485D"/>
    <w:rsid w:val="22D174A6"/>
    <w:rsid w:val="22E67532"/>
    <w:rsid w:val="230F16FC"/>
    <w:rsid w:val="231C2E7E"/>
    <w:rsid w:val="232A4048"/>
    <w:rsid w:val="233344E4"/>
    <w:rsid w:val="239015CD"/>
    <w:rsid w:val="23B946BE"/>
    <w:rsid w:val="23EF13A7"/>
    <w:rsid w:val="24086432"/>
    <w:rsid w:val="24322A62"/>
    <w:rsid w:val="24554136"/>
    <w:rsid w:val="245C2B3F"/>
    <w:rsid w:val="24836E94"/>
    <w:rsid w:val="24974A9D"/>
    <w:rsid w:val="24A21A55"/>
    <w:rsid w:val="24BC74B9"/>
    <w:rsid w:val="250D3E66"/>
    <w:rsid w:val="252754C5"/>
    <w:rsid w:val="252D3F69"/>
    <w:rsid w:val="25740BBD"/>
    <w:rsid w:val="25955E96"/>
    <w:rsid w:val="259B6E31"/>
    <w:rsid w:val="25B904A8"/>
    <w:rsid w:val="261447E7"/>
    <w:rsid w:val="26442276"/>
    <w:rsid w:val="26AD0D8B"/>
    <w:rsid w:val="26C17431"/>
    <w:rsid w:val="26C545A4"/>
    <w:rsid w:val="26C94300"/>
    <w:rsid w:val="26DF7D7C"/>
    <w:rsid w:val="26EE1723"/>
    <w:rsid w:val="27080E2E"/>
    <w:rsid w:val="270D21C6"/>
    <w:rsid w:val="27A7464B"/>
    <w:rsid w:val="28092464"/>
    <w:rsid w:val="282C5A3A"/>
    <w:rsid w:val="283F32F7"/>
    <w:rsid w:val="28611CC2"/>
    <w:rsid w:val="286D2B55"/>
    <w:rsid w:val="28721E59"/>
    <w:rsid w:val="28892109"/>
    <w:rsid w:val="28A325B7"/>
    <w:rsid w:val="28B71571"/>
    <w:rsid w:val="28BA104F"/>
    <w:rsid w:val="28EF11D1"/>
    <w:rsid w:val="295C2D51"/>
    <w:rsid w:val="29A81CD2"/>
    <w:rsid w:val="29A90232"/>
    <w:rsid w:val="29C804D1"/>
    <w:rsid w:val="29CB1410"/>
    <w:rsid w:val="29D84ABC"/>
    <w:rsid w:val="2A1503FE"/>
    <w:rsid w:val="2A215E5E"/>
    <w:rsid w:val="2A252C4C"/>
    <w:rsid w:val="2A951C8C"/>
    <w:rsid w:val="2A9B26F1"/>
    <w:rsid w:val="2AB25451"/>
    <w:rsid w:val="2AC063B7"/>
    <w:rsid w:val="2ACD0874"/>
    <w:rsid w:val="2AD267B8"/>
    <w:rsid w:val="2AD8059C"/>
    <w:rsid w:val="2B0D737C"/>
    <w:rsid w:val="2B0F004D"/>
    <w:rsid w:val="2B154A20"/>
    <w:rsid w:val="2B6638DE"/>
    <w:rsid w:val="2B8F58E2"/>
    <w:rsid w:val="2BED5A7C"/>
    <w:rsid w:val="2BF858F4"/>
    <w:rsid w:val="2BFC6315"/>
    <w:rsid w:val="2BFD5564"/>
    <w:rsid w:val="2C823F4E"/>
    <w:rsid w:val="2CAD067B"/>
    <w:rsid w:val="2CFD0FC0"/>
    <w:rsid w:val="2D050EBF"/>
    <w:rsid w:val="2D4D17E5"/>
    <w:rsid w:val="2D6F58D8"/>
    <w:rsid w:val="2D892B5C"/>
    <w:rsid w:val="2DE11692"/>
    <w:rsid w:val="2DF5641D"/>
    <w:rsid w:val="2DF644E3"/>
    <w:rsid w:val="2E0D40F5"/>
    <w:rsid w:val="2E2F56E6"/>
    <w:rsid w:val="2E4A7323"/>
    <w:rsid w:val="2EA56E95"/>
    <w:rsid w:val="2ECA710C"/>
    <w:rsid w:val="2ED4404D"/>
    <w:rsid w:val="2ED50475"/>
    <w:rsid w:val="2EE365C8"/>
    <w:rsid w:val="2F13732E"/>
    <w:rsid w:val="2FA5716E"/>
    <w:rsid w:val="2FD85581"/>
    <w:rsid w:val="2FE513F6"/>
    <w:rsid w:val="2FE91ED2"/>
    <w:rsid w:val="2FF22D62"/>
    <w:rsid w:val="30037E76"/>
    <w:rsid w:val="302909D7"/>
    <w:rsid w:val="30320AA9"/>
    <w:rsid w:val="30A00CB5"/>
    <w:rsid w:val="30E73B0D"/>
    <w:rsid w:val="30FC61C2"/>
    <w:rsid w:val="31363ABC"/>
    <w:rsid w:val="314614BA"/>
    <w:rsid w:val="31490B7D"/>
    <w:rsid w:val="3153679E"/>
    <w:rsid w:val="315F2471"/>
    <w:rsid w:val="3189708E"/>
    <w:rsid w:val="318B1F3D"/>
    <w:rsid w:val="319434F7"/>
    <w:rsid w:val="31994D00"/>
    <w:rsid w:val="31AE660C"/>
    <w:rsid w:val="31B05A1F"/>
    <w:rsid w:val="31FC35FB"/>
    <w:rsid w:val="32010D04"/>
    <w:rsid w:val="320A7836"/>
    <w:rsid w:val="324163CA"/>
    <w:rsid w:val="32574FD8"/>
    <w:rsid w:val="325C547C"/>
    <w:rsid w:val="327C3888"/>
    <w:rsid w:val="32945DAC"/>
    <w:rsid w:val="32CE45BC"/>
    <w:rsid w:val="32D9201A"/>
    <w:rsid w:val="32E42D0F"/>
    <w:rsid w:val="330D4D94"/>
    <w:rsid w:val="33435E16"/>
    <w:rsid w:val="339C5454"/>
    <w:rsid w:val="33DD1D83"/>
    <w:rsid w:val="33FC5F9C"/>
    <w:rsid w:val="34005D95"/>
    <w:rsid w:val="34173060"/>
    <w:rsid w:val="3425323C"/>
    <w:rsid w:val="342E5EA7"/>
    <w:rsid w:val="34474FF1"/>
    <w:rsid w:val="344B3651"/>
    <w:rsid w:val="34B63281"/>
    <w:rsid w:val="34C105B0"/>
    <w:rsid w:val="34CA39B2"/>
    <w:rsid w:val="34D564C3"/>
    <w:rsid w:val="34DC79C0"/>
    <w:rsid w:val="34EC4B86"/>
    <w:rsid w:val="3572663B"/>
    <w:rsid w:val="357D4C50"/>
    <w:rsid w:val="35925B04"/>
    <w:rsid w:val="35963717"/>
    <w:rsid w:val="35AF3549"/>
    <w:rsid w:val="35DA5213"/>
    <w:rsid w:val="35EE7B1B"/>
    <w:rsid w:val="35F65FAD"/>
    <w:rsid w:val="364A7C84"/>
    <w:rsid w:val="36605016"/>
    <w:rsid w:val="366B7A53"/>
    <w:rsid w:val="368259EE"/>
    <w:rsid w:val="36C76D40"/>
    <w:rsid w:val="36F44E23"/>
    <w:rsid w:val="371D2966"/>
    <w:rsid w:val="373062E8"/>
    <w:rsid w:val="37785098"/>
    <w:rsid w:val="37A6234C"/>
    <w:rsid w:val="37AF1535"/>
    <w:rsid w:val="37CB57CA"/>
    <w:rsid w:val="37D337D1"/>
    <w:rsid w:val="37F16302"/>
    <w:rsid w:val="38781C56"/>
    <w:rsid w:val="38C30240"/>
    <w:rsid w:val="38D30895"/>
    <w:rsid w:val="38E95212"/>
    <w:rsid w:val="391C1C7A"/>
    <w:rsid w:val="39600E80"/>
    <w:rsid w:val="399B72BC"/>
    <w:rsid w:val="3A01261A"/>
    <w:rsid w:val="3A1A4CEB"/>
    <w:rsid w:val="3A247020"/>
    <w:rsid w:val="3A41027E"/>
    <w:rsid w:val="3A446ABC"/>
    <w:rsid w:val="3A481E25"/>
    <w:rsid w:val="3A562007"/>
    <w:rsid w:val="3A632ED3"/>
    <w:rsid w:val="3A6F255F"/>
    <w:rsid w:val="3A90237F"/>
    <w:rsid w:val="3B0A7991"/>
    <w:rsid w:val="3B100A85"/>
    <w:rsid w:val="3B18283A"/>
    <w:rsid w:val="3B336F2F"/>
    <w:rsid w:val="3B691338"/>
    <w:rsid w:val="3BB46CD1"/>
    <w:rsid w:val="3BB6128D"/>
    <w:rsid w:val="3BD11411"/>
    <w:rsid w:val="3BD837A5"/>
    <w:rsid w:val="3BED4242"/>
    <w:rsid w:val="3C317DDD"/>
    <w:rsid w:val="3C742BEB"/>
    <w:rsid w:val="3C8E02B7"/>
    <w:rsid w:val="3CB004C5"/>
    <w:rsid w:val="3CB35047"/>
    <w:rsid w:val="3CB47F7E"/>
    <w:rsid w:val="3CB603EF"/>
    <w:rsid w:val="3CD82621"/>
    <w:rsid w:val="3CEA693F"/>
    <w:rsid w:val="3D475AFB"/>
    <w:rsid w:val="3D502422"/>
    <w:rsid w:val="3D5404DD"/>
    <w:rsid w:val="3D6A48AA"/>
    <w:rsid w:val="3D7C1281"/>
    <w:rsid w:val="3D8D1DDC"/>
    <w:rsid w:val="3DD2333F"/>
    <w:rsid w:val="3E037731"/>
    <w:rsid w:val="3E0F09D9"/>
    <w:rsid w:val="3E247488"/>
    <w:rsid w:val="3E305EE4"/>
    <w:rsid w:val="3E3D25F5"/>
    <w:rsid w:val="3E4E6762"/>
    <w:rsid w:val="3E752011"/>
    <w:rsid w:val="3E8270FA"/>
    <w:rsid w:val="3E8E2505"/>
    <w:rsid w:val="3E9953AC"/>
    <w:rsid w:val="3F310E2B"/>
    <w:rsid w:val="3F3E5B85"/>
    <w:rsid w:val="3F4D19AF"/>
    <w:rsid w:val="3F837DDF"/>
    <w:rsid w:val="3FA21405"/>
    <w:rsid w:val="3FCB012B"/>
    <w:rsid w:val="3FEE1DE8"/>
    <w:rsid w:val="3FFE5EFF"/>
    <w:rsid w:val="40171145"/>
    <w:rsid w:val="402104DC"/>
    <w:rsid w:val="40742438"/>
    <w:rsid w:val="40791098"/>
    <w:rsid w:val="40932E75"/>
    <w:rsid w:val="40BC5D67"/>
    <w:rsid w:val="410D75D5"/>
    <w:rsid w:val="411E3000"/>
    <w:rsid w:val="41402C24"/>
    <w:rsid w:val="414E7345"/>
    <w:rsid w:val="41696F7F"/>
    <w:rsid w:val="417C0D06"/>
    <w:rsid w:val="418B25AA"/>
    <w:rsid w:val="418E56CE"/>
    <w:rsid w:val="41925E9B"/>
    <w:rsid w:val="419D7C05"/>
    <w:rsid w:val="41E3266D"/>
    <w:rsid w:val="41F604FA"/>
    <w:rsid w:val="420F24CA"/>
    <w:rsid w:val="421C0994"/>
    <w:rsid w:val="424F02B6"/>
    <w:rsid w:val="42683145"/>
    <w:rsid w:val="427133C0"/>
    <w:rsid w:val="42715180"/>
    <w:rsid w:val="42B45768"/>
    <w:rsid w:val="42FD1410"/>
    <w:rsid w:val="431F563A"/>
    <w:rsid w:val="432D0CD2"/>
    <w:rsid w:val="4348259E"/>
    <w:rsid w:val="434C0977"/>
    <w:rsid w:val="43705840"/>
    <w:rsid w:val="43AF6845"/>
    <w:rsid w:val="43D44FF8"/>
    <w:rsid w:val="444C54FC"/>
    <w:rsid w:val="44615639"/>
    <w:rsid w:val="44762FC6"/>
    <w:rsid w:val="4488431A"/>
    <w:rsid w:val="448F5706"/>
    <w:rsid w:val="44944331"/>
    <w:rsid w:val="449A539D"/>
    <w:rsid w:val="44A538D4"/>
    <w:rsid w:val="44B05905"/>
    <w:rsid w:val="44B67F0B"/>
    <w:rsid w:val="451317C4"/>
    <w:rsid w:val="45575AD5"/>
    <w:rsid w:val="459B774E"/>
    <w:rsid w:val="45B72AB1"/>
    <w:rsid w:val="45CF5AD4"/>
    <w:rsid w:val="45DD06D9"/>
    <w:rsid w:val="460D21F2"/>
    <w:rsid w:val="460E0469"/>
    <w:rsid w:val="466B6702"/>
    <w:rsid w:val="466F037A"/>
    <w:rsid w:val="46A075FA"/>
    <w:rsid w:val="46D7121E"/>
    <w:rsid w:val="46FF57CE"/>
    <w:rsid w:val="47C254B8"/>
    <w:rsid w:val="47DF082A"/>
    <w:rsid w:val="47EB5003"/>
    <w:rsid w:val="48081128"/>
    <w:rsid w:val="483A31DC"/>
    <w:rsid w:val="48942C25"/>
    <w:rsid w:val="4898666C"/>
    <w:rsid w:val="489B75DE"/>
    <w:rsid w:val="48B5305A"/>
    <w:rsid w:val="48B63FE7"/>
    <w:rsid w:val="48CC7D6E"/>
    <w:rsid w:val="48EB5A5C"/>
    <w:rsid w:val="490B579F"/>
    <w:rsid w:val="492A1C6E"/>
    <w:rsid w:val="492C7D33"/>
    <w:rsid w:val="493A79B5"/>
    <w:rsid w:val="4969605D"/>
    <w:rsid w:val="496D1F2A"/>
    <w:rsid w:val="497C7394"/>
    <w:rsid w:val="498A3B85"/>
    <w:rsid w:val="49AE3287"/>
    <w:rsid w:val="49C65C46"/>
    <w:rsid w:val="49D021B0"/>
    <w:rsid w:val="49D7375C"/>
    <w:rsid w:val="49EC64E1"/>
    <w:rsid w:val="4A11668C"/>
    <w:rsid w:val="4A3546EB"/>
    <w:rsid w:val="4A4A48A6"/>
    <w:rsid w:val="4A524812"/>
    <w:rsid w:val="4A526073"/>
    <w:rsid w:val="4A56215E"/>
    <w:rsid w:val="4A5D4A40"/>
    <w:rsid w:val="4A6C1B50"/>
    <w:rsid w:val="4A7E40F2"/>
    <w:rsid w:val="4A8561F1"/>
    <w:rsid w:val="4A943BC6"/>
    <w:rsid w:val="4AAF17A9"/>
    <w:rsid w:val="4B3D4E30"/>
    <w:rsid w:val="4B413D26"/>
    <w:rsid w:val="4B8B446D"/>
    <w:rsid w:val="4BB317A2"/>
    <w:rsid w:val="4BC27F8D"/>
    <w:rsid w:val="4BCC6CCE"/>
    <w:rsid w:val="4BE44E6C"/>
    <w:rsid w:val="4BF446B8"/>
    <w:rsid w:val="4C061338"/>
    <w:rsid w:val="4C497215"/>
    <w:rsid w:val="4C5D0817"/>
    <w:rsid w:val="4C5E08E0"/>
    <w:rsid w:val="4CBF4AE9"/>
    <w:rsid w:val="4D0A349B"/>
    <w:rsid w:val="4D0D2E78"/>
    <w:rsid w:val="4D0F04ED"/>
    <w:rsid w:val="4D384A7C"/>
    <w:rsid w:val="4D3A0411"/>
    <w:rsid w:val="4D427C91"/>
    <w:rsid w:val="4D7706F2"/>
    <w:rsid w:val="4DBE12C2"/>
    <w:rsid w:val="4DCE6ED3"/>
    <w:rsid w:val="4E333BBB"/>
    <w:rsid w:val="4E6A06E9"/>
    <w:rsid w:val="4EC206BE"/>
    <w:rsid w:val="4EC46EFB"/>
    <w:rsid w:val="4EC951FF"/>
    <w:rsid w:val="4ED04B02"/>
    <w:rsid w:val="4EE96853"/>
    <w:rsid w:val="4F105F02"/>
    <w:rsid w:val="4F121BEA"/>
    <w:rsid w:val="4F172396"/>
    <w:rsid w:val="4F3F03C1"/>
    <w:rsid w:val="4F4C2971"/>
    <w:rsid w:val="4F566ACF"/>
    <w:rsid w:val="4F8028EE"/>
    <w:rsid w:val="4FAD0DF7"/>
    <w:rsid w:val="4FBE1CEA"/>
    <w:rsid w:val="4FC15F00"/>
    <w:rsid w:val="50371519"/>
    <w:rsid w:val="503D6ACE"/>
    <w:rsid w:val="505A0A75"/>
    <w:rsid w:val="50ED0D36"/>
    <w:rsid w:val="51130AD6"/>
    <w:rsid w:val="51147068"/>
    <w:rsid w:val="512452DA"/>
    <w:rsid w:val="515029F4"/>
    <w:rsid w:val="51777BA1"/>
    <w:rsid w:val="517A1ADB"/>
    <w:rsid w:val="51952A88"/>
    <w:rsid w:val="51B661F2"/>
    <w:rsid w:val="51EE27E3"/>
    <w:rsid w:val="52101F45"/>
    <w:rsid w:val="5213342A"/>
    <w:rsid w:val="52163344"/>
    <w:rsid w:val="5234477C"/>
    <w:rsid w:val="52515077"/>
    <w:rsid w:val="52B118DE"/>
    <w:rsid w:val="52C52078"/>
    <w:rsid w:val="52CB6EC0"/>
    <w:rsid w:val="52D061DA"/>
    <w:rsid w:val="52D211F8"/>
    <w:rsid w:val="5315442E"/>
    <w:rsid w:val="5341530E"/>
    <w:rsid w:val="53434396"/>
    <w:rsid w:val="534D112E"/>
    <w:rsid w:val="53761C93"/>
    <w:rsid w:val="537B0A8C"/>
    <w:rsid w:val="5393301A"/>
    <w:rsid w:val="53971518"/>
    <w:rsid w:val="5399073D"/>
    <w:rsid w:val="53AB2CD5"/>
    <w:rsid w:val="53AF23D8"/>
    <w:rsid w:val="53B91D8C"/>
    <w:rsid w:val="53E56E6E"/>
    <w:rsid w:val="53EB2495"/>
    <w:rsid w:val="53F17662"/>
    <w:rsid w:val="54010C17"/>
    <w:rsid w:val="542C2C82"/>
    <w:rsid w:val="54661F54"/>
    <w:rsid w:val="546C3F2D"/>
    <w:rsid w:val="547F46DA"/>
    <w:rsid w:val="549F75FE"/>
    <w:rsid w:val="54A51CC5"/>
    <w:rsid w:val="54E06144"/>
    <w:rsid w:val="555E54FB"/>
    <w:rsid w:val="556D2811"/>
    <w:rsid w:val="55CE1AD5"/>
    <w:rsid w:val="55ED37B8"/>
    <w:rsid w:val="55F04C52"/>
    <w:rsid w:val="55F35D23"/>
    <w:rsid w:val="56281CBC"/>
    <w:rsid w:val="56333685"/>
    <w:rsid w:val="56A332D5"/>
    <w:rsid w:val="56C325A5"/>
    <w:rsid w:val="56FB32FA"/>
    <w:rsid w:val="570703AF"/>
    <w:rsid w:val="572D602C"/>
    <w:rsid w:val="57364D30"/>
    <w:rsid w:val="573D71D1"/>
    <w:rsid w:val="57A21363"/>
    <w:rsid w:val="57A54C20"/>
    <w:rsid w:val="57B937A9"/>
    <w:rsid w:val="57BB4E50"/>
    <w:rsid w:val="57C34B39"/>
    <w:rsid w:val="57E116B4"/>
    <w:rsid w:val="587B6F7C"/>
    <w:rsid w:val="58A22BE9"/>
    <w:rsid w:val="58E44026"/>
    <w:rsid w:val="58E67C57"/>
    <w:rsid w:val="58E94F10"/>
    <w:rsid w:val="58F965E6"/>
    <w:rsid w:val="58FA15B8"/>
    <w:rsid w:val="58FF06B6"/>
    <w:rsid w:val="591C3F4A"/>
    <w:rsid w:val="593E6CC6"/>
    <w:rsid w:val="594B0A62"/>
    <w:rsid w:val="594E1B0E"/>
    <w:rsid w:val="595461B1"/>
    <w:rsid w:val="59591BB8"/>
    <w:rsid w:val="59820786"/>
    <w:rsid w:val="59A774F2"/>
    <w:rsid w:val="59AD15AB"/>
    <w:rsid w:val="59CE313C"/>
    <w:rsid w:val="59E474BD"/>
    <w:rsid w:val="59FC6B89"/>
    <w:rsid w:val="5A143012"/>
    <w:rsid w:val="5A261D0E"/>
    <w:rsid w:val="5A412A61"/>
    <w:rsid w:val="5A527BDD"/>
    <w:rsid w:val="5A905E59"/>
    <w:rsid w:val="5A9311E7"/>
    <w:rsid w:val="5AD0373D"/>
    <w:rsid w:val="5AF86253"/>
    <w:rsid w:val="5B081862"/>
    <w:rsid w:val="5B1C3DCA"/>
    <w:rsid w:val="5B340596"/>
    <w:rsid w:val="5B4B70AC"/>
    <w:rsid w:val="5BB41290"/>
    <w:rsid w:val="5BF92128"/>
    <w:rsid w:val="5BFA7DB5"/>
    <w:rsid w:val="5C075DA6"/>
    <w:rsid w:val="5C491EC9"/>
    <w:rsid w:val="5C81109C"/>
    <w:rsid w:val="5C9E10E9"/>
    <w:rsid w:val="5CA11D7F"/>
    <w:rsid w:val="5CDA6371"/>
    <w:rsid w:val="5CFC64A7"/>
    <w:rsid w:val="5D1516BF"/>
    <w:rsid w:val="5D1569ED"/>
    <w:rsid w:val="5D1B2A4F"/>
    <w:rsid w:val="5D4F34F7"/>
    <w:rsid w:val="5D623C65"/>
    <w:rsid w:val="5D8C1819"/>
    <w:rsid w:val="5DC477E0"/>
    <w:rsid w:val="5DD05318"/>
    <w:rsid w:val="5DEF6C2B"/>
    <w:rsid w:val="5DF22741"/>
    <w:rsid w:val="5E2D7C7A"/>
    <w:rsid w:val="5E4E3F80"/>
    <w:rsid w:val="5E5F4BD4"/>
    <w:rsid w:val="5E852B0D"/>
    <w:rsid w:val="5ED20F44"/>
    <w:rsid w:val="5EE7073E"/>
    <w:rsid w:val="5F123BC6"/>
    <w:rsid w:val="5F1A7A37"/>
    <w:rsid w:val="5F2E3F46"/>
    <w:rsid w:val="5F474C09"/>
    <w:rsid w:val="5F63419E"/>
    <w:rsid w:val="5F736746"/>
    <w:rsid w:val="5F880842"/>
    <w:rsid w:val="5FD95A66"/>
    <w:rsid w:val="5FFC4765"/>
    <w:rsid w:val="60046C0F"/>
    <w:rsid w:val="601327BB"/>
    <w:rsid w:val="60245068"/>
    <w:rsid w:val="60255BE3"/>
    <w:rsid w:val="602717FC"/>
    <w:rsid w:val="602A62F8"/>
    <w:rsid w:val="602C01A9"/>
    <w:rsid w:val="603B1B21"/>
    <w:rsid w:val="607F2EF2"/>
    <w:rsid w:val="60842FF2"/>
    <w:rsid w:val="60D43BFA"/>
    <w:rsid w:val="610D2A7D"/>
    <w:rsid w:val="61111BF1"/>
    <w:rsid w:val="61175A9A"/>
    <w:rsid w:val="61375BEC"/>
    <w:rsid w:val="614E4437"/>
    <w:rsid w:val="615F1F60"/>
    <w:rsid w:val="6182631E"/>
    <w:rsid w:val="61BC217C"/>
    <w:rsid w:val="61D9772A"/>
    <w:rsid w:val="61DB33CF"/>
    <w:rsid w:val="61EF0933"/>
    <w:rsid w:val="61F2327B"/>
    <w:rsid w:val="61F6471A"/>
    <w:rsid w:val="625E2011"/>
    <w:rsid w:val="627803DA"/>
    <w:rsid w:val="62921FA4"/>
    <w:rsid w:val="62EF16C5"/>
    <w:rsid w:val="63077DCD"/>
    <w:rsid w:val="63196725"/>
    <w:rsid w:val="631F3FB6"/>
    <w:rsid w:val="63356B20"/>
    <w:rsid w:val="63647D08"/>
    <w:rsid w:val="63BD1F88"/>
    <w:rsid w:val="63F34E27"/>
    <w:rsid w:val="642E2D6E"/>
    <w:rsid w:val="642F141D"/>
    <w:rsid w:val="6439179D"/>
    <w:rsid w:val="643A7D3D"/>
    <w:rsid w:val="644C43F2"/>
    <w:rsid w:val="645E071A"/>
    <w:rsid w:val="64611864"/>
    <w:rsid w:val="64B76AA3"/>
    <w:rsid w:val="64C61C82"/>
    <w:rsid w:val="64D124DB"/>
    <w:rsid w:val="65233DA8"/>
    <w:rsid w:val="652A5D21"/>
    <w:rsid w:val="65480BBE"/>
    <w:rsid w:val="65B955CA"/>
    <w:rsid w:val="65BE6C54"/>
    <w:rsid w:val="65CC3546"/>
    <w:rsid w:val="661A0E12"/>
    <w:rsid w:val="66214D7C"/>
    <w:rsid w:val="66B40E42"/>
    <w:rsid w:val="66B56D61"/>
    <w:rsid w:val="66B56D68"/>
    <w:rsid w:val="66EA1480"/>
    <w:rsid w:val="67056631"/>
    <w:rsid w:val="6779797F"/>
    <w:rsid w:val="6789047F"/>
    <w:rsid w:val="67A720F6"/>
    <w:rsid w:val="67AC1398"/>
    <w:rsid w:val="67E7540E"/>
    <w:rsid w:val="67FC02AC"/>
    <w:rsid w:val="68006207"/>
    <w:rsid w:val="682D432C"/>
    <w:rsid w:val="68382592"/>
    <w:rsid w:val="687C4042"/>
    <w:rsid w:val="68A742AD"/>
    <w:rsid w:val="68C25CFA"/>
    <w:rsid w:val="68C731B8"/>
    <w:rsid w:val="69044A5D"/>
    <w:rsid w:val="691052CA"/>
    <w:rsid w:val="69194464"/>
    <w:rsid w:val="691D05F7"/>
    <w:rsid w:val="69312B59"/>
    <w:rsid w:val="69446209"/>
    <w:rsid w:val="698B1B24"/>
    <w:rsid w:val="69BB0755"/>
    <w:rsid w:val="6A7A60F7"/>
    <w:rsid w:val="6AAC2E76"/>
    <w:rsid w:val="6AEE1969"/>
    <w:rsid w:val="6B0A125F"/>
    <w:rsid w:val="6B23484A"/>
    <w:rsid w:val="6B30457A"/>
    <w:rsid w:val="6B3B1CB3"/>
    <w:rsid w:val="6B43702A"/>
    <w:rsid w:val="6B5A1EC9"/>
    <w:rsid w:val="6B7308B4"/>
    <w:rsid w:val="6BA2498F"/>
    <w:rsid w:val="6BBC51E6"/>
    <w:rsid w:val="6BCA0F7D"/>
    <w:rsid w:val="6BDE4DDD"/>
    <w:rsid w:val="6BE82C3E"/>
    <w:rsid w:val="6BE972DB"/>
    <w:rsid w:val="6BFE0452"/>
    <w:rsid w:val="6C0F2440"/>
    <w:rsid w:val="6C176418"/>
    <w:rsid w:val="6C392A9F"/>
    <w:rsid w:val="6C5973BD"/>
    <w:rsid w:val="6C762792"/>
    <w:rsid w:val="6C7D1213"/>
    <w:rsid w:val="6C801375"/>
    <w:rsid w:val="6C822E35"/>
    <w:rsid w:val="6CEF6EBD"/>
    <w:rsid w:val="6CF01C95"/>
    <w:rsid w:val="6CF542B7"/>
    <w:rsid w:val="6D18295E"/>
    <w:rsid w:val="6D206AE2"/>
    <w:rsid w:val="6D8A08D8"/>
    <w:rsid w:val="6D961017"/>
    <w:rsid w:val="6DCE3EDB"/>
    <w:rsid w:val="6DD23F1E"/>
    <w:rsid w:val="6DEE2081"/>
    <w:rsid w:val="6E336938"/>
    <w:rsid w:val="6E565A56"/>
    <w:rsid w:val="6E5D68D3"/>
    <w:rsid w:val="6E682450"/>
    <w:rsid w:val="6E7251F0"/>
    <w:rsid w:val="6E757524"/>
    <w:rsid w:val="6E7934F3"/>
    <w:rsid w:val="6EAD6286"/>
    <w:rsid w:val="6EB24C59"/>
    <w:rsid w:val="6EBD3CCD"/>
    <w:rsid w:val="6F2428C0"/>
    <w:rsid w:val="6F433285"/>
    <w:rsid w:val="6F591B5D"/>
    <w:rsid w:val="6F7E65DB"/>
    <w:rsid w:val="6F981073"/>
    <w:rsid w:val="6FFF65EB"/>
    <w:rsid w:val="705F37D3"/>
    <w:rsid w:val="709143C4"/>
    <w:rsid w:val="70930271"/>
    <w:rsid w:val="70DB5146"/>
    <w:rsid w:val="712776C4"/>
    <w:rsid w:val="7181738B"/>
    <w:rsid w:val="71820038"/>
    <w:rsid w:val="71990145"/>
    <w:rsid w:val="71C90ED8"/>
    <w:rsid w:val="71D72430"/>
    <w:rsid w:val="71E12038"/>
    <w:rsid w:val="72112B83"/>
    <w:rsid w:val="721F61D9"/>
    <w:rsid w:val="723D42BE"/>
    <w:rsid w:val="72412901"/>
    <w:rsid w:val="72887B37"/>
    <w:rsid w:val="72910320"/>
    <w:rsid w:val="72A53302"/>
    <w:rsid w:val="72B3410C"/>
    <w:rsid w:val="72BD6DA9"/>
    <w:rsid w:val="72CB01B8"/>
    <w:rsid w:val="730554B3"/>
    <w:rsid w:val="73092FAA"/>
    <w:rsid w:val="73413694"/>
    <w:rsid w:val="734608F5"/>
    <w:rsid w:val="736D4BAC"/>
    <w:rsid w:val="739B5B15"/>
    <w:rsid w:val="73CA3FB8"/>
    <w:rsid w:val="73EC345F"/>
    <w:rsid w:val="73FD1118"/>
    <w:rsid w:val="74090510"/>
    <w:rsid w:val="740E2D2D"/>
    <w:rsid w:val="741752A2"/>
    <w:rsid w:val="746B6757"/>
    <w:rsid w:val="747B5C9D"/>
    <w:rsid w:val="747F1177"/>
    <w:rsid w:val="748028C0"/>
    <w:rsid w:val="74A471EE"/>
    <w:rsid w:val="74C768EE"/>
    <w:rsid w:val="74E97F38"/>
    <w:rsid w:val="74F13E40"/>
    <w:rsid w:val="752A3F7B"/>
    <w:rsid w:val="75485488"/>
    <w:rsid w:val="759A2104"/>
    <w:rsid w:val="75B35E00"/>
    <w:rsid w:val="75EB2F64"/>
    <w:rsid w:val="761D1573"/>
    <w:rsid w:val="765B6CE9"/>
    <w:rsid w:val="766852F0"/>
    <w:rsid w:val="766C7968"/>
    <w:rsid w:val="76936F16"/>
    <w:rsid w:val="76A64EB2"/>
    <w:rsid w:val="76BC1014"/>
    <w:rsid w:val="77025DC3"/>
    <w:rsid w:val="77276E30"/>
    <w:rsid w:val="772C68C6"/>
    <w:rsid w:val="776C53FF"/>
    <w:rsid w:val="777E5705"/>
    <w:rsid w:val="7781654E"/>
    <w:rsid w:val="779231D8"/>
    <w:rsid w:val="77B92312"/>
    <w:rsid w:val="7827423F"/>
    <w:rsid w:val="7850391E"/>
    <w:rsid w:val="78703EBE"/>
    <w:rsid w:val="78805A36"/>
    <w:rsid w:val="78830880"/>
    <w:rsid w:val="78AE0946"/>
    <w:rsid w:val="78D17516"/>
    <w:rsid w:val="78D96E40"/>
    <w:rsid w:val="7911644D"/>
    <w:rsid w:val="79331EC1"/>
    <w:rsid w:val="79404911"/>
    <w:rsid w:val="794D0D3C"/>
    <w:rsid w:val="7986601A"/>
    <w:rsid w:val="7993616D"/>
    <w:rsid w:val="799D69BF"/>
    <w:rsid w:val="79AE14B2"/>
    <w:rsid w:val="79B22738"/>
    <w:rsid w:val="79CE4B72"/>
    <w:rsid w:val="7A055366"/>
    <w:rsid w:val="7A292C38"/>
    <w:rsid w:val="7A49541C"/>
    <w:rsid w:val="7A5F22B4"/>
    <w:rsid w:val="7A680094"/>
    <w:rsid w:val="7A7508D5"/>
    <w:rsid w:val="7A80455C"/>
    <w:rsid w:val="7A81102C"/>
    <w:rsid w:val="7AA37ECA"/>
    <w:rsid w:val="7AB16073"/>
    <w:rsid w:val="7ABB5514"/>
    <w:rsid w:val="7AC2458A"/>
    <w:rsid w:val="7ADE3222"/>
    <w:rsid w:val="7AF04DB0"/>
    <w:rsid w:val="7B1C1737"/>
    <w:rsid w:val="7B322761"/>
    <w:rsid w:val="7B3C2640"/>
    <w:rsid w:val="7B4443D1"/>
    <w:rsid w:val="7BB43296"/>
    <w:rsid w:val="7BDE6C84"/>
    <w:rsid w:val="7BE07A81"/>
    <w:rsid w:val="7CA76A22"/>
    <w:rsid w:val="7CCC4E54"/>
    <w:rsid w:val="7CEB2ACD"/>
    <w:rsid w:val="7CF41D8D"/>
    <w:rsid w:val="7D2D2CA0"/>
    <w:rsid w:val="7D5C29E8"/>
    <w:rsid w:val="7DD90B59"/>
    <w:rsid w:val="7E2A514E"/>
    <w:rsid w:val="7E2C4E20"/>
    <w:rsid w:val="7E2D20BE"/>
    <w:rsid w:val="7E5733E1"/>
    <w:rsid w:val="7E660C33"/>
    <w:rsid w:val="7E707801"/>
    <w:rsid w:val="7E733B66"/>
    <w:rsid w:val="7EC12AAE"/>
    <w:rsid w:val="7EC52141"/>
    <w:rsid w:val="7EC73D34"/>
    <w:rsid w:val="7ED12FEE"/>
    <w:rsid w:val="7F1648D6"/>
    <w:rsid w:val="7F23784E"/>
    <w:rsid w:val="7F457080"/>
    <w:rsid w:val="7F486BDC"/>
    <w:rsid w:val="7F4C71A0"/>
    <w:rsid w:val="7F5124CE"/>
    <w:rsid w:val="7F6347A3"/>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0</TotalTime>
  <ScaleCrop>false</ScaleCrop>
  <LinksUpToDate>false</LinksUpToDate>
  <CharactersWithSpaces>26786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2020-06-18T08:32:22Z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2052-11.1.0.9740</vt:lpwstr>
  </property>
</Properties>
</file>