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-713105</wp:posOffset>
            </wp:positionH>
            <wp:positionV relativeFrom="paragraph">
              <wp:posOffset>-543560</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AsWiVLYAAAACgEAAA8AAAAAAAAAAQAgAAAAIgAAAGRycy9kb3du&#10;cmV2LnhtbFBLAQIUABQAAAAIAIdO4kBn+7IxjQEAAAEDAAAOAAAAAAAAAAEAIAAAACcBAABkcnMv&#10;ZTJvRG9jLnhtbFBLBQYAAAAABgAGAFkBAAAmBQ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w:t>
      </w:r>
      <w:r>
        <w:rPr>
          <w:rFonts w:hint="eastAsia" w:ascii="宋体" w:hAnsi="宋体"/>
          <w:b/>
          <w:sz w:val="30"/>
          <w:szCs w:val="30"/>
          <w:lang w:val="en-US" w:eastAsia="zh-CN"/>
        </w:rPr>
        <w:t>20</w:t>
      </w:r>
      <w:r>
        <w:rPr>
          <w:rFonts w:hint="eastAsia" w:ascii="宋体" w:hAnsi="宋体"/>
          <w:b/>
          <w:sz w:val="30"/>
          <w:szCs w:val="30"/>
        </w:rPr>
        <w:t>.</w:t>
      </w:r>
      <w:r>
        <w:rPr>
          <w:rFonts w:hint="eastAsia" w:ascii="宋体" w:hAnsi="宋体"/>
          <w:b/>
          <w:sz w:val="30"/>
          <w:szCs w:val="30"/>
          <w:lang w:val="en-US" w:eastAsia="zh-CN"/>
        </w:rPr>
        <w:t>7.23</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25</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28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rFonts w:hint="eastAsia"/>
          <w:color w:val="auto"/>
          <w:sz w:val="24"/>
          <w:szCs w:val="24"/>
          <w:lang w:eastAsia="zh-CN"/>
        </w:rPr>
        <w:t>成品油</w:t>
      </w:r>
      <w:r>
        <w:rPr>
          <w:rStyle w:val="31"/>
          <w:rFonts w:hint="eastAsia"/>
          <w:color w:val="auto"/>
          <w:sz w:val="24"/>
          <w:szCs w:val="24"/>
        </w:rPr>
        <w:t>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30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5</w:t>
      </w:r>
      <w:r>
        <w:rPr>
          <w:rStyle w:val="31"/>
          <w:rFonts w:hint="eastAsia" w:ascii="宋体" w:hAnsi="宋体"/>
          <w:b/>
          <w:color w:val="auto"/>
          <w:sz w:val="24"/>
          <w:szCs w:val="24"/>
        </w:rPr>
        <w:t>份全国车用汽油和航空汽油进出口统计数据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32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w:t>
      </w:r>
      <w:r>
        <w:rPr>
          <w:rStyle w:val="31"/>
          <w:rFonts w:hint="eastAsia" w:ascii="宋体" w:hAnsi="宋体"/>
          <w:b/>
          <w:color w:val="auto"/>
          <w:sz w:val="24"/>
          <w:szCs w:val="24"/>
          <w:lang w:val="en-US" w:eastAsia="zh-CN"/>
        </w:rPr>
        <w:t>8</w:t>
      </w:r>
      <w:r>
        <w:rPr>
          <w:rStyle w:val="31"/>
          <w:rFonts w:hint="eastAsia" w:ascii="宋体" w:hAnsi="宋体"/>
          <w:b/>
          <w:color w:val="auto"/>
          <w:sz w:val="24"/>
          <w:szCs w:val="24"/>
        </w:rPr>
        <w:t>年</w:t>
      </w:r>
      <w:r>
        <w:rPr>
          <w:rStyle w:val="31"/>
          <w:rFonts w:ascii="宋体" w:hAnsi="宋体"/>
          <w:b/>
          <w:color w:val="auto"/>
          <w:sz w:val="24"/>
          <w:szCs w:val="24"/>
        </w:rPr>
        <w:t>1</w:t>
      </w:r>
      <w:r>
        <w:rPr>
          <w:rStyle w:val="31"/>
          <w:rFonts w:hint="eastAsia" w:ascii="宋体" w:hAnsi="宋体"/>
          <w:b/>
          <w:color w:val="auto"/>
          <w:sz w:val="24"/>
          <w:szCs w:val="24"/>
          <w:lang w:val="en-US" w:eastAsia="zh-CN"/>
        </w:rPr>
        <w:t>1</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33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5</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w:t>
      </w:r>
      <w:r>
        <w:rPr>
          <w:rStyle w:val="31"/>
          <w:rFonts w:hint="eastAsia" w:ascii="宋体" w:hAnsi="宋体"/>
          <w:b/>
          <w:color w:val="auto"/>
          <w:sz w:val="24"/>
          <w:szCs w:val="24"/>
          <w:lang w:val="en-US" w:eastAsia="zh-CN"/>
        </w:rPr>
        <w:t>20</w:t>
      </w:r>
      <w:r>
        <w:rPr>
          <w:rStyle w:val="31"/>
          <w:rFonts w:hint="eastAsia" w:ascii="宋体" w:hAnsi="宋体"/>
          <w:b/>
          <w:color w:val="auto"/>
          <w:sz w:val="24"/>
          <w:szCs w:val="24"/>
        </w:rPr>
        <w:t>年</w:t>
      </w:r>
      <w:r>
        <w:rPr>
          <w:rStyle w:val="31"/>
          <w:rFonts w:hint="eastAsia" w:ascii="宋体" w:hAnsi="宋体"/>
          <w:b/>
          <w:color w:val="auto"/>
          <w:sz w:val="24"/>
          <w:szCs w:val="24"/>
          <w:lang w:val="en-US" w:eastAsia="zh-CN"/>
        </w:rPr>
        <w:t>5</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34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533771861"/>
      <w:r>
        <w:rPr>
          <w:rFonts w:hint="eastAsia"/>
        </w:rPr>
        <w:t>一、国际原油市场回顾</w:t>
      </w:r>
      <w:bookmarkEnd w:id="0"/>
      <w:r>
        <w:rPr>
          <w:rFonts w:hint="eastAsia"/>
        </w:rPr>
        <w:t> </w:t>
      </w:r>
    </w:p>
    <w:p>
      <w:pPr>
        <w:pStyle w:val="3"/>
        <w:spacing w:before="120" w:after="120" w:line="240" w:lineRule="auto"/>
        <w:rPr>
          <w:rFonts w:hint="eastAsia" w:ascii="宋体" w:hAnsi="宋体"/>
          <w:b/>
          <w:sz w:val="30"/>
          <w:szCs w:val="30"/>
        </w:rPr>
      </w:pPr>
      <w:bookmarkStart w:id="1" w:name="_Toc533771862"/>
      <w:r>
        <w:rPr>
          <w:rFonts w:hint="eastAsia" w:ascii="宋体" w:hAnsi="宋体"/>
          <w:b/>
          <w:sz w:val="30"/>
          <w:szCs w:val="30"/>
        </w:rPr>
        <w:t>1.1国际原油收盘价涨跌情况（单位：美元/桶）</w:t>
      </w:r>
      <w:bookmarkEnd w:id="1"/>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2020/7/16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40.75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43.37</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由于OPEC+决定自下个月开始缩减当前的减产规模，EIA原油库存大减带来的利好情绪被抵消，油价承压下滑。</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2020/7/17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40.59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43.14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OPEC即将缩减减产规模以及全球新增病例骤增引发的需求忧虑导致油价承压，周五油价延续下行走势，另一方面，美国原油钻井数持续减少也为油价提供了一定的支撑。</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2020/7/20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40.81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43.28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在三家企业表示他们的候选疫苗显示出希望后，市场对于疫情扩散将影响需求恢复的忧虑在一定程度上被抵消，油价获得支撑。此外，日内美国股市大涨也带动了油价的上行。</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2020/7/21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41.96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44.32</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欧盟7500亿欧元的经济刺激计划最终达成协议提振市场对经济复苏的预期，此外，日内多家研究机构关于新冠疫苗的积极进展也缓和了市场对疫情二次爆发将影响需求复苏的忧虑。</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2020/7/22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44.29</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Theme="minorEastAsia" w:hAnsiTheme="minorEastAsia" w:eastAsiaTheme="minorEastAsia" w:cstheme="minorEastAsia"/>
                <w:color w:val="333335"/>
                <w:kern w:val="2"/>
                <w:sz w:val="24"/>
                <w:szCs w:val="24"/>
                <w:shd w:val="clear" w:color="auto" w:fill="FFFFFF"/>
              </w:rPr>
            </w:pPr>
            <w:r>
              <w:rPr>
                <w:rFonts w:hint="eastAsia" w:asciiTheme="minorEastAsia" w:hAnsiTheme="minorEastAsia" w:eastAsiaTheme="minorEastAsia" w:cstheme="minorEastAsia"/>
                <w:color w:val="333335"/>
                <w:kern w:val="2"/>
                <w:sz w:val="24"/>
                <w:szCs w:val="24"/>
                <w:shd w:val="clear" w:color="auto" w:fill="FFFFFF"/>
              </w:rPr>
              <w:t>美国EIA公布的数据显示，截至7月17日当周美国除却战略储备的商业原油库存大幅增加，但仍不及API增幅。另一方面，此前包括财政刺激计划以及病毒疫苗等利好因素对油价仍有支撑，限制了油价的跌幅。</w:t>
            </w:r>
          </w:p>
        </w:tc>
      </w:tr>
    </w:tbl>
    <w:p>
      <w:pPr>
        <w:pStyle w:val="3"/>
        <w:spacing w:before="120" w:after="120" w:line="240" w:lineRule="auto"/>
        <w:rPr>
          <w:rFonts w:ascii="宋体" w:hAnsi="宋体"/>
          <w:b/>
          <w:sz w:val="30"/>
          <w:szCs w:val="30"/>
        </w:rPr>
      </w:pPr>
      <w:bookmarkStart w:id="2"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lang w:val="en-US" w:eastAsia="zh-CN"/>
        </w:rPr>
        <w:t>20</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2"/>
    </w:p>
    <w:p>
      <w:pPr>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714365" cy="3571875"/>
            <wp:effectExtent l="0" t="0" r="635" b="952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714365" cy="3571875"/>
                    </a:xfrm>
                    <a:prstGeom prst="rect">
                      <a:avLst/>
                    </a:prstGeom>
                    <a:noFill/>
                    <a:ln>
                      <a:noFill/>
                    </a:ln>
                  </pic:spPr>
                </pic:pic>
              </a:graphicData>
            </a:graphic>
          </wp:inline>
        </w:drawing>
      </w:r>
    </w:p>
    <w:p>
      <w:pPr>
        <w:pStyle w:val="2"/>
        <w:numPr>
          <w:ilvl w:val="0"/>
          <w:numId w:val="1"/>
        </w:numPr>
        <w:spacing w:before="120" w:after="0" w:line="240" w:lineRule="auto"/>
      </w:pPr>
      <w:bookmarkStart w:id="3" w:name="_Toc533771864"/>
      <w:r>
        <w:rPr>
          <w:rFonts w:hint="eastAsia"/>
        </w:rPr>
        <w:t>近期影响国际原油市场的主要因素</w:t>
      </w:r>
      <w:bookmarkEnd w:id="3"/>
    </w:p>
    <w:p>
      <w:pPr>
        <w:pStyle w:val="3"/>
        <w:spacing w:before="120" w:after="120" w:line="240" w:lineRule="auto"/>
        <w:rPr>
          <w:rFonts w:ascii="宋体" w:hAnsi="宋体"/>
          <w:b/>
          <w:sz w:val="30"/>
          <w:szCs w:val="30"/>
        </w:rPr>
      </w:pPr>
      <w:bookmarkStart w:id="4" w:name="_Toc533771865"/>
      <w:r>
        <w:rPr>
          <w:rFonts w:hint="eastAsia" w:ascii="宋体" w:hAnsi="宋体"/>
          <w:b/>
          <w:sz w:val="30"/>
          <w:szCs w:val="30"/>
        </w:rPr>
        <w:t>2.1影响国际原油市场的主要因素</w:t>
      </w:r>
      <w:bookmarkEnd w:id="4"/>
    </w:p>
    <w:p/>
    <w:p>
      <w:pPr>
        <w:pStyle w:val="23"/>
        <w:numPr>
          <w:ilvl w:val="0"/>
          <w:numId w:val="2"/>
        </w:numPr>
        <w:spacing w:line="360" w:lineRule="auto"/>
        <w:ind w:left="0" w:leftChars="0" w:firstLine="551" w:firstLineChars="196"/>
        <w:rPr>
          <w:rFonts w:hint="eastAsia" w:ascii="黑体" w:eastAsia="黑体"/>
          <w:b/>
          <w:sz w:val="28"/>
          <w:szCs w:val="28"/>
        </w:rPr>
      </w:pPr>
      <w:bookmarkStart w:id="5" w:name="_Toc10115991"/>
      <w:r>
        <w:rPr>
          <w:rFonts w:hint="eastAsia" w:ascii="黑体" w:eastAsia="黑体"/>
          <w:b/>
          <w:sz w:val="28"/>
          <w:szCs w:val="28"/>
        </w:rPr>
        <w:t>美国原油库存情况</w:t>
      </w:r>
      <w:bookmarkEnd w:id="5"/>
      <w:r>
        <w:rPr>
          <w:rFonts w:hint="eastAsia" w:ascii="黑体" w:eastAsia="黑体"/>
          <w:b/>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6" w:name="_Toc10115992"/>
      <w:r>
        <w:rPr>
          <w:rFonts w:hint="eastAsia" w:asciiTheme="minorEastAsia" w:hAnsiTheme="minorEastAsia" w:eastAsiaTheme="minorEastAsia" w:cstheme="minorEastAsia"/>
          <w:color w:val="333335"/>
          <w:kern w:val="2"/>
          <w:sz w:val="28"/>
          <w:szCs w:val="28"/>
          <w:shd w:val="clear" w:color="auto" w:fill="FFFFFF"/>
        </w:rPr>
        <w:t>本周美国能源信息署(EIA)周三(7月15日)公布报告显示，截至7月10日当周美国除却战略储备的商业原油库存大幅度减少超出预期,精炼油库存和汽油库存都大幅度减少。数据显示,美国截至7月10日当周EIA原油库存变动实际公布减少749.30万桶,预期减少8.8万桶,前值增加565.4万桶。此外,美国截至7月10日当周EIA汽油库存实际公布减少314.70万桶,预期减少108万桶,前值减少483.9万桶;美国截至7月10日当周EIA精炼油库存实际公布减少45.30万桶,预期增加138.4万桶前值增加313.5万桶。美国石油协会(API)公布的数据显示，截至7月10日当周API原油库存超预期减少832.2万桶，预期减少227.5万桶;汽油库存减少361.1万桶;精炼油库存增加303万桶。</w:t>
      </w:r>
    </w:p>
    <w:p>
      <w:pPr>
        <w:pStyle w:val="23"/>
        <w:spacing w:line="360" w:lineRule="auto"/>
        <w:ind w:firstLine="560" w:firstLineChars="200"/>
        <w:rPr>
          <w:rFonts w:ascii="华文仿宋" w:hAnsi="华文仿宋" w:eastAsia="华文仿宋"/>
          <w:sz w:val="28"/>
          <w:szCs w:val="28"/>
        </w:rPr>
      </w:pPr>
    </w:p>
    <w:p>
      <w:pPr>
        <w:pStyle w:val="23"/>
        <w:numPr>
          <w:ilvl w:val="0"/>
          <w:numId w:val="2"/>
        </w:numPr>
        <w:spacing w:line="360" w:lineRule="auto"/>
        <w:ind w:left="0" w:leftChars="0" w:firstLine="551" w:firstLineChars="196"/>
        <w:rPr>
          <w:rFonts w:hint="eastAsia" w:ascii="黑体" w:eastAsia="黑体"/>
          <w:b/>
          <w:sz w:val="28"/>
          <w:szCs w:val="28"/>
        </w:rPr>
      </w:pPr>
      <w:r>
        <w:rPr>
          <w:rFonts w:hint="eastAsia" w:ascii="黑体" w:eastAsia="黑体"/>
          <w:b/>
          <w:sz w:val="28"/>
          <w:szCs w:val="28"/>
        </w:rPr>
        <w:t>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7" w:name="_Toc10115993"/>
      <w:r>
        <w:rPr>
          <w:rFonts w:hint="eastAsia" w:asciiTheme="minorEastAsia" w:hAnsiTheme="minorEastAsia" w:eastAsiaTheme="minorEastAsia" w:cstheme="minorEastAsia"/>
          <w:color w:val="333335"/>
          <w:kern w:val="2"/>
          <w:sz w:val="28"/>
          <w:szCs w:val="28"/>
          <w:shd w:val="clear" w:color="auto" w:fill="FFFFFF"/>
        </w:rPr>
        <w:t>本周北京时间23日凌晨，美股周三小幅收高。美国国会继续就新一轮财政刺激方案进行谈判。辉瑞和BioNTech获美国卫生部价值19.5亿美元的冠状病毒疫苗订单。投资者同时关注国际地缘政治风险与企业财报。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道指涨165.44点，或0.62%，报27005.84点;纳指涨25.76点，或0.24%，报10706.13点;标普500指数涨18.72点，或0.57%，报3276.02点。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截止周三收盘，道指连续第三个交易日上涨，重新站上27000点关口。标普500指数连续第四个交易日上涨。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辉瑞制药收高5.1%，引领道指走高。据报道，辉瑞和BioNTech已获得美国卫生部价值19.5亿美元的冠状病毒疫苗订单。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其他道指成分股当中，陶氏公司收高3%，麦当劳收高2.94%，可口可乐收高2.67%，IBM上涨2.06%。</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在冠状病毒疫情流行期间，国际地缘政治关系受到了进一步考验。美国司法部周二指责两名有外国政府背景的黑客试图窃取包括美国冠状病毒疫苗研究数据、公民个人信息等在内的许多数据。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酝酿出台新一轮财政刺激政策。现行的包括每周600美元额外联邦失业救济金在内的抗疫纾困计划将在下周末到期，美国国会与政府正在就新一轮刺激方案进行谈判。据报道，美国共和党人考虑在新刺激计划中将每周失业救济金额度下调至400美元，实施日期延长至12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企业财报仍受关注 微软与特斯拉将在盘后公布业绩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Facebook(FB)、Pinterest(PINS)和Twitter(TWTR)等互联网公司普遍走低。在此之前，社交媒体公司Snap(SNAP)在周二美股收盘后报告第二季度每日活跃用户数量增幅低于预期。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Snap的财报使投资者对科技股能在今年剩余时间内维持第一季度强劲增长势头的预期遭到当头一击。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上周，Netflix(NFLX)宣布第二季度订户增幅超预期，但其第三季度业绩指引远逊预期。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周三有更多大型科技公司公布季度业绩，其中包括微软(MSFT)和特斯拉(TSLA)，两家公司将在今日收盘后公布财报。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许多华尔街分析师预计，微软将实现另一个季度的强劲增长，尤其是在其云计算部门Azure方面，因为许多公司在该季度继续进行远程工作，并依靠云服务来进行日常运营。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关于特斯拉，分析人士预计特斯拉第二季度营收为50亿美元，每股亏损19美分。不过，特斯拉近期意外录得强劲的交付数据，同时特斯拉首席执行官马斯克(Elon Musk)在内部备忘录中称公司将实现盈亏平衡，支撑了多头信心。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美国就新一轮财政刺激计划进行谈判</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投资者还继续关注正在华盛顿进行的关于新一轮财政刺激方案的辩论，目前距现行刺激计划到期日只剩9天时间。</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周二，白宫和参议院共和党的谈判陷入僵局，双方争论焦点包括是否应按美国总统特朗普的要求在计划中纳入薪资税、是否为病毒检测与美国疾控中心增加拨款、以及其他一些问题。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除美国国会共和党和民主党存在分歧外，参议院共和党人与美国总统特朗普也存在不同意见，尚不清楚参议院共和党人会否同意特朗普在刺激计划中加入削减工资税的内容。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总体来看，共和党的方案规模为1万亿美元，民主党的方案规模为3万亿美元，两者相去甚远，分歧巨大。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美国财政部长姆努钦与白宫办公厅主任马克-梅多斯(Mark Meadows)都对媒体表示，他们的目标是在下周末之前达成一项一揽子财政刺激计划。而在下周末，现行的包括每周600美元额外联邦失业救济金在内的抗疫纾困计划将会到期。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但据美国政治网站Politico报道，参议院多数党领袖米奇-麦康奈尔(Mitch McConnell)不太确定下周末之前能否达成协议。麦康奈尔周二提议向收入低于特定门槛的人士直接发放新一轮补贴，类似于今年早些时候发放的1200美元支票。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周三有媒体报道称，美国共和党人考虑将每周的失业救济金规模下调至400美元，但将实施日期延长至12月。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疫情蔓延正在美国掀起企业破产潮 许多企业永久关门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冠状病毒疫情蔓延正在美国掀起企业破产潮，成千上万的零售商、能源公司和其他企业已经受到重创。</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根据法律服务公司Epiq Global的数据，截至6月30日的今年上半年，已有超过3600家美国企业申请破产保护，比去年同期激增26%。仅在6月份，随着美国各地疫情反弹、感染激增，经济复苏陷入停滞，美国企业破产申请比上年同期激增了43%。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美国最大点评网站Yelp周三发布的报告称，冠状病毒疫情开始时暂时关闭的企业中，有一多半现在看来会是永久关门。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该公司报告显示，截至7月10日，其网站上列出的132580个关闭企业中有55%是永久性的，比6月底上升14个百分点。超过72000家企业已永久关闭，其中加州、德克萨斯州和佛罗里达州占比最高。</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长期关闭的企业数量增多，意味着未来劳动力市场前景疲软。经过两个月就业稳定增长后，7月非农就业人数可能下降，因为冠状病毒病例再度激增和面临新的封锁措施。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在Yelp报告中，餐馆占永久性关闭企业的数量最多，其次是零售和美容业，酒吧和健身中心。尽管许多零售商可以改为路边收货和网上订货，但这些措施未必足以让他们维持长期经营。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焦点个股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美国卫生与公共服务部宣布，已经与辉瑞和BioNTech敲定了1亿支、价值19.5亿美元的冠状病毒疫苗订单。在完成Ⅲ实验并获得FDA紧急使用许可后便会开始交货。根据协议，美国政府还能额外增加5亿支订单。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另据媒体报道，7月21日，巴西批准了辉瑞和BioNTech联合开发的冠状病毒疫苗临床试验，8月开始测试。</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波音小幅收高。此前埃塞俄比亚航空一架波音777在上海浦东机场起火，此外据报道，波音的737 MAX无法在年内复飞，复飞时间或被推迟到明年2月。</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Snap(SNAP.US)公司今日发布二季度业绩。二季度净亏损为3.26亿美元，同比扩大28%，市场预期亏损3.29亿美元。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特斯拉盘后将公布第二季度财报。分析称，当前特斯拉的股价前所未有地取决于市场信心，而非理性的基本面分析。</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随着当地时间周二特斯拉6个月平均市值突破1500亿美元，马斯克成功解锁薪酬计划第二档期权。根据2018年设定的计划，每实现一档马斯克能够以350.02美元的价格购买169万股特斯拉限售股，按周二收盘价计算每一档期权的浮盈已经达到21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中国平安旗下陆金所据悉将在美国IPO中筹资30亿美元。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意大利反垄断机构就产品销售调查亚马逊和苹果。意大利反垄断部门宣布将针对排他性销售苹果产品和Beats耳机，正式对亚马逊和苹果展开是否达成反竞争协议的调查。同日该部门已经搜查了苹果和亚马逊在意大利的办公室。</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美股白银板块跟随现货白银走高，Endeavour Silver、Avino Sliver、Fortuna Silver等普遍大涨。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Spotify和环球音乐集团宣布一项为期多年的特许权协议。</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纳斯达克公布第二季度业绩，较去年同期有所增长。纳斯达克第二季度的净利润为2.41亿美元，每股盈利1.45美元;去年同期的净利润为1.74亿美元，合每股1.04美元。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纳斯达克第二季度调整后净利润为2.56亿美元，每股盈利1.54美元。分析师此前预计该公司每股盈利为1.44美元。公司第二季度收入从去年的6.23亿美元增长12.2%，至6.99亿美元。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欧股收盘主要指数普跌，德国DAX指数下跌0.59%，报13094.65点;英国富时100指数下跌1.01%，报6206.10点;法国CAC40指数下跌1.32%，报5037.12点;意大利富时指数下跌0.65%，报20589.5点;欧洲斯托克50指数下跌1.02%，报3370.65点。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原油期货价格周三基本持平。国际政治关系紧张令市场担心原油需求前景。数据显示美国上周原油库存增加490万桶。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分析师称，油价也得到了美元走软与冠状病毒疫苗研究进展的支撑。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纽约商品交易所9月交割的西德州中质原油(WTI)期货价格下跌2美分，跌幅0.05%，收于每桶41.90美元。</w:t>
      </w:r>
    </w:p>
    <w:p>
      <w:pPr>
        <w:pStyle w:val="23"/>
        <w:spacing w:line="360" w:lineRule="auto"/>
        <w:ind w:firstLine="560" w:firstLineChars="200"/>
        <w:rPr>
          <w:rFonts w:hint="eastAsia" w:ascii="华文仿宋" w:hAnsi="华文仿宋" w:eastAsia="华文仿宋" w:cs="华文仿宋"/>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伦敦洲际交易所9月交割的布伦特原油期货价格下跌3美分，跌幅0.07%，收于每桶44.29美元。</w:t>
      </w:r>
    </w:p>
    <w:p>
      <w:pPr>
        <w:pStyle w:val="23"/>
        <w:spacing w:line="360" w:lineRule="auto"/>
        <w:ind w:firstLine="560" w:firstLineChars="200"/>
        <w:rPr>
          <w:rFonts w:ascii="华文仿宋" w:hAnsi="华文仿宋" w:eastAsia="华文仿宋" w:cs="华文仿宋"/>
          <w:color w:val="333335"/>
          <w:kern w:val="2"/>
          <w:sz w:val="28"/>
          <w:szCs w:val="28"/>
          <w:shd w:val="clear" w:color="auto" w:fill="FFFFFF"/>
        </w:rPr>
      </w:pPr>
    </w:p>
    <w:p>
      <w:pPr>
        <w:pStyle w:val="23"/>
        <w:numPr>
          <w:ilvl w:val="0"/>
          <w:numId w:val="2"/>
        </w:numPr>
        <w:spacing w:line="360" w:lineRule="auto"/>
        <w:ind w:left="0" w:leftChars="0" w:firstLine="551" w:firstLineChars="196"/>
        <w:jc w:val="both"/>
        <w:rPr>
          <w:rFonts w:hint="eastAsia" w:ascii="黑体" w:eastAsia="黑体"/>
          <w:b/>
          <w:sz w:val="28"/>
          <w:szCs w:val="28"/>
        </w:rPr>
      </w:pPr>
      <w:r>
        <w:rPr>
          <w:rFonts w:hint="eastAsia" w:ascii="黑体" w:eastAsia="黑体"/>
          <w:b/>
          <w:sz w:val="28"/>
          <w:szCs w:val="28"/>
        </w:rPr>
        <w:t>世界经济形势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华尔街日报》网站载题为《经济正在复苏，但关键在于遏制疫情加剧》的文章。文章称，经济学家担心，疫情复发不仅会减少当前的经济活动，还会使消费者和企业对回归正常行为模式更加谨慎。文章编译如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今年第二季度，全球经济严重萎缩，现在越来越清楚的是，全球经济复苏的力度将取决于当局能否成功遏制新冠肺炎疫情的持续复发。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将于几周后公布的各国最新经济增长数据可能会显示，全球经济在今年上半年进入了衰退，并在第二季度以大萧条后有现代记录以来和平时期最快的速度收缩。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全球经济已经开始复苏，但有关其健康和持久程度的信号好坏参半。与预期相比，一些行业更明显地恢复了生机，包括零售业和制造业。而另一方面，在可以广泛获得疫苗之前，新冠病毒感染病例的激增看来将一再抑制经济活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国际货币基金组织副总裁张涛本月在一次讲话中表示：“在缺乏医疗解决方案的情况下，经济复苏的力度仍存在很大不确定性。”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欧盟委员会估计，欧元区第二季度的国内生产总值(GDP)比第一季度下降了13.6%，而第一季度的GDP环比下降了3.6%，当时是1995年有记录以来的最大降幅。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据亚特兰大联邦储备银行7月9日估计，美国第二季度的GDP环比下降了10.3%。如果事实证明这个估计是正确的，那么美国经济的降幅将是2008年金融危机后最糟糕季度的4倍。6月初，该模型显示，美国的GDP将下降18%左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最近来自世界其他地区的数据也显示，第二季度的GDP大幅下降。新加坡近日表示，其经济第二季度萎缩了12%。</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不过，最近的数据显示，全球经济活动的下滑在4月基本结束，5月和6月有所回升。英国是公布月度GDP数据的为数不多的国家之一，其5月的GDP环比增长了1.8%。</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相比大多数主要经济体，中国早两个月(即在1月底)就开始实施封禁措施，并在4月份取消了许多限制措施。中国近日发布报告称，第二季度其经济增速超过预期，其他国家将乐见第三季度出现这个结果。</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其他指标也指向了同样的方向。5月份，欧元区的零售额增长了17.8%，工业产出增长了12.4%。美国商务部16日公布的数据显示，5月份，美国零售额增长了18.2%，6月份增长了7.5%。</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些指标和其他指标在央行行长中引发了早期的乐观情绪，英格兰银行首席经济学家安德鲁·霍尔丹在6月30日的讲话中说：“到目前为止，是明显的V字形复苏。”V字形复苏是指经济产出快速下降，然后快速上升。</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但最近几周，人们对反弹力度提出了新质疑。尤其是，随着美国多州感染病例不断增加促使当局实施新的限制措施，企业缩减规模，一些地区的消费者变得更加谨慎，有大量迹象表明，美国经济的增长势头正在减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学家担心，疫情复发不仅会减少当前的经济活动，还会使消费者和企业对回归正常行为模式更加谨慎。经济学家说，尽管各国政府投入了巨大资源来维持企业运转并确保家庭收入稳定，但为应对可能会持续复发的疫情投入的资源却较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美联储银行监管委员会前主席、芝加哥大学布思商学院经济学家兰德尔·克罗斯纳说，各国政府必须迅速提高发现和遏制本地疫情暴发的能力，途径之一就是加大对数据收集的投入。</w:t>
      </w:r>
    </w:p>
    <w:p>
      <w:pPr>
        <w:pStyle w:val="23"/>
        <w:numPr>
          <w:ilvl w:val="0"/>
          <w:numId w:val="0"/>
        </w:numPr>
        <w:rPr>
          <w:rFonts w:hint="eastAsia" w:ascii="黑体" w:eastAsia="黑体"/>
          <w:b/>
          <w:sz w:val="28"/>
          <w:szCs w:val="28"/>
        </w:rPr>
      </w:pPr>
      <w:r>
        <w:rPr>
          <w:rFonts w:hint="eastAsia" w:ascii="黑体" w:eastAsia="黑体"/>
          <w:b/>
          <w:sz w:val="28"/>
          <w:szCs w:val="28"/>
          <w:lang w:val="en-US" w:eastAsia="zh-CN"/>
        </w:rPr>
        <w:t>4、</w:t>
      </w:r>
      <w:r>
        <w:rPr>
          <w:rFonts w:hint="eastAsia" w:ascii="黑体" w:eastAsia="黑体"/>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40.59-41.96美元/桶。布伦特原油价格在43.14-44.32美元/桶震荡。周内国际油价整理走势。因美国API、EIA上周原油库存增幅双双超预期，油价周三(7月22日)收盘下跌：美国WTI原油9月期货下跌0.02美元，报41.90美元/桶;布伦特原油9月期货下跌0.03美分，报44.29美元/桶。基本面利好因素：根据初步装货时间表和知名外媒计算，俄罗斯计划在8月1-10日将从波罗的海港口和黑海港口Novorossiisk的石油装货量较7月1-10日减少近四分之一，可能为油价提供一定支撑。北京时间周三，美国石油协会(API)公布的数据显示，截至7月17日当周，汽油库存减少201.9万桶，此前预期为减少117.5万桶;API精炼油库存减少135.7万桶，预期减少55万桶;上周原油进口减少82.5万桶/日。北京时间上周六，美国油服公司贝克休斯(Baker Hughes)公布的数据显示，截至7月17日当周，石油钻井总数减少7座至181座，当周天然气钻井总数仍为75座;总钻井总数减少7座至258座。美国钻井公司连续第11周削减石油钻井平台数量、天然气钻井平台数量至历史新低。数据公布后，美、布两油短线波动不大。欧佩克认为，随着世界各地经济重新开放，市场出现了令人鼓舞的改善迹象。虽然在一些地方可能会重新实施局部封锁措施，但无论是在实物市场还是期货市场，复苏迹象都很明显。欧佩克宣布，减产令将进入第二阶段，减产规模下调200万桶，至770万桶/日。欧佩克预计，受到疫情影响，今年能源需求的季节性表现将更加明显，未来民众对公共交通工具的需求有望回升，对于产油国而言，减产令调整对能源出口的影响是有限的。基本面利空因素：北京时间周三晚间，美国能源信息署(EIA)公布的数据显示，截止7月17日当周，EIA原油库存增加489.2万桶至5.366亿桶，前值为减少749.3万桶，预期值减少208.8万桶;美国国内原油产量连续3周录得持平后本周录得增长;美国俄克拉荷马州库欣原油库存变化值连续3周录得增长。北京时间周三，美国石油协会(API)公布的数据显示，截至7月17日当周，API原油库存大幅增加754.4万桶至5.31亿桶，此前预期为减少195万桶，前值为减少832.2万桶;库欣原油库存增加71.6万桶，高于前值增加54.8万桶。API数据公布后，美、布两油短线小幅下挫。虽然燃料需求已从4月锐减30%中复苏，但消费量仍低于疫情前的水平。随着疫情再起，美国汽油零售需求再次下降。辉立期货的大宗商品经理Avtar Sandu表示：“永无止境的新冠疫情可能迫使各国重新采取封锁措施，这将减缓经济增长并抑制能源需求。”随着疫情每日新增确诊病例数量激增至超过20万，疫情在全球多个国家(尤其是在美国)出现了第二次大规模流行。通过对二次疫情的影响进行建模分析，Rystad Energy 预计2020年全球原油需求或将下降至8650万桶/日，低于基于疫情恢复估计的8900万桶/日。对美国等国的第二波疫情的担忧，抑制了油价反弹。据美国约翰斯·霍普金斯大学(Johns Hopkins University)发布的全球新冠肺炎数据实时统计系统，截至美国东部时间7月21日晚6时，全美共报告新冠肺炎确诊3884988例，死亡141426例。过去24小时，美国新增确诊70525例，新增死亡598例。受此影响，分析人士对美国经济前景仍然感到担忧。荷兰合作银行继续认为，当前成品油价差疲弱，表明终端用户燃料需求复苏脆弱。炼油利润率的疲软表明终端用户的燃料需求不足，而北半球的夏季驾驶季节已经过去了一半，就汽油消费而言，近期前景没有多少上行空间。由于基本面和市场定量压力，仍认为持平价格和日历价差的上行空间有限，因此如果看到近几个月来在原油期货特别美国原油期货中积累起来的规模庞大的投机性多头被平掉，也不会感到意外，因为散户投资者继续大批撤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预测下周WTI油价将触及39-42美元/桶，布油在之后几个月触及42-45美元/桶。</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ascii="华文仿宋" w:hAnsi="华文仿宋" w:eastAsia="华文仿宋" w:cs="华文仿宋"/>
          <w:sz w:val="28"/>
          <w:szCs w:val="28"/>
        </w:rPr>
      </w:pPr>
    </w:p>
    <w:p>
      <w:pPr>
        <w:pStyle w:val="23"/>
        <w:numPr>
          <w:ilvl w:val="0"/>
          <w:numId w:val="0"/>
        </w:numPr>
        <w:spacing w:line="360" w:lineRule="auto"/>
        <w:jc w:val="both"/>
        <w:rPr>
          <w:rFonts w:hint="eastAsia" w:ascii="黑体" w:eastAsia="黑体"/>
          <w:b/>
          <w:sz w:val="28"/>
          <w:szCs w:val="28"/>
          <w:lang w:eastAsia="zh-CN"/>
        </w:rPr>
      </w:pPr>
    </w:p>
    <w:p>
      <w:pPr>
        <w:pStyle w:val="3"/>
        <w:spacing w:before="120" w:after="120" w:line="240" w:lineRule="auto"/>
        <w:rPr>
          <w:rFonts w:hint="eastAsia" w:ascii="宋体" w:hAnsi="宋体"/>
          <w:b/>
          <w:sz w:val="30"/>
          <w:szCs w:val="30"/>
          <w:highlight w:val="none"/>
        </w:rPr>
      </w:pPr>
      <w:bookmarkStart w:id="8" w:name="_Toc533771866"/>
      <w:r>
        <w:rPr>
          <w:rFonts w:hint="eastAsia" w:ascii="宋体" w:hAnsi="宋体"/>
          <w:b/>
          <w:sz w:val="30"/>
          <w:szCs w:val="30"/>
          <w:highlight w:val="none"/>
        </w:rPr>
        <w:t>2.2国际市场MTBE价格</w:t>
      </w:r>
      <w:bookmarkEnd w:id="8"/>
    </w:p>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9"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7月22日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424.00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119.09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466.75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417.00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117.78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7月20日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408.50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112.66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474.75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7月17日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406.20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112.26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475.00 </w:t>
            </w:r>
          </w:p>
        </w:tc>
      </w:tr>
      <w:tr>
        <w:tblPrEx>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401.50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113.20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469.00 </w:t>
            </w:r>
          </w:p>
        </w:tc>
      </w:tr>
    </w:tbl>
    <w:p>
      <w:pPr>
        <w:pStyle w:val="2"/>
        <w:spacing w:before="120" w:after="0" w:line="240" w:lineRule="auto"/>
        <w:rPr>
          <w:rFonts w:hint="eastAsia"/>
        </w:rPr>
      </w:pPr>
    </w:p>
    <w:p>
      <w:pPr>
        <w:pStyle w:val="2"/>
        <w:numPr>
          <w:ilvl w:val="0"/>
          <w:numId w:val="3"/>
        </w:numPr>
        <w:spacing w:before="120" w:after="0" w:line="240" w:lineRule="auto"/>
        <w:rPr>
          <w:rFonts w:hint="eastAsia"/>
          <w:b/>
        </w:rPr>
      </w:pPr>
      <w:r>
        <w:rPr>
          <w:rFonts w:hint="eastAsia"/>
          <w:b/>
        </w:rPr>
        <w:t>本周国内市场</w:t>
      </w:r>
      <w:bookmarkEnd w:id="9"/>
    </w:p>
    <w:p>
      <w:pPr>
        <w:numPr>
          <w:ilvl w:val="0"/>
          <w:numId w:val="0"/>
        </w:numPr>
      </w:pPr>
    </w:p>
    <w:p>
      <w:pPr>
        <w:pStyle w:val="3"/>
        <w:spacing w:before="120" w:after="120" w:line="240" w:lineRule="auto"/>
      </w:pPr>
      <w:bookmarkStart w:id="10" w:name="_Toc533771868"/>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940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97"/>
        <w:gridCol w:w="1699"/>
        <w:gridCol w:w="1841"/>
        <w:gridCol w:w="2220"/>
        <w:gridCol w:w="2145"/>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1497"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699"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41"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装置能力（万吨）</w:t>
            </w:r>
          </w:p>
        </w:tc>
        <w:tc>
          <w:tcPr>
            <w:tcW w:w="2220"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开始时间</w:t>
            </w:r>
          </w:p>
        </w:tc>
        <w:tc>
          <w:tcPr>
            <w:tcW w:w="2145" w:type="dxa"/>
            <w:tcBorders>
              <w:top w:val="single" w:color="000000" w:sz="6" w:space="0"/>
              <w:left w:val="single" w:color="000000" w:sz="6" w:space="0"/>
              <w:bottom w:val="single" w:color="000000" w:sz="6" w:space="0"/>
              <w:right w:val="single" w:color="000000" w:sz="6" w:space="0"/>
            </w:tcBorders>
            <w:shd w:val="clear" w:color="auto" w:fill="00B0F0"/>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结束时间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燕山石化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3#催化裂化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2020年3月下旬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2020年5月上旬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塔河石化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延迟焦化</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2020年4月下旬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上海石化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3#柴油加氢</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330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800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镇海</w:t>
            </w:r>
            <w:r>
              <w:rPr>
                <w:rFonts w:hint="eastAsia" w:ascii="宋体" w:hAnsi="宋体" w:cs="宋体"/>
                <w:i w:val="0"/>
                <w:color w:val="000000"/>
                <w:kern w:val="0"/>
                <w:sz w:val="21"/>
                <w:szCs w:val="21"/>
                <w:u w:val="none"/>
                <w:lang w:val="en-US" w:eastAsia="zh-CN" w:bidi="ar"/>
              </w:rPr>
              <w:t>炼化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茂名石化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4#常减压</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北海</w:t>
            </w:r>
            <w:r>
              <w:rPr>
                <w:rFonts w:hint="eastAsia" w:ascii="宋体" w:hAnsi="宋体" w:cs="宋体"/>
                <w:i w:val="0"/>
                <w:color w:val="000000"/>
                <w:kern w:val="0"/>
                <w:sz w:val="21"/>
                <w:szCs w:val="21"/>
                <w:u w:val="none"/>
                <w:lang w:val="en-US" w:eastAsia="zh-CN" w:bidi="ar"/>
              </w:rPr>
              <w:t>炼</w:t>
            </w:r>
            <w:r>
              <w:rPr>
                <w:rFonts w:hint="eastAsia" w:ascii="宋体" w:hAnsi="宋体" w:eastAsia="宋体" w:cs="宋体"/>
                <w:i w:val="0"/>
                <w:color w:val="000000"/>
                <w:kern w:val="0"/>
                <w:sz w:val="21"/>
                <w:szCs w:val="21"/>
                <w:u w:val="none"/>
                <w:lang w:val="en-US" w:eastAsia="zh-CN" w:bidi="ar"/>
              </w:rPr>
              <w:t>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天津石化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1</w:t>
            </w:r>
            <w:r>
              <w:rPr>
                <w:rFonts w:hint="eastAsia" w:ascii="宋体" w:hAnsi="宋体" w:eastAsia="宋体" w:cs="宋体"/>
                <w:i w:val="0"/>
                <w:color w:val="000000"/>
                <w:kern w:val="0"/>
                <w:sz w:val="21"/>
                <w:szCs w:val="21"/>
                <w:u w:val="none"/>
                <w:lang w:val="en-US" w:eastAsia="zh-CN" w:bidi="ar"/>
              </w:rPr>
              <w:t>250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w:t>
            </w:r>
            <w:r>
              <w:rPr>
                <w:rFonts w:hint="eastAsia" w:ascii="宋体" w:hAnsi="宋体" w:eastAsia="宋体" w:cs="宋体"/>
                <w:i w:val="0"/>
                <w:color w:val="000000"/>
                <w:kern w:val="0"/>
                <w:sz w:val="21"/>
                <w:szCs w:val="21"/>
                <w:u w:val="none"/>
                <w:lang w:val="en-US" w:eastAsia="zh-CN" w:bidi="ar"/>
              </w:rPr>
              <w:t>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大连石化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w:t>
            </w:r>
            <w:r>
              <w:rPr>
                <w:rFonts w:hint="eastAsia" w:ascii="宋体" w:hAnsi="宋体" w:cs="宋体"/>
                <w:i w:val="0"/>
                <w:color w:val="000000"/>
                <w:kern w:val="0"/>
                <w:sz w:val="21"/>
                <w:szCs w:val="21"/>
                <w:u w:val="none"/>
                <w:lang w:val="en-US" w:eastAsia="zh-CN" w:bidi="ar"/>
              </w:rPr>
              <w:t>年4月上旬陆续停</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广西石化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2020/2/9</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2020年5月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宁夏</w:t>
            </w:r>
            <w:r>
              <w:rPr>
                <w:rFonts w:hint="eastAsia" w:ascii="宋体" w:hAnsi="宋体" w:eastAsia="宋体" w:cs="宋体"/>
                <w:i w:val="0"/>
                <w:color w:val="000000"/>
                <w:kern w:val="0"/>
                <w:sz w:val="21"/>
                <w:szCs w:val="21"/>
                <w:u w:val="none"/>
                <w:lang w:val="en-US" w:eastAsia="zh-CN" w:bidi="ar"/>
              </w:rPr>
              <w:t>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w:t>
            </w:r>
            <w:r>
              <w:rPr>
                <w:rFonts w:hint="eastAsia" w:ascii="宋体" w:hAnsi="宋体" w:cs="宋体"/>
                <w:i w:val="0"/>
                <w:color w:val="000000"/>
                <w:kern w:val="0"/>
                <w:sz w:val="21"/>
                <w:szCs w:val="21"/>
                <w:u w:val="none"/>
                <w:lang w:val="en-US" w:eastAsia="zh-CN" w:bidi="ar"/>
              </w:rPr>
              <w:t>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500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7</w:t>
            </w:r>
            <w:r>
              <w:rPr>
                <w:rFonts w:hint="eastAsia" w:ascii="宋体" w:hAnsi="宋体" w:eastAsia="宋体" w:cs="宋体"/>
                <w:i w:val="0"/>
                <w:color w:val="000000"/>
                <w:kern w:val="0"/>
                <w:sz w:val="21"/>
                <w:szCs w:val="21"/>
                <w:u w:val="none"/>
                <w:lang w:val="en-US" w:eastAsia="zh-CN" w:bidi="ar"/>
              </w:rPr>
              <w:t>月</w:t>
            </w:r>
            <w:r>
              <w:rPr>
                <w:rFonts w:hint="eastAsia" w:ascii="宋体" w:hAnsi="宋体" w:cs="宋体"/>
                <w:i w:val="0"/>
                <w:color w:val="000000"/>
                <w:kern w:val="0"/>
                <w:sz w:val="21"/>
                <w:szCs w:val="21"/>
                <w:u w:val="none"/>
                <w:lang w:val="en-US" w:eastAsia="zh-CN" w:bidi="ar"/>
              </w:rPr>
              <w:t>初</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2020年8月中旬</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锦西石化</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全厂装置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700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2020年7月</w:t>
            </w:r>
            <w:r>
              <w:rPr>
                <w:rFonts w:hint="eastAsia" w:ascii="宋体" w:hAnsi="宋体" w:cs="宋体"/>
                <w:i w:val="0"/>
                <w:color w:val="000000"/>
                <w:kern w:val="0"/>
                <w:sz w:val="21"/>
                <w:szCs w:val="21"/>
                <w:u w:val="none"/>
                <w:lang w:val="en-US" w:eastAsia="zh-CN" w:bidi="ar"/>
              </w:rPr>
              <w:t>上旬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2020年9月底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惠州炼厂</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二期</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2020年10月</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2020年12月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70" w:hRule="atLeast"/>
        </w:trPr>
        <w:tc>
          <w:tcPr>
            <w:tcW w:w="1497"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中海油气(泰州)</w:t>
            </w:r>
          </w:p>
        </w:tc>
        <w:tc>
          <w:tcPr>
            <w:tcW w:w="1699"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全厂检修</w:t>
            </w:r>
          </w:p>
        </w:tc>
        <w:tc>
          <w:tcPr>
            <w:tcW w:w="1841"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450</w:t>
            </w:r>
          </w:p>
        </w:tc>
        <w:tc>
          <w:tcPr>
            <w:tcW w:w="2220"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2020年3月中旬</w:t>
            </w:r>
          </w:p>
        </w:tc>
        <w:tc>
          <w:tcPr>
            <w:tcW w:w="2145" w:type="dxa"/>
            <w:tcBorders>
              <w:top w:val="single" w:color="000000" w:sz="6" w:space="0"/>
              <w:left w:val="single" w:color="000000" w:sz="6" w:space="0"/>
              <w:bottom w:val="single" w:color="000000" w:sz="6" w:space="0"/>
              <w:right w:val="single" w:color="000000" w:sz="6"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4月下旬</w:t>
            </w:r>
          </w:p>
        </w:tc>
      </w:tr>
    </w:tbl>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0"/>
        </w:numPr>
        <w:rPr>
          <w:rFonts w:hint="eastAsia" w:ascii="宋体" w:hAnsi="宋体"/>
          <w:sz w:val="28"/>
          <w:szCs w:val="28"/>
          <w:highlight w:val="none"/>
        </w:rPr>
      </w:pPr>
    </w:p>
    <w:p>
      <w:pPr>
        <w:numPr>
          <w:ilvl w:val="0"/>
          <w:numId w:val="4"/>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W w:w="9405" w:type="dxa"/>
        <w:tblInd w:w="0" w:type="dxa"/>
        <w:shd w:val="clear" w:color="auto" w:fill="auto"/>
        <w:tblLayout w:type="autofit"/>
        <w:tblCellMar>
          <w:top w:w="0" w:type="dxa"/>
          <w:left w:w="0" w:type="dxa"/>
          <w:bottom w:w="0" w:type="dxa"/>
          <w:right w:w="0" w:type="dxa"/>
        </w:tblCellMar>
      </w:tblPr>
      <w:tblGrid>
        <w:gridCol w:w="1782"/>
        <w:gridCol w:w="1188"/>
        <w:gridCol w:w="1890"/>
        <w:gridCol w:w="2385"/>
        <w:gridCol w:w="2160"/>
      </w:tblGrid>
      <w:tr>
        <w:tblPrEx>
          <w:shd w:val="clear" w:color="auto" w:fill="auto"/>
          <w:tblCellMar>
            <w:top w:w="0" w:type="dxa"/>
            <w:left w:w="0" w:type="dxa"/>
            <w:bottom w:w="0" w:type="dxa"/>
            <w:right w:w="0" w:type="dxa"/>
          </w:tblCellMar>
        </w:tblPrEx>
        <w:trPr>
          <w:trHeight w:val="240" w:hRule="atLeast"/>
        </w:trPr>
        <w:tc>
          <w:tcPr>
            <w:tcW w:w="1782"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炼厂名称</w:t>
            </w:r>
          </w:p>
        </w:tc>
        <w:tc>
          <w:tcPr>
            <w:tcW w:w="1188"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检修装置</w:t>
            </w:r>
          </w:p>
        </w:tc>
        <w:tc>
          <w:tcPr>
            <w:tcW w:w="189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检修产能（万吨）</w:t>
            </w:r>
          </w:p>
        </w:tc>
        <w:tc>
          <w:tcPr>
            <w:tcW w:w="2385"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停工时间</w:t>
            </w:r>
          </w:p>
        </w:tc>
        <w:tc>
          <w:tcPr>
            <w:tcW w:w="2160" w:type="dxa"/>
            <w:tcBorders>
              <w:top w:val="single" w:color="000000" w:sz="4" w:space="0"/>
              <w:left w:val="single" w:color="000000" w:sz="4" w:space="0"/>
              <w:bottom w:val="single" w:color="000000" w:sz="4" w:space="0"/>
              <w:right w:val="single" w:color="000000" w:sz="4" w:space="0"/>
            </w:tcBorders>
            <w:shd w:val="clear" w:color="auto" w:fill="00B0F0"/>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开工时间</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海右(晨曦)石化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2018年5月1日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计划2020年7月7日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650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岚桥石化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2019年9月10日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2020年5月10日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2020年3月30日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奥星(亨润德)石化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海化石化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2019年12月26日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延迟重启、待定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中海精细化工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2020年1月12日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万达天弘</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恒源石化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富宇化工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2020年4月2</w:t>
            </w:r>
            <w:r>
              <w:rPr>
                <w:rFonts w:hint="eastAsia" w:ascii="宋体" w:hAnsi="宋体" w:cs="宋体"/>
                <w:i w:val="0"/>
                <w:color w:val="000000"/>
                <w:kern w:val="0"/>
                <w:sz w:val="21"/>
                <w:szCs w:val="21"/>
                <w:u w:val="none"/>
                <w:lang w:val="en-US" w:eastAsia="zh-CN" w:bidi="ar"/>
              </w:rPr>
              <w:t>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亚通石化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2020年1月27日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2020年2月15日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120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东方华龙</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汽油加氢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尚能石化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神驰化工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玉皇盛世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2020年3月4日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滨阳燃化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寿光联盟</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2020年3月27日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胜星化工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380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kern w:val="0"/>
                <w:szCs w:val="21"/>
                <w:lang w:val="en-US" w:eastAsia="zh-CN"/>
              </w:rPr>
            </w:pPr>
            <w:r>
              <w:rPr>
                <w:rFonts w:hint="eastAsia" w:ascii="宋体" w:hAnsi="宋体" w:eastAsia="宋体" w:cs="宋体"/>
                <w:i w:val="0"/>
                <w:color w:val="000000"/>
                <w:kern w:val="0"/>
                <w:sz w:val="21"/>
                <w:szCs w:val="21"/>
                <w:u w:val="none"/>
                <w:lang w:val="en-US" w:eastAsia="zh-CN" w:bidi="ar"/>
              </w:rPr>
              <w:t>2020年3月12日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科力达石化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2020年2月28日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700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正和石化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500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昌邑石化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800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2020年2月14日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2020年3月16日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无棣鑫岳</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240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2020年2月16日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中海沥青滨州</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350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2020年2月19日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2020年3月9日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华联石化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全厂停工</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400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2020年3月20日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2020年4月</w:t>
            </w:r>
            <w:r>
              <w:rPr>
                <w:rFonts w:hint="eastAsia" w:ascii="宋体" w:hAnsi="宋体" w:cs="宋体"/>
                <w:i w:val="0"/>
                <w:color w:val="000000"/>
                <w:kern w:val="0"/>
                <w:sz w:val="21"/>
                <w:szCs w:val="21"/>
                <w:u w:val="none"/>
                <w:lang w:val="en-US" w:eastAsia="zh-CN" w:bidi="ar"/>
              </w:rPr>
              <w:t>29</w:t>
            </w:r>
            <w:r>
              <w:rPr>
                <w:rFonts w:hint="eastAsia" w:ascii="宋体" w:hAnsi="宋体" w:eastAsia="宋体" w:cs="宋体"/>
                <w:i w:val="0"/>
                <w:color w:val="000000"/>
                <w:kern w:val="0"/>
                <w:sz w:val="21"/>
                <w:szCs w:val="21"/>
                <w:u w:val="none"/>
                <w:lang w:val="en-US" w:eastAsia="zh-CN" w:bidi="ar"/>
              </w:rPr>
              <w:t>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w:t>
            </w:r>
            <w:r>
              <w:rPr>
                <w:rFonts w:hint="eastAsia" w:ascii="宋体" w:hAnsi="宋体" w:eastAsia="宋体" w:cs="宋体"/>
                <w:i w:val="0"/>
                <w:color w:val="000000"/>
                <w:kern w:val="0"/>
                <w:sz w:val="21"/>
                <w:szCs w:val="21"/>
                <w:u w:val="none"/>
                <w:lang w:val="en-US" w:eastAsia="zh-CN" w:bidi="ar"/>
              </w:rPr>
              <w:t>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2020年</w:t>
            </w:r>
            <w:r>
              <w:rPr>
                <w:rFonts w:hint="eastAsia" w:ascii="宋体" w:hAnsi="宋体" w:cs="宋体"/>
                <w:i w:val="0"/>
                <w:color w:val="000000"/>
                <w:kern w:val="0"/>
                <w:sz w:val="21"/>
                <w:szCs w:val="21"/>
                <w:u w:val="none"/>
                <w:lang w:val="en-US" w:eastAsia="zh-CN" w:bidi="ar"/>
              </w:rPr>
              <w:t>5月初</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2020年5月20日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永鑫化工</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催化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160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2020年3月15日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2020年5月1日</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金诚石化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常减压</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2020年5月18日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焦化</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汇丰石化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柴油加氢</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100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2020年6月1日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待定</w:t>
            </w:r>
          </w:p>
        </w:tc>
      </w:tr>
      <w:tr>
        <w:tblPrEx>
          <w:tblCellMar>
            <w:top w:w="0" w:type="dxa"/>
            <w:left w:w="0" w:type="dxa"/>
            <w:bottom w:w="0" w:type="dxa"/>
            <w:right w:w="0" w:type="dxa"/>
          </w:tblCellMar>
        </w:tblPrEx>
        <w:trPr>
          <w:trHeight w:val="285" w:hRule="atLeast"/>
        </w:trPr>
        <w:tc>
          <w:tcPr>
            <w:tcW w:w="17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奥星石化</w:t>
            </w:r>
          </w:p>
        </w:tc>
        <w:tc>
          <w:tcPr>
            <w:tcW w:w="11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全厂检修</w:t>
            </w:r>
          </w:p>
        </w:tc>
        <w:tc>
          <w:tcPr>
            <w:tcW w:w="18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220</w:t>
            </w:r>
          </w:p>
        </w:tc>
        <w:tc>
          <w:tcPr>
            <w:tcW w:w="23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2020年6月23日</w:t>
            </w:r>
          </w:p>
        </w:tc>
        <w:tc>
          <w:tcPr>
            <w:tcW w:w="2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预计2020年7月底</w:t>
            </w:r>
          </w:p>
        </w:tc>
      </w:tr>
    </w:tbl>
    <w:p>
      <w:pPr>
        <w:numPr>
          <w:ilvl w:val="0"/>
          <w:numId w:val="0"/>
        </w:numPr>
        <w:jc w:val="center"/>
        <w:rPr>
          <w:rFonts w:hint="eastAsia" w:ascii="宋体" w:hAnsi="宋体"/>
          <w:sz w:val="28"/>
          <w:szCs w:val="28"/>
          <w:highlight w:val="none"/>
        </w:rPr>
      </w:pPr>
    </w:p>
    <w:p>
      <w:pPr>
        <w:rPr>
          <w:rFonts w:hint="eastAsia"/>
        </w:rPr>
      </w:pPr>
      <w:bookmarkStart w:id="11" w:name="_Toc533771869"/>
    </w:p>
    <w:bookmarkEnd w:id="11"/>
    <w:p>
      <w:pPr>
        <w:pStyle w:val="3"/>
        <w:spacing w:before="120" w:after="120" w:line="240" w:lineRule="auto"/>
        <w:rPr>
          <w:rFonts w:hint="eastAsia" w:ascii="宋体" w:hAnsi="宋体"/>
          <w:b/>
          <w:sz w:val="30"/>
          <w:szCs w:val="30"/>
          <w:highlight w:val="none"/>
        </w:rPr>
      </w:pPr>
      <w:bookmarkStart w:id="12" w:name="_Toc533771870"/>
      <w:r>
        <w:rPr>
          <w:rFonts w:hint="eastAsia" w:ascii="宋体" w:hAnsi="宋体"/>
          <w:b/>
          <w:sz w:val="30"/>
          <w:szCs w:val="30"/>
          <w:highlight w:val="none"/>
        </w:rPr>
        <w:t>3.2本周成品油市场行情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国际原油期货震荡上行，据测算第九个工作日参考原油变化率为1.42%。受此影响，国内成品油市场购销氛围持淡，各地主营汽柴油销售执行优惠政策。与此同时，山东地炼成品油行情涨势不止，各炼厂报价频频走高，但实际成交保持100元/吨左右优惠。具体来看出货方面：在原油上涨以及零售价上调双重利好刺激下，区内油市看涨气氛热烈，加之部分中间商囤货意向渐起，使得地炼平均出货连续多日达到产销平衡，甚至个别炼厂产销比超过100%，因此整体库存呈现下降趋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本周(7月17日-7月23日)市场难寻有力支撑。华中区内油价汽涨柴跌 具体分析如下，周内，国际原油震荡小涨，变化率正向窄幅波动，消息面指向偏好。加之月末地炼带票资源趋于紧张，汽柴油价格涨幅较大，对行情亦起到一定支撑。不过华中地区降水量持续增加，对终端需求消耗抑制明显，再加上主营客存水平高企，本月出货情况普遍不佳。由于汽油需求尚可故价格相对坚挺，柴油则维持疲态，且成交多存较大优惠空间。业者消化库存为主，入市采购以刚需小单居多，购销气氛清淡不已。后市而言，国际原油或难寻利好支撑，短期或偏弱整理运行，本轮零售价搁浅概率较大，消息面指向存弱化预期。下周为本月最后一个销售周期，部分单位不乏继续冲量的可能。预计短期内华中地区主营挂牌价格或趋稳整理，不过实际成交或暗中增加优惠。</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华北地区主营市场汽柴行情跌后反弹，市场购销小幅好转。分析来看，国际原油周内走势先跌后涨，国内调价预期始终维持搁浅，消息面支撑受限。受此影响，周初区内商家承压较重，报价走势小幅回落，下游退市消耗库存为主，商家出货进度缓慢。周内原油走势反弹，消息面得以支撑，商家报价整体上涨50-100元/吨，但为降低库存刺激出货，实际成交延续优惠，市场明涨暗跌现象明显，成交气氛小幅好转。临近周末原油走势转弱，调价预期继续维持搁浅，区内报价趋稳，下游继续接货热情减退，成交气氛转淡。后市而言，国际市场消息面支撑转弱，新冠疫情对燃油需求的冲击延续以及美原油库存增加市场利空，本轮调价预期大概率搁浅，且新一轮调价初始预期或继续维持搁浅，消息面支撑转弱。另外本月主营销售进度表现一般，月底销售政策将继续积极降库走量，汽油方面需求表现相对坚挺，而柴油方面需求随北方雨水增多以及高温影响继续疲软，预计下周区内油价走势将稳中小幅下行，实际成交幅度继续拉宽。</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华南地区汽柴行情均有下跌 市场成交仍旧清淡。具体来看，周内国际原油期货震荡上涨，消息面对市场仍有支撑。受此影响，山东地炼汽柴油价格也有走高，主营外采成本增加。与此同时，近期汽柴油需求较为低迷，价格大幅回落。汽油方面，受国际油价上涨提振，前期主营对后市看涨预期较强，挺价积极，但由于需求低迷，对价格支撑十分有限，汽油行情顺势下跌。相较于汽油，柴油需求也无明显改善。近期，受强降雨及洪涝灾害影响，工矿、基建等终端用油单位开工率下滑。需求疲软，叠加业者对后市看空情绪较浓，价格承压下跌。总体来看，短期内需求难有提升，业者目前主要以消库为主，按需小单采购，入市操作有限，市场成交依旧清淡。后市来看，国际原油期货短期内或将维持震荡走势，消息面仍有支撑。目前汽柴油下游需求持续低迷，短期业者仍以消库为主，预计下周华南地区汽柴油行情或将窄幅震荡。</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华东地区成品油行情柴跌汽涨，市场整体出货表现一般。具体来看，周内国际油价偏强震荡，消息面存有一定支撑。与此同时，山东地炼汽油价格大幅上涨，令主营外采成本一度上涨。受前期降雨影响，区内江苏部分地区洪涝灾害严重，部分道路运输受阻，而浙江地区理论出梅，但受前期温岭槽车爆炸事故，危化品运输行业遭遇严查严打，下游部分商家补货受限，且区内大范围降雨影响了民众出行心态，汽柴油终端消耗以及需求均有所下滑，市场整体消库观望为主，业者补货心态谨慎，入市采购多散户。综上所述，市场观望情绪仍存，业者补货按需，整体交投氛围平平。后期来看，国际原油或弱势整理，消息面或再度承压。预计下周华东地区成品油行情或保持汽强柴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西北地炼汽油行情延续涨势，柴油行情趋稳运行，整体交投氛围转淡。分析来看：周内国际油价震荡上行，变化率正向窄幅波动，本轮调价搁浅及小涨概率并存，消息面对市场指引有限。与此同时，柴油处于消费淡季，需求面对市场难有</w:t>
      </w:r>
      <w:bookmarkStart w:id="22" w:name="_GoBack"/>
      <w:bookmarkEnd w:id="22"/>
      <w:r>
        <w:rPr>
          <w:rFonts w:hint="eastAsia" w:asciiTheme="minorEastAsia" w:hAnsiTheme="minorEastAsia" w:eastAsiaTheme="minorEastAsia" w:cstheme="minorEastAsia"/>
          <w:color w:val="333335"/>
          <w:kern w:val="2"/>
          <w:sz w:val="28"/>
          <w:szCs w:val="28"/>
          <w:shd w:val="clear" w:color="auto" w:fill="FFFFFF"/>
        </w:rPr>
        <w:t>支撑，业者补货稀少，销售公司价格仍维持稳定;汽油正值消费旺季，下游需求对市场较有支撑，此外，业者前期积极补货，销售公司价格继续上推。不过，随着下游补货到位，市场成交再度转淡。就后市而言，国际油价或再度承压，消息面对市场难有支撑。与此同时，汽油价格涨至高位，而柴油需求仍维持平淡，业者补货心态谨慎，市场成交难有提升。预计短线西北地炼汽柴行情或趋稳运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西北地炼汽油行情延续涨势，柴油行情趋稳运行，整体交投氛围转淡。分析来看：周内国际油价震荡上行，变化率正向窄幅波动，本轮调价搁浅及小涨概率并存，消息面对市场指引有限。与此同时，柴油处于消费淡季，需求面对市场难有支撑，业者补货稀少，销售公司价格仍维持稳定;汽油正值消费旺季，下游需求对市场较有支撑，此外，业者前期积极补货，销售公司价格继续上推。不过，随着下游补货到位，市场成交再度转淡。就后市而言，国际油价或再度承压，消息面对市场难有支撑。与此同时，汽油价格涨至高位，而柴油需求仍维持平淡，业者补货心态谨慎，市场成交难有提升。预计短线西北地炼汽柴行情或趋稳运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后市前瞻：进入下周，受到美国疫情持续扩散及中美关系恶化的影响，国际油价或再度承压。以WTI为例，主流运行区间在39-43(均值41)美元/桶之间，环比下降0.20美元/桶或0.5%。在缺少消息面利好因素作用下，山东地区成品油行情将止涨回落，社会单位库存快速升高后进入消化期，中下游商家购进意向淡薄，市场交投气氛平平。综上所述，预计山东地炼汽柴油价格稳中走跌，幅度在100元/吨左右。</w:t>
      </w:r>
    </w:p>
    <w:p>
      <w:pPr>
        <w:pStyle w:val="23"/>
        <w:spacing w:line="360" w:lineRule="auto"/>
        <w:ind w:firstLine="560" w:firstLineChars="200"/>
        <w:jc w:val="both"/>
        <w:rPr>
          <w:rFonts w:hint="default" w:ascii="宋体" w:hAnsi="宋体" w:eastAsia="宋体" w:cs="宋体"/>
          <w:color w:val="333335"/>
          <w:kern w:val="2"/>
          <w:sz w:val="28"/>
          <w:szCs w:val="28"/>
          <w:shd w:val="clear" w:color="auto" w:fill="FFFFFF"/>
          <w:lang w:eastAsia="zh-CN"/>
        </w:rPr>
      </w:pP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2"/>
    </w:p>
    <w:p>
      <w:pPr>
        <w:rPr>
          <w:rFonts w:hint="eastAsia"/>
        </w:rPr>
      </w:pPr>
      <w:r>
        <w:rPr>
          <w:rFonts w:hint="eastAsia"/>
        </w:rPr>
        <w:t>单位：元/吨</w:t>
      </w:r>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2020/7/23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2020/7/16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bl>
    <w:p>
      <w:pPr>
        <w:rPr>
          <w:rFonts w:hint="eastAsia"/>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533771871"/>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pStyle w:val="3"/>
        <w:spacing w:before="120" w:after="120" w:line="240" w:lineRule="auto"/>
        <w:rPr>
          <w:rFonts w:hint="eastAsia" w:ascii="宋体" w:hAnsi="宋体"/>
          <w:b/>
          <w:sz w:val="30"/>
          <w:szCs w:val="30"/>
          <w:lang w:val="en-US" w:eastAsia="zh-CN"/>
        </w:rPr>
      </w:pPr>
      <w:bookmarkStart w:id="14" w:name="_Toc533771872"/>
    </w:p>
    <w:tbl>
      <w:tblPr>
        <w:tblW w:w="9615" w:type="dxa"/>
        <w:tblInd w:w="0" w:type="dxa"/>
        <w:shd w:val="clear"/>
        <w:tblLayout w:type="autofit"/>
        <w:tblCellMar>
          <w:top w:w="0" w:type="dxa"/>
          <w:left w:w="0" w:type="dxa"/>
          <w:bottom w:w="0" w:type="dxa"/>
          <w:right w:w="0" w:type="dxa"/>
        </w:tblCellMar>
      </w:tblPr>
      <w:tblGrid>
        <w:gridCol w:w="825"/>
        <w:gridCol w:w="1080"/>
        <w:gridCol w:w="1005"/>
        <w:gridCol w:w="945"/>
        <w:gridCol w:w="1080"/>
        <w:gridCol w:w="1080"/>
        <w:gridCol w:w="1080"/>
        <w:gridCol w:w="1260"/>
        <w:gridCol w:w="1260"/>
      </w:tblGrid>
      <w:tr>
        <w:tblPrEx>
          <w:shd w:val="clear"/>
          <w:tblCellMar>
            <w:top w:w="0" w:type="dxa"/>
            <w:left w:w="0" w:type="dxa"/>
            <w:bottom w:w="0" w:type="dxa"/>
            <w:right w:w="0" w:type="dxa"/>
          </w:tblCellMar>
        </w:tblPrEx>
        <w:trPr>
          <w:trHeight w:val="24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企业性质</w:t>
            </w:r>
          </w:p>
        </w:tc>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2020/7/23</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2020/7/16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沪Ⅳ</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5780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中海油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粤四</w:t>
            </w:r>
            <w:r>
              <w:rPr>
                <w:rFonts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6160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5840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5830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5860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6020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6070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7136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7626</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6200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6300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5950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中石油</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r>
      <w:tr>
        <w:tblPrEx>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中石化</w:t>
            </w:r>
          </w:p>
        </w:tc>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bottom"/>
          </w:tcPr>
          <w:p>
            <w:pPr>
              <w:keepNext w:val="0"/>
              <w:keepLines w:val="0"/>
              <w:widowControl/>
              <w:suppressLineNumbers w:val="0"/>
              <w:jc w:val="center"/>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285" w:hRule="atLeast"/>
        </w:trPr>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东北</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吉林市</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吉林中油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r>
    </w:tbl>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p>
      <w:pPr>
        <w:rPr>
          <w:rFonts w:hint="eastAsia"/>
          <w:lang w:val="en-US" w:eastAsia="zh-CN"/>
        </w:rPr>
      </w:pPr>
    </w:p>
    <w:tbl>
      <w:tblPr>
        <w:tblW w:w="9705" w:type="dxa"/>
        <w:tblInd w:w="0" w:type="dxa"/>
        <w:shd w:val="clear"/>
        <w:tblLayout w:type="autofit"/>
        <w:tblCellMar>
          <w:top w:w="0" w:type="dxa"/>
          <w:left w:w="0" w:type="dxa"/>
          <w:bottom w:w="0" w:type="dxa"/>
          <w:right w:w="0" w:type="dxa"/>
        </w:tblCellMar>
      </w:tblPr>
      <w:tblGrid>
        <w:gridCol w:w="945"/>
        <w:gridCol w:w="1470"/>
        <w:gridCol w:w="1170"/>
        <w:gridCol w:w="1155"/>
        <w:gridCol w:w="1065"/>
        <w:gridCol w:w="1080"/>
        <w:gridCol w:w="1410"/>
        <w:gridCol w:w="1410"/>
      </w:tblGrid>
      <w:tr>
        <w:tblPrEx>
          <w:shd w:val="clear"/>
          <w:tblCellMar>
            <w:top w:w="0" w:type="dxa"/>
            <w:left w:w="0" w:type="dxa"/>
            <w:bottom w:w="0" w:type="dxa"/>
            <w:right w:w="0" w:type="dxa"/>
          </w:tblCellMar>
        </w:tblPrEx>
        <w:trPr>
          <w:trHeight w:val="54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1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2020/7/23</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2020/7/16</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东方华龙</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5535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5685</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217</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5522</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143</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5601</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5758</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5618</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5420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230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5480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5060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5170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国Ⅲ93#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万通化工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国四93#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济南天蓝石油</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清源石化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5400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5550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5360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190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5660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90#</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93#</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17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97#</w:t>
            </w:r>
          </w:p>
        </w:tc>
        <w:tc>
          <w:tcPr>
            <w:tcW w:w="115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33771873"/>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3.6 山东地炼柴油出厂价格周报</w:t>
      </w:r>
      <w:bookmarkEnd w:id="15"/>
    </w:p>
    <w:p>
      <w:pPr>
        <w:rPr>
          <w:rFonts w:hint="eastAsia"/>
          <w:bCs/>
          <w:szCs w:val="21"/>
          <w:lang w:val="en-US" w:eastAsia="zh-CN"/>
        </w:rPr>
      </w:pPr>
      <w:r>
        <w:rPr>
          <w:rFonts w:hint="eastAsia"/>
          <w:bCs/>
          <w:szCs w:val="21"/>
          <w:lang w:val="en-US" w:eastAsia="zh-CN"/>
        </w:rPr>
        <w:t>单位：元/吨</w:t>
      </w:r>
    </w:p>
    <w:p>
      <w:pPr>
        <w:rPr>
          <w:rFonts w:hint="eastAsia"/>
          <w:bCs/>
          <w:szCs w:val="21"/>
          <w:lang w:val="en-US" w:eastAsia="zh-CN"/>
        </w:rPr>
      </w:pPr>
    </w:p>
    <w:tbl>
      <w:tblPr>
        <w:tblW w:w="9300" w:type="dxa"/>
        <w:tblInd w:w="0" w:type="dxa"/>
        <w:shd w:val="clear"/>
        <w:tblLayout w:type="autofit"/>
        <w:tblCellMar>
          <w:top w:w="0" w:type="dxa"/>
          <w:left w:w="0" w:type="dxa"/>
          <w:bottom w:w="0" w:type="dxa"/>
          <w:right w:w="0" w:type="dxa"/>
        </w:tblCellMar>
      </w:tblPr>
      <w:tblGrid>
        <w:gridCol w:w="675"/>
        <w:gridCol w:w="1875"/>
        <w:gridCol w:w="1080"/>
        <w:gridCol w:w="1080"/>
        <w:gridCol w:w="1080"/>
        <w:gridCol w:w="1080"/>
        <w:gridCol w:w="1215"/>
        <w:gridCol w:w="1215"/>
      </w:tblGrid>
      <w:tr>
        <w:tblPrEx>
          <w:shd w:val="clear"/>
          <w:tblCellMar>
            <w:top w:w="0" w:type="dxa"/>
            <w:left w:w="0" w:type="dxa"/>
            <w:bottom w:w="0" w:type="dxa"/>
            <w:right w:w="0" w:type="dxa"/>
          </w:tblCellMar>
        </w:tblPrEx>
        <w:trPr>
          <w:trHeight w:val="5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6" w:name="_Toc533771874"/>
            <w:r>
              <w:rPr>
                <w:rFonts w:hint="eastAsia" w:ascii="宋体" w:hAnsi="宋体" w:eastAsia="宋体" w:cs="宋体"/>
                <w:i w:val="0"/>
                <w:color w:val="000000"/>
                <w:kern w:val="0"/>
                <w:sz w:val="20"/>
                <w:szCs w:val="20"/>
                <w:u w:val="none"/>
                <w:bdr w:val="none" w:color="auto" w:sz="0" w:space="0"/>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2020/7/23</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2020/7/16</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利津石化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5180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神驰化工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正和集团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加氢</w:t>
            </w: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华星石化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垦利石化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海科集团</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海科瑞林</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恒源石化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4730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4630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京博石化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永鑫化工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东明石化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玉皇盛世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汇丰石化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寿光联盟</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弘润石化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昌邑石化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常压</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寿光鲁清</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4670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4700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胜华化工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中海石油东营石化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亚通石化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化二炼厂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长城炼厂</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0#常柴</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鑫泰石化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高青宏远</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海化石化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安邦石化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亿源石化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石大科技石化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晨曦化工</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岚桥港口石化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5150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榆林炼厂铁路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永坪炼厂铁路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延安炼厂铁路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西安临潼公路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西安临潼铁路</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4850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加氢0#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5050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4990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金澳科技</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催化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宁夏宝塔石化</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bdr w:val="none" w:color="auto" w:sz="0" w:space="0"/>
                <w:lang w:val="en-US" w:eastAsia="zh-CN" w:bidi="ar"/>
              </w:rPr>
              <w:t>0</w:t>
            </w:r>
          </w:p>
        </w:tc>
      </w:tr>
    </w:tbl>
    <w:p>
      <w:pPr>
        <w:pStyle w:val="3"/>
        <w:spacing w:before="120" w:after="120" w:line="240" w:lineRule="auto"/>
        <w:rPr>
          <w:rFonts w:hint="eastAsia" w:ascii="宋体" w:hAnsi="宋体"/>
          <w:b/>
          <w:sz w:val="10"/>
          <w:szCs w:val="10"/>
          <w:lang w:val="en-US" w:eastAsia="zh-CN"/>
        </w:rPr>
      </w:pPr>
    </w:p>
    <w:p>
      <w:pPr>
        <w:rPr>
          <w:rFonts w:hint="eastAsia"/>
          <w:lang w:val="en-US" w:eastAsia="zh-CN"/>
        </w:rPr>
      </w:pPr>
    </w:p>
    <w:p>
      <w:pPr>
        <w:pStyle w:val="3"/>
        <w:spacing w:before="120" w:after="120" w:line="240" w:lineRule="auto"/>
        <w:rPr>
          <w:rFonts w:hint="eastAsia" w:ascii="宋体" w:hAnsi="宋体"/>
          <w:b/>
          <w:sz w:val="30"/>
          <w:szCs w:val="30"/>
          <w:lang w:val="en-US" w:eastAsia="zh-CN"/>
        </w:rPr>
      </w:pPr>
      <w:r>
        <w:rPr>
          <w:rFonts w:hint="eastAsia" w:ascii="宋体" w:hAnsi="宋体"/>
          <w:b/>
          <w:sz w:val="30"/>
          <w:szCs w:val="30"/>
          <w:lang w:val="en-US" w:eastAsia="zh-CN"/>
        </w:rPr>
        <w:t>四、2020年5月份进出口统计数据</w:t>
      </w:r>
      <w:bookmarkEnd w:id="16"/>
      <w:bookmarkStart w:id="17" w:name="_Toc533771875"/>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327" w:type="dxa"/>
        <w:tblInd w:w="0" w:type="dxa"/>
        <w:shd w:val="clear" w:color="auto" w:fill="auto"/>
        <w:tblLayout w:type="autofit"/>
        <w:tblCellMar>
          <w:top w:w="0" w:type="dxa"/>
          <w:left w:w="0" w:type="dxa"/>
          <w:bottom w:w="0" w:type="dxa"/>
          <w:right w:w="0" w:type="dxa"/>
        </w:tblCellMar>
      </w:tblPr>
      <w:tblGrid>
        <w:gridCol w:w="2454"/>
        <w:gridCol w:w="1800"/>
        <w:gridCol w:w="1978"/>
        <w:gridCol w:w="3095"/>
      </w:tblGrid>
      <w:tr>
        <w:tblPrEx>
          <w:shd w:val="clear" w:color="auto" w:fill="auto"/>
          <w:tblCellMar>
            <w:top w:w="0" w:type="dxa"/>
            <w:left w:w="0" w:type="dxa"/>
            <w:bottom w:w="0" w:type="dxa"/>
            <w:right w:w="0" w:type="dxa"/>
          </w:tblCellMar>
        </w:tblPrEx>
        <w:trPr>
          <w:trHeight w:val="55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kern w:val="0"/>
                <w:sz w:val="21"/>
                <w:szCs w:val="21"/>
                <w:u w:val="none"/>
                <w:lang w:val="en-US" w:eastAsia="zh-CN" w:bidi="ar"/>
              </w:rPr>
            </w:pPr>
            <w:r>
              <w:rPr>
                <w:rFonts w:hint="default" w:ascii="宋体" w:hAnsi="宋体" w:eastAsia="宋体" w:cs="宋体"/>
                <w:b/>
                <w:i w:val="0"/>
                <w:color w:val="191919"/>
                <w:kern w:val="0"/>
                <w:sz w:val="21"/>
                <w:szCs w:val="21"/>
                <w:u w:val="none"/>
                <w:lang w:val="en-US" w:eastAsia="zh-CN" w:bidi="ar"/>
              </w:rPr>
              <w:t>出口目的地</w:t>
            </w:r>
          </w:p>
        </w:tc>
        <w:tc>
          <w:tcPr>
            <w:tcW w:w="1800"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191919"/>
                <w:kern w:val="0"/>
                <w:sz w:val="21"/>
                <w:szCs w:val="21"/>
                <w:u w:val="none"/>
                <w:lang w:val="en-US" w:eastAsia="zh-CN" w:bidi="ar"/>
              </w:rPr>
            </w:pPr>
            <w:r>
              <w:rPr>
                <w:rFonts w:hint="default" w:ascii="宋体" w:hAnsi="宋体" w:eastAsia="宋体" w:cs="宋体"/>
                <w:b/>
                <w:i w:val="0"/>
                <w:color w:val="191919"/>
                <w:kern w:val="0"/>
                <w:sz w:val="21"/>
                <w:szCs w:val="21"/>
                <w:u w:val="none"/>
                <w:lang w:val="en-US" w:eastAsia="zh-CN" w:bidi="ar"/>
              </w:rPr>
              <w:t>数量</w:t>
            </w:r>
          </w:p>
        </w:tc>
        <w:tc>
          <w:tcPr>
            <w:tcW w:w="1978"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191919"/>
                <w:kern w:val="0"/>
                <w:sz w:val="21"/>
                <w:szCs w:val="21"/>
                <w:u w:val="none"/>
                <w:lang w:val="en-US" w:eastAsia="zh-CN" w:bidi="ar"/>
              </w:rPr>
            </w:pPr>
            <w:r>
              <w:rPr>
                <w:rFonts w:hint="default" w:ascii="宋体" w:hAnsi="宋体" w:eastAsia="宋体" w:cs="宋体"/>
                <w:b/>
                <w:i w:val="0"/>
                <w:color w:val="191919"/>
                <w:kern w:val="0"/>
                <w:sz w:val="21"/>
                <w:szCs w:val="21"/>
                <w:u w:val="none"/>
                <w:lang w:val="en-US" w:eastAsia="zh-CN" w:bidi="ar"/>
              </w:rPr>
              <w:t>单位</w:t>
            </w:r>
          </w:p>
        </w:tc>
        <w:tc>
          <w:tcPr>
            <w:tcW w:w="3095" w:type="dxa"/>
            <w:tcBorders>
              <w:top w:val="single" w:color="000000" w:sz="8" w:space="0"/>
              <w:left w:val="single" w:color="000000" w:sz="8" w:space="0"/>
              <w:bottom w:val="single" w:color="000000" w:sz="8" w:space="0"/>
              <w:right w:val="single" w:color="000000" w:sz="8"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191919"/>
                <w:kern w:val="0"/>
                <w:sz w:val="21"/>
                <w:szCs w:val="21"/>
                <w:u w:val="none"/>
                <w:lang w:val="en-US" w:eastAsia="zh-CN" w:bidi="ar"/>
              </w:rPr>
            </w:pPr>
            <w:r>
              <w:rPr>
                <w:rFonts w:hint="default"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784"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菲律宾</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88199.3</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15247582</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马来西亚</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60762.1</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13762326</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蒙古</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974.3</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322485</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缅甸</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4413.6</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2508367</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墨西哥</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68258.1</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10627301</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日本</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39384.8</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5957488</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新加坡</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355567.1</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81689702</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印度尼西亚</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32120.4</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4838526</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越南</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20005</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9681438</w:t>
            </w:r>
          </w:p>
        </w:tc>
      </w:tr>
      <w:tr>
        <w:tblPrEx>
          <w:tblCellMar>
            <w:top w:w="0" w:type="dxa"/>
            <w:left w:w="0" w:type="dxa"/>
            <w:bottom w:w="0" w:type="dxa"/>
            <w:right w:w="0" w:type="dxa"/>
          </w:tblCellMar>
        </w:tblPrEx>
        <w:trPr>
          <w:trHeight w:val="825" w:hRule="atLeast"/>
        </w:trPr>
        <w:tc>
          <w:tcPr>
            <w:tcW w:w="24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中国澳门</w:t>
            </w:r>
          </w:p>
        </w:tc>
        <w:tc>
          <w:tcPr>
            <w:tcW w:w="180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5953.6</w:t>
            </w:r>
          </w:p>
        </w:tc>
        <w:tc>
          <w:tcPr>
            <w:tcW w:w="1978"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吨</w:t>
            </w:r>
          </w:p>
        </w:tc>
        <w:tc>
          <w:tcPr>
            <w:tcW w:w="309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191919"/>
                <w:kern w:val="0"/>
                <w:sz w:val="21"/>
                <w:szCs w:val="21"/>
                <w:u w:val="none"/>
                <w:lang w:val="en-US" w:eastAsia="zh-CN" w:bidi="ar"/>
              </w:rPr>
            </w:pPr>
            <w:r>
              <w:rPr>
                <w:rFonts w:hint="default" w:ascii="宋体" w:hAnsi="宋体" w:eastAsia="宋体" w:cs="宋体"/>
                <w:i w:val="0"/>
                <w:color w:val="191919"/>
                <w:kern w:val="0"/>
                <w:sz w:val="21"/>
                <w:szCs w:val="21"/>
                <w:u w:val="none"/>
                <w:lang w:val="en-US" w:eastAsia="zh-CN" w:bidi="ar"/>
              </w:rPr>
              <w:t>2202844</w:t>
            </w:r>
          </w:p>
        </w:tc>
      </w:tr>
    </w:tbl>
    <w:p>
      <w:pPr>
        <w:rPr>
          <w:rFonts w:hint="eastAsia"/>
          <w:bCs/>
          <w:szCs w:val="21"/>
        </w:rPr>
      </w:pPr>
    </w:p>
    <w:p>
      <w:pPr>
        <w:rPr>
          <w:rFonts w:hint="eastAsia"/>
        </w:rPr>
      </w:pPr>
      <w:bookmarkStart w:id="18" w:name="_Toc533771876"/>
    </w:p>
    <w:p>
      <w:pPr>
        <w:rPr>
          <w:rFonts w:hint="eastAsia"/>
        </w:rPr>
      </w:pPr>
    </w:p>
    <w:p>
      <w:pPr>
        <w:rPr>
          <w:rFonts w:hint="eastAsia"/>
        </w:rPr>
      </w:pPr>
    </w:p>
    <w:p>
      <w:pPr>
        <w:pStyle w:val="3"/>
        <w:spacing w:before="120" w:after="120" w:line="240" w:lineRule="auto"/>
        <w:rPr>
          <w:rFonts w:hint="eastAsia" w:ascii="宋体" w:hAnsi="宋体"/>
          <w:b/>
          <w:sz w:val="30"/>
          <w:szCs w:val="30"/>
        </w:rPr>
      </w:pPr>
      <w:r>
        <w:rPr>
          <w:rFonts w:hint="eastAsia" w:ascii="宋体" w:hAnsi="宋体"/>
          <w:b/>
          <w:sz w:val="30"/>
          <w:szCs w:val="30"/>
        </w:rPr>
        <w:t>4.2 201</w:t>
      </w:r>
      <w:r>
        <w:rPr>
          <w:rFonts w:hint="eastAsia" w:ascii="宋体" w:hAnsi="宋体"/>
          <w:b/>
          <w:sz w:val="30"/>
          <w:szCs w:val="30"/>
          <w:lang w:val="en-US" w:eastAsia="zh-CN"/>
        </w:rPr>
        <w:t>8</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月份全国轻柴油进出口统计数据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0"/>
        <w:gridCol w:w="1726"/>
        <w:gridCol w:w="1726"/>
        <w:gridCol w:w="1882"/>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shd w:val="clear" w:color="auto" w:fill="00CCFF"/>
            <w:vAlign w:val="center"/>
          </w:tcPr>
          <w:p>
            <w:pPr>
              <w:keepNext w:val="0"/>
              <w:keepLines w:val="0"/>
              <w:widowControl/>
              <w:suppressLineNumbers w:val="0"/>
              <w:jc w:val="center"/>
              <w:textAlignment w:val="center"/>
              <w:rPr>
                <w:bCs/>
                <w:color w:val="00B0F0"/>
                <w:szCs w:val="21"/>
              </w:rPr>
            </w:pPr>
            <w:r>
              <w:rPr>
                <w:rFonts w:hint="eastAsia" w:ascii="宋体" w:hAnsi="宋体" w:eastAsia="宋体" w:cs="宋体"/>
                <w:b/>
                <w:i w:val="0"/>
                <w:color w:val="191919"/>
                <w:kern w:val="0"/>
                <w:sz w:val="21"/>
                <w:szCs w:val="21"/>
                <w:u w:val="none"/>
                <w:lang w:val="en-US" w:eastAsia="zh-CN" w:bidi="ar"/>
              </w:rPr>
              <w:t>产销国</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进口数量</w:t>
            </w:r>
          </w:p>
        </w:tc>
        <w:tc>
          <w:tcPr>
            <w:tcW w:w="1726"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进口美元</w:t>
            </w:r>
          </w:p>
        </w:tc>
        <w:tc>
          <w:tcPr>
            <w:tcW w:w="1882"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出口数量</w:t>
            </w:r>
          </w:p>
        </w:tc>
        <w:tc>
          <w:tcPr>
            <w:tcW w:w="1688" w:type="dxa"/>
            <w:shd w:val="clear" w:color="auto" w:fill="00CCFF"/>
            <w:vAlign w:val="center"/>
          </w:tcPr>
          <w:p>
            <w:pPr>
              <w:keepNext w:val="0"/>
              <w:keepLines w:val="0"/>
              <w:widowControl/>
              <w:suppressLineNumbers w:val="0"/>
              <w:jc w:val="center"/>
              <w:textAlignment w:val="center"/>
              <w:rPr>
                <w:bCs/>
                <w:szCs w:val="21"/>
              </w:rPr>
            </w:pPr>
            <w:r>
              <w:rPr>
                <w:rFonts w:hint="eastAsia" w:ascii="宋体" w:hAnsi="宋体" w:eastAsia="宋体" w:cs="宋体"/>
                <w:b/>
                <w:i w:val="0"/>
                <w:color w:val="191919"/>
                <w:kern w:val="0"/>
                <w:sz w:val="21"/>
                <w:szCs w:val="21"/>
                <w:u w:val="none"/>
                <w:lang w:val="en-US" w:eastAsia="zh-CN" w:bidi="ar"/>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孟加拉国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105125.293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69892814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缅甸</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18170.052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12976857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塞浦路斯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966.84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759340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香港</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262963.309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179445201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印度尼西亚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64576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日本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327750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老挝</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63.913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47224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澳门</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6847.894</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4588089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马来西亚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3995.198</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2556927</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94.515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77748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巴基斯坦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74.2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61438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菲律宾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175973.373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119332061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新加坡</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499.536</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399629</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270770.818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188315354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韩国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49882.569</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34382246</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173054.409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117620635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泰国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82.765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72922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土耳其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32.8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27060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越南</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41937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28282001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台澎金马关税区</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利比里亚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4541.022</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3624752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多哥</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比利时</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139.8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125261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丹麦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509.5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423410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英国</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981.955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787173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意大利</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180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130290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荷兰</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40755.789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26653192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希腊</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384.8</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313417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葡萄牙</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224.073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156493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直布罗陀</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114.5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82350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马耳他</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1318.39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1072844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挪威</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216.847</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165273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摩尔多瓦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367.5</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294000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俄罗斯联邦</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90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72475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克罗地亚</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安提瓜和巴布达</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263.103</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206211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巴哈马</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506.059</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397552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伯利兹</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20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90"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多米尼克</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726"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0</w:t>
            </w:r>
          </w:p>
        </w:tc>
        <w:tc>
          <w:tcPr>
            <w:tcW w:w="1882"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170</w:t>
            </w:r>
          </w:p>
        </w:tc>
        <w:tc>
          <w:tcPr>
            <w:tcW w:w="1688" w:type="dxa"/>
            <w:vAlign w:val="center"/>
          </w:tcPr>
          <w:p>
            <w:pPr>
              <w:keepNext w:val="0"/>
              <w:keepLines w:val="0"/>
              <w:widowControl/>
              <w:suppressLineNumbers w:val="0"/>
              <w:jc w:val="center"/>
              <w:textAlignment w:val="center"/>
              <w:rPr>
                <w:bCs/>
                <w:szCs w:val="21"/>
              </w:rPr>
            </w:pPr>
            <w:r>
              <w:rPr>
                <w:rFonts w:hint="eastAsia" w:ascii="宋体" w:hAnsi="宋体" w:eastAsia="宋体" w:cs="宋体"/>
                <w:i w:val="0"/>
                <w:color w:val="191919"/>
                <w:kern w:val="0"/>
                <w:sz w:val="21"/>
                <w:szCs w:val="21"/>
                <w:u w:val="none"/>
                <w:lang w:val="en-US" w:eastAsia="zh-CN" w:bidi="ar"/>
              </w:rPr>
              <w:t>136400</w:t>
            </w:r>
          </w:p>
        </w:tc>
      </w:tr>
    </w:tbl>
    <w:p>
      <w:pPr>
        <w:pStyle w:val="3"/>
        <w:spacing w:before="120" w:after="120" w:line="240" w:lineRule="auto"/>
        <w:rPr>
          <w:rFonts w:hint="eastAsia" w:ascii="宋体" w:hAnsi="宋体"/>
          <w:b/>
          <w:sz w:val="30"/>
          <w:szCs w:val="30"/>
        </w:rPr>
      </w:pPr>
      <w:bookmarkStart w:id="19" w:name="_Toc533771877"/>
      <w:bookmarkStart w:id="20" w:name="_Toc533771879"/>
    </w:p>
    <w:p>
      <w:pPr>
        <w:pStyle w:val="3"/>
        <w:spacing w:before="120" w:after="120" w:line="240" w:lineRule="auto"/>
        <w:rPr>
          <w:rFonts w:hint="eastAsia" w:ascii="宋体" w:hAnsi="宋体"/>
          <w:b/>
          <w:sz w:val="30"/>
          <w:szCs w:val="30"/>
        </w:rPr>
      </w:pPr>
    </w:p>
    <w:bookmarkEnd w:id="19"/>
    <w:p>
      <w:pPr>
        <w:pStyle w:val="3"/>
        <w:spacing w:before="120" w:after="120" w:line="240" w:lineRule="auto"/>
        <w:rPr>
          <w:rFonts w:hint="eastAsia" w:ascii="宋体" w:hAnsi="宋体"/>
          <w:b/>
          <w:sz w:val="30"/>
          <w:szCs w:val="30"/>
        </w:rPr>
      </w:pPr>
      <w:bookmarkStart w:id="21" w:name="_Toc533771878"/>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月份全国原油进出口统计数据</w:t>
      </w:r>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bCs/>
          <w:szCs w:val="21"/>
        </w:rPr>
      </w:pPr>
    </w:p>
    <w:tbl>
      <w:tblPr>
        <w:tblStyle w:val="24"/>
        <w:tblW w:w="9286" w:type="dxa"/>
        <w:tblInd w:w="0" w:type="dxa"/>
        <w:shd w:val="clear" w:color="auto" w:fill="auto"/>
        <w:tblLayout w:type="autofit"/>
        <w:tblCellMar>
          <w:top w:w="0" w:type="dxa"/>
          <w:left w:w="0" w:type="dxa"/>
          <w:bottom w:w="0" w:type="dxa"/>
          <w:right w:w="0" w:type="dxa"/>
        </w:tblCellMar>
      </w:tblPr>
      <w:tblGrid>
        <w:gridCol w:w="2070"/>
        <w:gridCol w:w="2070"/>
        <w:gridCol w:w="1942"/>
        <w:gridCol w:w="1554"/>
        <w:gridCol w:w="1650"/>
      </w:tblGrid>
      <w:tr>
        <w:tblPrEx>
          <w:shd w:val="clear" w:color="auto" w:fill="auto"/>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产销国</w:t>
            </w:r>
          </w:p>
        </w:tc>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进口数量/吨</w:t>
            </w:r>
          </w:p>
        </w:tc>
        <w:tc>
          <w:tcPr>
            <w:tcW w:w="1942"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进口金额/美元</w:t>
            </w:r>
          </w:p>
        </w:tc>
        <w:tc>
          <w:tcPr>
            <w:tcW w:w="1554"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出口数量/吨</w:t>
            </w:r>
          </w:p>
        </w:tc>
        <w:tc>
          <w:tcPr>
            <w:tcW w:w="165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出口金额/美元</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阿联酋</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3249630.95</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678470714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阿曼</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3243765.35</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769446233</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阿塞拜疆</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1226616.51</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278607639</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埃及</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277238.07</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59939407</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安哥拉</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2926383.21</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614759405</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澳大利亚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278618.93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76201056</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巴布亚新几内亚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38570.99</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8287760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巴西</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2333209.11</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512280406</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赤道几内亚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192123.04</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32096348</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俄罗斯联邦</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7707715.98</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1514823693</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厄瓜多尔</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36301.27</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7200000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刚果(布)</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649412.49</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116163187</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哥伦比亚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904160.68</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153081889</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圭亚那</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131302.04</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34449002</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哈萨克斯坦</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292918.3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41946424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加拿大</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170344.04</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35628016</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加纳</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391588.99</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72512722</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加蓬</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756160.1</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180294417</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喀麦隆</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261321.1</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37939615</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卡塔尔</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466837.73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88939055</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科威特</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2215069.06</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387342785</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马来西亚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1006532.32</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155975331</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美国</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549839.35</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125618174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蒙古</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23635.13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2873988</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南苏丹共和国</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82100.5</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18015030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尼日利亚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104205.53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20598904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挪威</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255928</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59738464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沙特阿拉伯</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9164983.54</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1640287729</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泰国</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38121.03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5206464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土库曼斯坦</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11495.43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4111450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也门</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74664.43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20957585</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伊拉克</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6962503.82</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1339873340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伊朗</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256813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42380276</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55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印度尼西亚</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305166.26</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52258599</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英国</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957123.45</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184300309</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越南</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161027.82</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33546940</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乍得</w:t>
            </w:r>
          </w:p>
        </w:tc>
        <w:tc>
          <w:tcPr>
            <w:tcW w:w="207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265695.83</w:t>
            </w:r>
          </w:p>
        </w:tc>
        <w:tc>
          <w:tcPr>
            <w:tcW w:w="1942"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62421434</w:t>
            </w:r>
          </w:p>
        </w:tc>
        <w:tc>
          <w:tcPr>
            <w:tcW w:w="1554"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c>
          <w:tcPr>
            <w:tcW w:w="165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191919"/>
                <w:sz w:val="22"/>
                <w:szCs w:val="22"/>
                <w:u w:val="none"/>
              </w:rPr>
            </w:pPr>
            <w:r>
              <w:rPr>
                <w:rFonts w:hint="eastAsia" w:ascii="宋体" w:hAnsi="宋体" w:eastAsia="宋体" w:cs="宋体"/>
                <w:i w:val="0"/>
                <w:color w:val="191919"/>
                <w:kern w:val="0"/>
                <w:sz w:val="22"/>
                <w:szCs w:val="22"/>
                <w:u w:val="none"/>
                <w:lang w:val="en-US" w:eastAsia="zh-CN" w:bidi="ar"/>
              </w:rPr>
              <w:t>—</w:t>
            </w:r>
          </w:p>
        </w:tc>
      </w:tr>
      <w:tr>
        <w:tblPrEx>
          <w:tblCellMar>
            <w:top w:w="0" w:type="dxa"/>
            <w:left w:w="0" w:type="dxa"/>
            <w:bottom w:w="0" w:type="dxa"/>
            <w:right w:w="0" w:type="dxa"/>
          </w:tblCellMar>
        </w:tblPrEx>
        <w:trPr>
          <w:trHeight w:val="285" w:hRule="atLeast"/>
        </w:trPr>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合计</w:t>
            </w:r>
          </w:p>
        </w:tc>
        <w:tc>
          <w:tcPr>
            <w:tcW w:w="207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47969123.39</w:t>
            </w:r>
          </w:p>
        </w:tc>
        <w:tc>
          <w:tcPr>
            <w:tcW w:w="1942"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9468573790</w:t>
            </w:r>
          </w:p>
        </w:tc>
        <w:tc>
          <w:tcPr>
            <w:tcW w:w="1554"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0</w:t>
            </w:r>
          </w:p>
        </w:tc>
        <w:tc>
          <w:tcPr>
            <w:tcW w:w="165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191919"/>
                <w:sz w:val="22"/>
                <w:szCs w:val="22"/>
                <w:u w:val="none"/>
              </w:rPr>
            </w:pPr>
            <w:r>
              <w:rPr>
                <w:rFonts w:hint="eastAsia" w:ascii="宋体" w:hAnsi="宋体" w:eastAsia="宋体" w:cs="宋体"/>
                <w:b/>
                <w:i w:val="0"/>
                <w:color w:val="191919"/>
                <w:kern w:val="0"/>
                <w:sz w:val="22"/>
                <w:szCs w:val="22"/>
                <w:u w:val="none"/>
                <w:lang w:val="en-US" w:eastAsia="zh-CN" w:bidi="ar"/>
              </w:rPr>
              <w:t>0</w:t>
            </w:r>
          </w:p>
        </w:tc>
      </w:tr>
    </w:tbl>
    <w:p>
      <w:pPr>
        <w:rPr>
          <w:rFonts w:hint="eastAsia"/>
          <w:bCs/>
          <w:szCs w:val="21"/>
        </w:rPr>
      </w:pPr>
    </w:p>
    <w:p>
      <w:pPr>
        <w:pStyle w:val="3"/>
        <w:spacing w:before="120" w:after="120" w:line="240" w:lineRule="auto"/>
        <w:rPr>
          <w:rFonts w:hint="eastAsia" w:ascii="宋体" w:hAnsi="宋体"/>
          <w:b/>
          <w:sz w:val="30"/>
          <w:szCs w:val="30"/>
        </w:rPr>
      </w:pPr>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5</w:t>
      </w:r>
      <w:r>
        <w:rPr>
          <w:rFonts w:hint="eastAsia" w:ascii="宋体" w:hAnsi="宋体"/>
          <w:b/>
          <w:sz w:val="30"/>
          <w:szCs w:val="30"/>
        </w:rPr>
        <w:t>月份全国航空煤油进出口统计数据</w:t>
      </w:r>
      <w:bookmarkEnd w:id="21"/>
    </w:p>
    <w:p>
      <w:pPr>
        <w:ind w:firstLine="420" w:firstLineChars="200"/>
        <w:jc w:val="left"/>
      </w:pPr>
      <w:r>
        <w:rPr>
          <w:rFonts w:hint="eastAsia" w:ascii="宋体" w:hAnsi="宋体"/>
        </w:rPr>
        <w:t>单位：</w:t>
      </w:r>
      <w:r>
        <w:rPr>
          <w:rFonts w:hint="eastAsia" w:ascii="宋体" w:hAnsi="宋体"/>
          <w:lang w:eastAsia="zh-CN"/>
        </w:rPr>
        <w:t>吨</w:t>
      </w:r>
      <w:r>
        <w:rPr>
          <w:rFonts w:hint="eastAsia" w:ascii="宋体" w:hAnsi="宋体"/>
        </w:rPr>
        <w:t>，美元</w:t>
      </w:r>
    </w:p>
    <w:p>
      <w:pPr>
        <w:pStyle w:val="3"/>
        <w:spacing w:before="120" w:after="120" w:line="240" w:lineRule="auto"/>
        <w:rPr>
          <w:rFonts w:hint="eastAsia" w:ascii="宋体" w:hAnsi="宋体"/>
          <w:b/>
          <w:sz w:val="30"/>
          <w:szCs w:val="30"/>
        </w:rPr>
      </w:pPr>
    </w:p>
    <w:bookmarkEnd w:id="20"/>
    <w:tbl>
      <w:tblPr>
        <w:tblStyle w:val="24"/>
        <w:tblW w:w="9286" w:type="dxa"/>
        <w:tblInd w:w="0" w:type="dxa"/>
        <w:shd w:val="clear" w:color="auto" w:fill="auto"/>
        <w:tblLayout w:type="fixed"/>
        <w:tblCellMar>
          <w:top w:w="0" w:type="dxa"/>
          <w:left w:w="0" w:type="dxa"/>
          <w:bottom w:w="0" w:type="dxa"/>
          <w:right w:w="0" w:type="dxa"/>
        </w:tblCellMar>
      </w:tblPr>
      <w:tblGrid>
        <w:gridCol w:w="2291"/>
        <w:gridCol w:w="1841"/>
        <w:gridCol w:w="1813"/>
        <w:gridCol w:w="1541"/>
        <w:gridCol w:w="1800"/>
      </w:tblGrid>
      <w:tr>
        <w:tblPrEx>
          <w:shd w:val="clear" w:color="auto" w:fill="auto"/>
          <w:tblCellMar>
            <w:top w:w="0" w:type="dxa"/>
            <w:left w:w="0" w:type="dxa"/>
            <w:bottom w:w="0" w:type="dxa"/>
            <w:right w:w="0" w:type="dxa"/>
          </w:tblCellMar>
        </w:tblPrEx>
        <w:trPr>
          <w:trHeight w:val="525" w:hRule="atLeast"/>
        </w:trPr>
        <w:tc>
          <w:tcPr>
            <w:tcW w:w="2291"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国家</w:t>
            </w:r>
          </w:p>
        </w:tc>
        <w:tc>
          <w:tcPr>
            <w:tcW w:w="1841"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进口数量/吨</w:t>
            </w:r>
          </w:p>
        </w:tc>
        <w:tc>
          <w:tcPr>
            <w:tcW w:w="1813"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进口金额/美元</w:t>
            </w:r>
          </w:p>
        </w:tc>
        <w:tc>
          <w:tcPr>
            <w:tcW w:w="1541"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出口数量/吨</w:t>
            </w:r>
          </w:p>
        </w:tc>
        <w:tc>
          <w:tcPr>
            <w:tcW w:w="180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出口金额/美元</w:t>
            </w:r>
          </w:p>
        </w:tc>
      </w:tr>
      <w:tr>
        <w:tblPrEx>
          <w:tblCellMar>
            <w:top w:w="0" w:type="dxa"/>
            <w:left w:w="0" w:type="dxa"/>
            <w:bottom w:w="0" w:type="dxa"/>
            <w:right w:w="0" w:type="dxa"/>
          </w:tblCellMar>
        </w:tblPrEx>
        <w:trPr>
          <w:trHeight w:val="30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阿联酋</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10093.668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4263199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阿曼</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41.448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22437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阿塞拜疆</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4027.561</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1732613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埃塞俄比亚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5391.337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2303094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爱沙尼亚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44.986</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20108</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奥地利</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1551.085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644600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澳大利亚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40833.494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7308756</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巴基斯坦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432.398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210892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比利时</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2298.7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999842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波兰</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381.453</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164011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丹麦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37.809</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16221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德国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6458.091</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2715649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俄罗斯联邦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15473.362</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6912782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法国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1818.21</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772575</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菲律宾</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151.374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64600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芬兰</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968.198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412154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格鲁吉亚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92.225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49923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哈萨克斯坦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1241.057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587494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韩国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320636.947</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59545598</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130403.986</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43172923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荷兰</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37218.881</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10958642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吉尔吉斯斯坦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33.008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17868</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加拿大</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41.736</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17599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柬埔寨</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2390.014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1136768</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卡塔尔</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7139.974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3047447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拉脱维亚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44.372</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19967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卢森堡</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19833.558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8955213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罗马尼亚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294.9</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131974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马来西亚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23706.314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4522536</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美国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25732.596</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11674190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蒙古</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99.295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41990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孟加拉国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36197.775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10644475</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葡萄牙</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96.952</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42659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日本</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39637.264</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9719670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38793.301</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14964957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瑞典</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57.115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24370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瑞士</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4006.452</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1663892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塞尔维亚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112.544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55861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斯里兰卡</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589.033</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248501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斯洛伐克</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58.654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26237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斯洛文尼亚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93.545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41361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泰国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15035.504</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3352917</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4139.168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2128612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土耳其</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1751.845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783174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乌克兰</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50.985</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22943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乌兹别克斯坦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1064.833</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460923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西班牙</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2675.58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1236077</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新加坡</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39044.288</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6569595</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7502.257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4268571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新西兰</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2990.34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1272031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伊朗</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9728.449</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5008382</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以色列</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2614.988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1115770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意大利</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921.67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479243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1229.356</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518641</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印度尼西亚</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193.317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82609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英国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22715.068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8669823</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约旦</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18.03</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9760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越南</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25471.473</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4559349</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36494.499</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6629226</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中国澳门</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5.587</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3028</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12.354</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5224</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中国台湾</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628.298</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280565</w:t>
            </w:r>
          </w:p>
        </w:tc>
      </w:tr>
      <w:tr>
        <w:tblPrEx>
          <w:tblCellMar>
            <w:top w:w="0" w:type="dxa"/>
            <w:left w:w="0" w:type="dxa"/>
            <w:bottom w:w="0" w:type="dxa"/>
            <w:right w:w="0" w:type="dxa"/>
          </w:tblCellMar>
        </w:tblPrEx>
        <w:trPr>
          <w:trHeight w:val="270" w:hRule="atLeast"/>
        </w:trPr>
        <w:tc>
          <w:tcPr>
            <w:tcW w:w="229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中国香港</w:t>
            </w:r>
          </w:p>
        </w:tc>
        <w:tc>
          <w:tcPr>
            <w:tcW w:w="18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813"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0</w:t>
            </w:r>
          </w:p>
        </w:tc>
        <w:tc>
          <w:tcPr>
            <w:tcW w:w="1541"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61309.847</w:t>
            </w:r>
          </w:p>
        </w:tc>
        <w:tc>
          <w:tcPr>
            <w:tcW w:w="1800" w:type="dxa"/>
            <w:tcBorders>
              <w:top w:val="single" w:color="333333" w:sz="8" w:space="0"/>
              <w:left w:val="nil"/>
              <w:bottom w:val="single" w:color="333333" w:sz="8" w:space="0"/>
              <w:right w:val="single" w:color="333333" w:sz="8"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191919"/>
                <w:sz w:val="21"/>
                <w:szCs w:val="21"/>
                <w:u w:val="none"/>
              </w:rPr>
            </w:pPr>
            <w:r>
              <w:rPr>
                <w:rFonts w:hint="eastAsia" w:ascii="宋体" w:hAnsi="宋体" w:eastAsia="宋体" w:cs="宋体"/>
                <w:i w:val="0"/>
                <w:color w:val="191919"/>
                <w:kern w:val="0"/>
                <w:sz w:val="21"/>
                <w:szCs w:val="21"/>
                <w:u w:val="none"/>
                <w:lang w:val="en-US" w:eastAsia="zh-CN" w:bidi="ar"/>
              </w:rPr>
              <w:t>28493975</w:t>
            </w:r>
          </w:p>
        </w:tc>
      </w:tr>
      <w:tr>
        <w:tblPrEx>
          <w:tblCellMar>
            <w:top w:w="0" w:type="dxa"/>
            <w:left w:w="0" w:type="dxa"/>
            <w:bottom w:w="0" w:type="dxa"/>
            <w:right w:w="0" w:type="dxa"/>
          </w:tblCellMar>
        </w:tblPrEx>
        <w:trPr>
          <w:trHeight w:val="300" w:hRule="atLeast"/>
        </w:trPr>
        <w:tc>
          <w:tcPr>
            <w:tcW w:w="2291" w:type="dxa"/>
            <w:tcBorders>
              <w:top w:val="single" w:color="333333" w:sz="8" w:space="0"/>
              <w:left w:val="single" w:color="333333" w:sz="8" w:space="0"/>
              <w:bottom w:val="single" w:color="333333" w:sz="8" w:space="0"/>
              <w:right w:val="single" w:color="333333" w:sz="8" w:space="0"/>
            </w:tcBorders>
            <w:shd w:val="clear" w:color="auto" w:fill="00CCFF"/>
            <w:tcMar>
              <w:top w:w="15" w:type="dxa"/>
              <w:left w:w="15" w:type="dxa"/>
              <w:right w:w="15" w:type="dxa"/>
            </w:tcMar>
            <w:vAlign w:val="center"/>
          </w:tcPr>
          <w:p>
            <w:pPr>
              <w:rPr>
                <w:rFonts w:hint="eastAsia" w:ascii="宋体" w:hAnsi="宋体" w:eastAsia="宋体" w:cs="宋体"/>
                <w:b/>
                <w:i w:val="0"/>
                <w:color w:val="191919"/>
                <w:sz w:val="21"/>
                <w:szCs w:val="21"/>
                <w:u w:val="none"/>
              </w:rPr>
            </w:pPr>
          </w:p>
        </w:tc>
        <w:tc>
          <w:tcPr>
            <w:tcW w:w="1841"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450854.089</w:t>
            </w:r>
          </w:p>
        </w:tc>
        <w:tc>
          <w:tcPr>
            <w:tcW w:w="1813"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85820034</w:t>
            </w:r>
          </w:p>
        </w:tc>
        <w:tc>
          <w:tcPr>
            <w:tcW w:w="1541"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563298.319</w:t>
            </w:r>
          </w:p>
        </w:tc>
        <w:tc>
          <w:tcPr>
            <w:tcW w:w="1800" w:type="dxa"/>
            <w:tcBorders>
              <w:top w:val="single" w:color="333333" w:sz="8" w:space="0"/>
              <w:left w:val="nil"/>
              <w:bottom w:val="single" w:color="333333" w:sz="8" w:space="0"/>
              <w:right w:val="single" w:color="333333" w:sz="8" w:space="0"/>
            </w:tcBorders>
            <w:shd w:val="clear" w:color="auto" w:fill="00CC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191919"/>
                <w:sz w:val="21"/>
                <w:szCs w:val="21"/>
                <w:u w:val="none"/>
              </w:rPr>
            </w:pPr>
            <w:r>
              <w:rPr>
                <w:rFonts w:hint="eastAsia" w:ascii="宋体" w:hAnsi="宋体" w:eastAsia="宋体" w:cs="宋体"/>
                <w:b/>
                <w:i w:val="0"/>
                <w:color w:val="191919"/>
                <w:kern w:val="0"/>
                <w:sz w:val="21"/>
                <w:szCs w:val="21"/>
                <w:u w:val="none"/>
                <w:lang w:val="en-US" w:eastAsia="zh-CN" w:bidi="ar"/>
              </w:rPr>
              <w:t>200006052</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1566DFC1"/>
    <w:multiLevelType w:val="singleLevel"/>
    <w:tmpl w:val="1566DFC1"/>
    <w:lvl w:ilvl="0" w:tentative="0">
      <w:start w:val="1"/>
      <w:numFmt w:val="decimal"/>
      <w:lvlText w:val="%1."/>
      <w:lvlJc w:val="left"/>
      <w:pPr>
        <w:tabs>
          <w:tab w:val="left" w:pos="312"/>
        </w:tabs>
      </w:pPr>
    </w:lvl>
  </w:abstractNum>
  <w:abstractNum w:abstractNumId="3">
    <w:nsid w:val="2263F9C1"/>
    <w:multiLevelType w:val="singleLevel"/>
    <w:tmpl w:val="2263F9C1"/>
    <w:lvl w:ilvl="0" w:tentative="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74199B"/>
    <w:rsid w:val="018C042F"/>
    <w:rsid w:val="019139BB"/>
    <w:rsid w:val="01A95B6A"/>
    <w:rsid w:val="01BD1D63"/>
    <w:rsid w:val="01FE2CFE"/>
    <w:rsid w:val="02526173"/>
    <w:rsid w:val="029A6633"/>
    <w:rsid w:val="029F2908"/>
    <w:rsid w:val="02AC60AA"/>
    <w:rsid w:val="02D71373"/>
    <w:rsid w:val="02D85611"/>
    <w:rsid w:val="02FE589D"/>
    <w:rsid w:val="031B1C80"/>
    <w:rsid w:val="03211A1D"/>
    <w:rsid w:val="0324523D"/>
    <w:rsid w:val="03331E75"/>
    <w:rsid w:val="034407FB"/>
    <w:rsid w:val="034F6246"/>
    <w:rsid w:val="03562125"/>
    <w:rsid w:val="035F2635"/>
    <w:rsid w:val="036D5E24"/>
    <w:rsid w:val="037413B6"/>
    <w:rsid w:val="03A57F11"/>
    <w:rsid w:val="042972F1"/>
    <w:rsid w:val="044E5434"/>
    <w:rsid w:val="04684ED7"/>
    <w:rsid w:val="048101D3"/>
    <w:rsid w:val="048C7CAA"/>
    <w:rsid w:val="04987F00"/>
    <w:rsid w:val="04A45D71"/>
    <w:rsid w:val="04BF7371"/>
    <w:rsid w:val="04F36106"/>
    <w:rsid w:val="05292B71"/>
    <w:rsid w:val="05314FD7"/>
    <w:rsid w:val="053B1A3D"/>
    <w:rsid w:val="05C01E8E"/>
    <w:rsid w:val="05D708A6"/>
    <w:rsid w:val="06002DF6"/>
    <w:rsid w:val="06153E6E"/>
    <w:rsid w:val="06300679"/>
    <w:rsid w:val="067746D4"/>
    <w:rsid w:val="069C6A8D"/>
    <w:rsid w:val="06B9287B"/>
    <w:rsid w:val="06DA3028"/>
    <w:rsid w:val="06F31CB3"/>
    <w:rsid w:val="06F93008"/>
    <w:rsid w:val="0718687A"/>
    <w:rsid w:val="07252677"/>
    <w:rsid w:val="076C6634"/>
    <w:rsid w:val="07820AB4"/>
    <w:rsid w:val="079B346A"/>
    <w:rsid w:val="07D15C8A"/>
    <w:rsid w:val="07E76A1F"/>
    <w:rsid w:val="0809715C"/>
    <w:rsid w:val="080A4814"/>
    <w:rsid w:val="0820276D"/>
    <w:rsid w:val="082F1BCD"/>
    <w:rsid w:val="08573B5A"/>
    <w:rsid w:val="086F6B65"/>
    <w:rsid w:val="08A4401C"/>
    <w:rsid w:val="08A55AD2"/>
    <w:rsid w:val="08CD17C0"/>
    <w:rsid w:val="09223CDC"/>
    <w:rsid w:val="09371EEF"/>
    <w:rsid w:val="093F6B95"/>
    <w:rsid w:val="09524755"/>
    <w:rsid w:val="095B63CA"/>
    <w:rsid w:val="09717916"/>
    <w:rsid w:val="098251C0"/>
    <w:rsid w:val="0984738F"/>
    <w:rsid w:val="098C4592"/>
    <w:rsid w:val="09915D75"/>
    <w:rsid w:val="0996332C"/>
    <w:rsid w:val="09F11ACB"/>
    <w:rsid w:val="09FB6243"/>
    <w:rsid w:val="0A29795D"/>
    <w:rsid w:val="0A2D68BE"/>
    <w:rsid w:val="0A3C22BA"/>
    <w:rsid w:val="0A557C07"/>
    <w:rsid w:val="0A5B4AF5"/>
    <w:rsid w:val="0A796F7C"/>
    <w:rsid w:val="0A7B7455"/>
    <w:rsid w:val="0AA33DAF"/>
    <w:rsid w:val="0AB608CB"/>
    <w:rsid w:val="0AC60296"/>
    <w:rsid w:val="0AD32487"/>
    <w:rsid w:val="0B017D09"/>
    <w:rsid w:val="0B0715B1"/>
    <w:rsid w:val="0B0F0B26"/>
    <w:rsid w:val="0B400CB2"/>
    <w:rsid w:val="0B421176"/>
    <w:rsid w:val="0B721C38"/>
    <w:rsid w:val="0B860805"/>
    <w:rsid w:val="0BB16187"/>
    <w:rsid w:val="0BCE6861"/>
    <w:rsid w:val="0BDC4FBC"/>
    <w:rsid w:val="0BDF0A5F"/>
    <w:rsid w:val="0C08318F"/>
    <w:rsid w:val="0C1E7ABD"/>
    <w:rsid w:val="0C586B50"/>
    <w:rsid w:val="0C586E44"/>
    <w:rsid w:val="0C7F402D"/>
    <w:rsid w:val="0C930A24"/>
    <w:rsid w:val="0CB81916"/>
    <w:rsid w:val="0CD123E3"/>
    <w:rsid w:val="0CE32FB8"/>
    <w:rsid w:val="0CE44838"/>
    <w:rsid w:val="0D731CA1"/>
    <w:rsid w:val="0DA370DA"/>
    <w:rsid w:val="0DA7099A"/>
    <w:rsid w:val="0DB01CE1"/>
    <w:rsid w:val="0DC46B30"/>
    <w:rsid w:val="0DC9706D"/>
    <w:rsid w:val="0DD115AA"/>
    <w:rsid w:val="0DEA06F6"/>
    <w:rsid w:val="0E01030B"/>
    <w:rsid w:val="0E04318C"/>
    <w:rsid w:val="0E274301"/>
    <w:rsid w:val="0E31785B"/>
    <w:rsid w:val="0E730195"/>
    <w:rsid w:val="0E8B35C9"/>
    <w:rsid w:val="0EAF107B"/>
    <w:rsid w:val="0EB4347F"/>
    <w:rsid w:val="0EC1627E"/>
    <w:rsid w:val="0ED36950"/>
    <w:rsid w:val="0EED0FC5"/>
    <w:rsid w:val="0EF07619"/>
    <w:rsid w:val="0EF248CA"/>
    <w:rsid w:val="0F034AA6"/>
    <w:rsid w:val="0F08360E"/>
    <w:rsid w:val="0F125E7D"/>
    <w:rsid w:val="0F26373F"/>
    <w:rsid w:val="0F446A41"/>
    <w:rsid w:val="0F5808CC"/>
    <w:rsid w:val="0F666559"/>
    <w:rsid w:val="0F7D42FE"/>
    <w:rsid w:val="0F820E85"/>
    <w:rsid w:val="0FC910AB"/>
    <w:rsid w:val="0FD23F99"/>
    <w:rsid w:val="0FEF79AA"/>
    <w:rsid w:val="101C7D06"/>
    <w:rsid w:val="1024515A"/>
    <w:rsid w:val="1046198D"/>
    <w:rsid w:val="10CE39DE"/>
    <w:rsid w:val="10FA6B68"/>
    <w:rsid w:val="11422692"/>
    <w:rsid w:val="11590029"/>
    <w:rsid w:val="117F7F48"/>
    <w:rsid w:val="1265739D"/>
    <w:rsid w:val="12662947"/>
    <w:rsid w:val="12BE2ADE"/>
    <w:rsid w:val="13267B35"/>
    <w:rsid w:val="134A6D86"/>
    <w:rsid w:val="13594CF7"/>
    <w:rsid w:val="135A728A"/>
    <w:rsid w:val="13772D89"/>
    <w:rsid w:val="138744BB"/>
    <w:rsid w:val="13B45FC3"/>
    <w:rsid w:val="13E7373B"/>
    <w:rsid w:val="13FE142E"/>
    <w:rsid w:val="144B6D3F"/>
    <w:rsid w:val="14546EAA"/>
    <w:rsid w:val="147759A4"/>
    <w:rsid w:val="147A75E5"/>
    <w:rsid w:val="14BC21CE"/>
    <w:rsid w:val="14BE2339"/>
    <w:rsid w:val="14D56BF6"/>
    <w:rsid w:val="14F32D76"/>
    <w:rsid w:val="14F5216B"/>
    <w:rsid w:val="151B73F8"/>
    <w:rsid w:val="15211EFF"/>
    <w:rsid w:val="15353F74"/>
    <w:rsid w:val="154F205D"/>
    <w:rsid w:val="15615E0F"/>
    <w:rsid w:val="156D2843"/>
    <w:rsid w:val="15701AB8"/>
    <w:rsid w:val="159001BC"/>
    <w:rsid w:val="15B939D5"/>
    <w:rsid w:val="15D83B2E"/>
    <w:rsid w:val="15DD70EA"/>
    <w:rsid w:val="15E11AB3"/>
    <w:rsid w:val="15E25134"/>
    <w:rsid w:val="15E8785D"/>
    <w:rsid w:val="16116F4B"/>
    <w:rsid w:val="16600954"/>
    <w:rsid w:val="16734EEE"/>
    <w:rsid w:val="16E22B33"/>
    <w:rsid w:val="16F85570"/>
    <w:rsid w:val="17116BE2"/>
    <w:rsid w:val="17194D7A"/>
    <w:rsid w:val="172078E9"/>
    <w:rsid w:val="172D12A6"/>
    <w:rsid w:val="173C1948"/>
    <w:rsid w:val="17464B66"/>
    <w:rsid w:val="175B5D81"/>
    <w:rsid w:val="17652D76"/>
    <w:rsid w:val="177778D5"/>
    <w:rsid w:val="177C4324"/>
    <w:rsid w:val="18704C74"/>
    <w:rsid w:val="18CA4E8D"/>
    <w:rsid w:val="191B1724"/>
    <w:rsid w:val="194573ED"/>
    <w:rsid w:val="195D29F2"/>
    <w:rsid w:val="196465FF"/>
    <w:rsid w:val="196B6E10"/>
    <w:rsid w:val="198154A5"/>
    <w:rsid w:val="19850C75"/>
    <w:rsid w:val="198A3D94"/>
    <w:rsid w:val="198F27F8"/>
    <w:rsid w:val="199C5ECD"/>
    <w:rsid w:val="19B1121F"/>
    <w:rsid w:val="19E14ABD"/>
    <w:rsid w:val="1A051BC1"/>
    <w:rsid w:val="1A110D84"/>
    <w:rsid w:val="1A555BDB"/>
    <w:rsid w:val="1A660755"/>
    <w:rsid w:val="1A703BC4"/>
    <w:rsid w:val="1A7262E8"/>
    <w:rsid w:val="1ABE2D20"/>
    <w:rsid w:val="1ACC4B7F"/>
    <w:rsid w:val="1AD417D6"/>
    <w:rsid w:val="1AE7665A"/>
    <w:rsid w:val="1B816F9A"/>
    <w:rsid w:val="1B8175D6"/>
    <w:rsid w:val="1B9C1B61"/>
    <w:rsid w:val="1BB46A20"/>
    <w:rsid w:val="1BBD6973"/>
    <w:rsid w:val="1BE81B85"/>
    <w:rsid w:val="1BFE2971"/>
    <w:rsid w:val="1C01336C"/>
    <w:rsid w:val="1C021382"/>
    <w:rsid w:val="1C1669BA"/>
    <w:rsid w:val="1C1C3102"/>
    <w:rsid w:val="1C2230E8"/>
    <w:rsid w:val="1C2E2C8D"/>
    <w:rsid w:val="1C6C7614"/>
    <w:rsid w:val="1CB31F52"/>
    <w:rsid w:val="1CDC7753"/>
    <w:rsid w:val="1CEC4A0D"/>
    <w:rsid w:val="1D1712A0"/>
    <w:rsid w:val="1D2B7B9F"/>
    <w:rsid w:val="1D305274"/>
    <w:rsid w:val="1D3F5714"/>
    <w:rsid w:val="1D466011"/>
    <w:rsid w:val="1D547E28"/>
    <w:rsid w:val="1D655DB6"/>
    <w:rsid w:val="1D980258"/>
    <w:rsid w:val="1D9C1F14"/>
    <w:rsid w:val="1DB113DA"/>
    <w:rsid w:val="1DFB4E0B"/>
    <w:rsid w:val="1E2278F4"/>
    <w:rsid w:val="1E5542CC"/>
    <w:rsid w:val="1E6D6ABE"/>
    <w:rsid w:val="1E755624"/>
    <w:rsid w:val="1EB15364"/>
    <w:rsid w:val="1EBE2AB5"/>
    <w:rsid w:val="1F092A2D"/>
    <w:rsid w:val="1F1C0B32"/>
    <w:rsid w:val="1F352B32"/>
    <w:rsid w:val="1F6B3A34"/>
    <w:rsid w:val="1F751CBE"/>
    <w:rsid w:val="1F963D6D"/>
    <w:rsid w:val="1F98363F"/>
    <w:rsid w:val="1FCD7675"/>
    <w:rsid w:val="1FEF77E1"/>
    <w:rsid w:val="1FFC155B"/>
    <w:rsid w:val="20010BD0"/>
    <w:rsid w:val="20137C9A"/>
    <w:rsid w:val="20261774"/>
    <w:rsid w:val="203A4D2E"/>
    <w:rsid w:val="204030A0"/>
    <w:rsid w:val="205B78B2"/>
    <w:rsid w:val="205C4184"/>
    <w:rsid w:val="206558CE"/>
    <w:rsid w:val="206901B1"/>
    <w:rsid w:val="2078018B"/>
    <w:rsid w:val="209323D8"/>
    <w:rsid w:val="20AD55FF"/>
    <w:rsid w:val="20C12FDC"/>
    <w:rsid w:val="211001E9"/>
    <w:rsid w:val="21147D43"/>
    <w:rsid w:val="2119067D"/>
    <w:rsid w:val="21216F1B"/>
    <w:rsid w:val="215A4604"/>
    <w:rsid w:val="217C7ED4"/>
    <w:rsid w:val="21862B07"/>
    <w:rsid w:val="219A3406"/>
    <w:rsid w:val="21A70D61"/>
    <w:rsid w:val="21B2244C"/>
    <w:rsid w:val="224E7428"/>
    <w:rsid w:val="2261560B"/>
    <w:rsid w:val="227918A6"/>
    <w:rsid w:val="22944164"/>
    <w:rsid w:val="229674ED"/>
    <w:rsid w:val="22AC485D"/>
    <w:rsid w:val="22D174A6"/>
    <w:rsid w:val="22E67532"/>
    <w:rsid w:val="230F16FC"/>
    <w:rsid w:val="231C2E7E"/>
    <w:rsid w:val="232A4048"/>
    <w:rsid w:val="233344E4"/>
    <w:rsid w:val="238E2690"/>
    <w:rsid w:val="239015CD"/>
    <w:rsid w:val="23B946BE"/>
    <w:rsid w:val="23C01773"/>
    <w:rsid w:val="23EF13A7"/>
    <w:rsid w:val="24086432"/>
    <w:rsid w:val="240F1052"/>
    <w:rsid w:val="24322A62"/>
    <w:rsid w:val="24554136"/>
    <w:rsid w:val="245C2B3F"/>
    <w:rsid w:val="24836E94"/>
    <w:rsid w:val="24974A9D"/>
    <w:rsid w:val="24A21A55"/>
    <w:rsid w:val="24BC74B9"/>
    <w:rsid w:val="250D3E66"/>
    <w:rsid w:val="252754C5"/>
    <w:rsid w:val="252D3F69"/>
    <w:rsid w:val="25740BBD"/>
    <w:rsid w:val="25955E96"/>
    <w:rsid w:val="259B6E31"/>
    <w:rsid w:val="25B677AD"/>
    <w:rsid w:val="25B904A8"/>
    <w:rsid w:val="261447E7"/>
    <w:rsid w:val="26417898"/>
    <w:rsid w:val="26442276"/>
    <w:rsid w:val="26AD0D8B"/>
    <w:rsid w:val="26C17431"/>
    <w:rsid w:val="26C545A4"/>
    <w:rsid w:val="26C94300"/>
    <w:rsid w:val="26DF7D7C"/>
    <w:rsid w:val="26EE1723"/>
    <w:rsid w:val="26F154C7"/>
    <w:rsid w:val="27080E2E"/>
    <w:rsid w:val="270D21C6"/>
    <w:rsid w:val="27A7464B"/>
    <w:rsid w:val="28092464"/>
    <w:rsid w:val="282C5A3A"/>
    <w:rsid w:val="283F32F7"/>
    <w:rsid w:val="285E5BE3"/>
    <w:rsid w:val="28611CC2"/>
    <w:rsid w:val="286D2B55"/>
    <w:rsid w:val="28721E59"/>
    <w:rsid w:val="28892109"/>
    <w:rsid w:val="28A325B7"/>
    <w:rsid w:val="28B71571"/>
    <w:rsid w:val="28BA104F"/>
    <w:rsid w:val="28EF11D1"/>
    <w:rsid w:val="295C2D51"/>
    <w:rsid w:val="29A81CD2"/>
    <w:rsid w:val="29A90232"/>
    <w:rsid w:val="29C804D1"/>
    <w:rsid w:val="29CB1410"/>
    <w:rsid w:val="29D84ABC"/>
    <w:rsid w:val="2A1503FE"/>
    <w:rsid w:val="2A215E5E"/>
    <w:rsid w:val="2A252C4C"/>
    <w:rsid w:val="2A3E7B5A"/>
    <w:rsid w:val="2A6B55C6"/>
    <w:rsid w:val="2A8475EE"/>
    <w:rsid w:val="2A951C8C"/>
    <w:rsid w:val="2A9B26F1"/>
    <w:rsid w:val="2AB25451"/>
    <w:rsid w:val="2AC063B7"/>
    <w:rsid w:val="2ACD0874"/>
    <w:rsid w:val="2AD267B8"/>
    <w:rsid w:val="2AD8059C"/>
    <w:rsid w:val="2B0D737C"/>
    <w:rsid w:val="2B0F004D"/>
    <w:rsid w:val="2B154A20"/>
    <w:rsid w:val="2B6638DE"/>
    <w:rsid w:val="2B84406F"/>
    <w:rsid w:val="2B8F58E2"/>
    <w:rsid w:val="2BA07FAD"/>
    <w:rsid w:val="2BE5055C"/>
    <w:rsid w:val="2BED5A7C"/>
    <w:rsid w:val="2BF858F4"/>
    <w:rsid w:val="2BFC6315"/>
    <w:rsid w:val="2BFD5564"/>
    <w:rsid w:val="2C823F4E"/>
    <w:rsid w:val="2CAD067B"/>
    <w:rsid w:val="2CFD0FC0"/>
    <w:rsid w:val="2D050EBF"/>
    <w:rsid w:val="2D2A25A1"/>
    <w:rsid w:val="2D4D17E5"/>
    <w:rsid w:val="2D6F58D8"/>
    <w:rsid w:val="2D892B5C"/>
    <w:rsid w:val="2DB328B9"/>
    <w:rsid w:val="2DC6450C"/>
    <w:rsid w:val="2DE11692"/>
    <w:rsid w:val="2DF5641D"/>
    <w:rsid w:val="2DF644E3"/>
    <w:rsid w:val="2E0D40F5"/>
    <w:rsid w:val="2E2F56E6"/>
    <w:rsid w:val="2E4A7323"/>
    <w:rsid w:val="2E98229F"/>
    <w:rsid w:val="2EA56E95"/>
    <w:rsid w:val="2EA673C9"/>
    <w:rsid w:val="2ECA710C"/>
    <w:rsid w:val="2ED4404D"/>
    <w:rsid w:val="2ED50475"/>
    <w:rsid w:val="2EE365C8"/>
    <w:rsid w:val="2F090AB4"/>
    <w:rsid w:val="2F13732E"/>
    <w:rsid w:val="2FA5716E"/>
    <w:rsid w:val="2FBE7D06"/>
    <w:rsid w:val="2FD85581"/>
    <w:rsid w:val="2FE513F6"/>
    <w:rsid w:val="2FE91ED2"/>
    <w:rsid w:val="2FF22D62"/>
    <w:rsid w:val="30037E76"/>
    <w:rsid w:val="302909D7"/>
    <w:rsid w:val="30320AA9"/>
    <w:rsid w:val="30A00CB5"/>
    <w:rsid w:val="30AF5F22"/>
    <w:rsid w:val="30C14186"/>
    <w:rsid w:val="30E73B0D"/>
    <w:rsid w:val="30FC61C2"/>
    <w:rsid w:val="31363ABC"/>
    <w:rsid w:val="314614BA"/>
    <w:rsid w:val="31490B7D"/>
    <w:rsid w:val="3153679E"/>
    <w:rsid w:val="315F2471"/>
    <w:rsid w:val="3189708E"/>
    <w:rsid w:val="318B1F3D"/>
    <w:rsid w:val="319434F7"/>
    <w:rsid w:val="31994D00"/>
    <w:rsid w:val="31A65E57"/>
    <w:rsid w:val="31AE660C"/>
    <w:rsid w:val="31B05A1F"/>
    <w:rsid w:val="31FC35FB"/>
    <w:rsid w:val="32010D04"/>
    <w:rsid w:val="320A7836"/>
    <w:rsid w:val="324163CA"/>
    <w:rsid w:val="32574FD8"/>
    <w:rsid w:val="325C547C"/>
    <w:rsid w:val="326C29F6"/>
    <w:rsid w:val="327C3888"/>
    <w:rsid w:val="32945DAC"/>
    <w:rsid w:val="32CE45BC"/>
    <w:rsid w:val="32D9201A"/>
    <w:rsid w:val="32E42D0F"/>
    <w:rsid w:val="32E779A4"/>
    <w:rsid w:val="330D4D94"/>
    <w:rsid w:val="33435E16"/>
    <w:rsid w:val="339C5454"/>
    <w:rsid w:val="33DD1D83"/>
    <w:rsid w:val="33FC5F9C"/>
    <w:rsid w:val="34005D95"/>
    <w:rsid w:val="34173060"/>
    <w:rsid w:val="3425323C"/>
    <w:rsid w:val="342E5EA7"/>
    <w:rsid w:val="34474FF1"/>
    <w:rsid w:val="344B3651"/>
    <w:rsid w:val="34B63281"/>
    <w:rsid w:val="34C105B0"/>
    <w:rsid w:val="34CA39B2"/>
    <w:rsid w:val="34D564C3"/>
    <w:rsid w:val="34DC79C0"/>
    <w:rsid w:val="34EC4B86"/>
    <w:rsid w:val="3572663B"/>
    <w:rsid w:val="357D4C50"/>
    <w:rsid w:val="35925B04"/>
    <w:rsid w:val="35963717"/>
    <w:rsid w:val="35AF3549"/>
    <w:rsid w:val="35DA5213"/>
    <w:rsid w:val="35EE7B1B"/>
    <w:rsid w:val="35F65FAD"/>
    <w:rsid w:val="36202050"/>
    <w:rsid w:val="364A7C84"/>
    <w:rsid w:val="36605016"/>
    <w:rsid w:val="366B7A53"/>
    <w:rsid w:val="368259EE"/>
    <w:rsid w:val="36C76D40"/>
    <w:rsid w:val="36F44E23"/>
    <w:rsid w:val="371D2966"/>
    <w:rsid w:val="373062E8"/>
    <w:rsid w:val="37785098"/>
    <w:rsid w:val="37A6234C"/>
    <w:rsid w:val="37AF1535"/>
    <w:rsid w:val="37CB57CA"/>
    <w:rsid w:val="37D337D1"/>
    <w:rsid w:val="37F16302"/>
    <w:rsid w:val="38781C56"/>
    <w:rsid w:val="38C30240"/>
    <w:rsid w:val="38D30895"/>
    <w:rsid w:val="38E95212"/>
    <w:rsid w:val="391C1C7A"/>
    <w:rsid w:val="39465968"/>
    <w:rsid w:val="39600E80"/>
    <w:rsid w:val="399B72BC"/>
    <w:rsid w:val="3A01261A"/>
    <w:rsid w:val="3A1A4CEB"/>
    <w:rsid w:val="3A247020"/>
    <w:rsid w:val="3A366570"/>
    <w:rsid w:val="3A41027E"/>
    <w:rsid w:val="3A446ABC"/>
    <w:rsid w:val="3A481E25"/>
    <w:rsid w:val="3A562007"/>
    <w:rsid w:val="3A632ED3"/>
    <w:rsid w:val="3A6F255F"/>
    <w:rsid w:val="3A90237F"/>
    <w:rsid w:val="3B0A7991"/>
    <w:rsid w:val="3B100A85"/>
    <w:rsid w:val="3B18283A"/>
    <w:rsid w:val="3B336F2F"/>
    <w:rsid w:val="3B691338"/>
    <w:rsid w:val="3BA60160"/>
    <w:rsid w:val="3BB46CD1"/>
    <w:rsid w:val="3BB6128D"/>
    <w:rsid w:val="3BD11411"/>
    <w:rsid w:val="3BD837A5"/>
    <w:rsid w:val="3BED4242"/>
    <w:rsid w:val="3C317DDD"/>
    <w:rsid w:val="3C457CDF"/>
    <w:rsid w:val="3C742BEB"/>
    <w:rsid w:val="3C8E02B7"/>
    <w:rsid w:val="3CB004C5"/>
    <w:rsid w:val="3CB35047"/>
    <w:rsid w:val="3CB47F7E"/>
    <w:rsid w:val="3CB603EF"/>
    <w:rsid w:val="3CD82621"/>
    <w:rsid w:val="3CEA693F"/>
    <w:rsid w:val="3D354C10"/>
    <w:rsid w:val="3D475AFB"/>
    <w:rsid w:val="3D502422"/>
    <w:rsid w:val="3D5404DD"/>
    <w:rsid w:val="3D6341E4"/>
    <w:rsid w:val="3D6A48AA"/>
    <w:rsid w:val="3D7C1281"/>
    <w:rsid w:val="3D8D1DDC"/>
    <w:rsid w:val="3DD2333F"/>
    <w:rsid w:val="3E037731"/>
    <w:rsid w:val="3E0F09D9"/>
    <w:rsid w:val="3E1646C1"/>
    <w:rsid w:val="3E247488"/>
    <w:rsid w:val="3E305EE4"/>
    <w:rsid w:val="3E3D25F5"/>
    <w:rsid w:val="3E4E6762"/>
    <w:rsid w:val="3E752011"/>
    <w:rsid w:val="3E8270FA"/>
    <w:rsid w:val="3E8E2505"/>
    <w:rsid w:val="3E9953AC"/>
    <w:rsid w:val="3F310E2B"/>
    <w:rsid w:val="3F3E5B85"/>
    <w:rsid w:val="3F4D19AF"/>
    <w:rsid w:val="3F837DDF"/>
    <w:rsid w:val="3FA21405"/>
    <w:rsid w:val="3FC04528"/>
    <w:rsid w:val="3FCB012B"/>
    <w:rsid w:val="3FEE1DE8"/>
    <w:rsid w:val="3FFE5EFF"/>
    <w:rsid w:val="40171145"/>
    <w:rsid w:val="402104DC"/>
    <w:rsid w:val="40742438"/>
    <w:rsid w:val="40791098"/>
    <w:rsid w:val="40932E75"/>
    <w:rsid w:val="40BC5D67"/>
    <w:rsid w:val="40F61783"/>
    <w:rsid w:val="410D75D5"/>
    <w:rsid w:val="411E3000"/>
    <w:rsid w:val="41402C24"/>
    <w:rsid w:val="414E7345"/>
    <w:rsid w:val="41696F7F"/>
    <w:rsid w:val="417C0D06"/>
    <w:rsid w:val="418B25AA"/>
    <w:rsid w:val="418E56CE"/>
    <w:rsid w:val="41925E9B"/>
    <w:rsid w:val="419B1BC4"/>
    <w:rsid w:val="419D7C05"/>
    <w:rsid w:val="41B3371C"/>
    <w:rsid w:val="41E3266D"/>
    <w:rsid w:val="41F604FA"/>
    <w:rsid w:val="420F24CA"/>
    <w:rsid w:val="421C0994"/>
    <w:rsid w:val="424F02B6"/>
    <w:rsid w:val="42683145"/>
    <w:rsid w:val="427133C0"/>
    <w:rsid w:val="42715180"/>
    <w:rsid w:val="42B45768"/>
    <w:rsid w:val="42FD1410"/>
    <w:rsid w:val="43184FA0"/>
    <w:rsid w:val="431F563A"/>
    <w:rsid w:val="432D0CD2"/>
    <w:rsid w:val="4348259E"/>
    <w:rsid w:val="434C0977"/>
    <w:rsid w:val="43705840"/>
    <w:rsid w:val="43AF6845"/>
    <w:rsid w:val="43D44FF8"/>
    <w:rsid w:val="44286453"/>
    <w:rsid w:val="444C54FC"/>
    <w:rsid w:val="44615639"/>
    <w:rsid w:val="44762FC6"/>
    <w:rsid w:val="4488431A"/>
    <w:rsid w:val="448F5706"/>
    <w:rsid w:val="44944331"/>
    <w:rsid w:val="449A539D"/>
    <w:rsid w:val="44A538D4"/>
    <w:rsid w:val="44B05905"/>
    <w:rsid w:val="44B67F0B"/>
    <w:rsid w:val="451317C4"/>
    <w:rsid w:val="45575AD5"/>
    <w:rsid w:val="459B774E"/>
    <w:rsid w:val="45B72AB1"/>
    <w:rsid w:val="45CF5AD4"/>
    <w:rsid w:val="45DD06D9"/>
    <w:rsid w:val="460D21F2"/>
    <w:rsid w:val="460E0469"/>
    <w:rsid w:val="464050BB"/>
    <w:rsid w:val="466B6702"/>
    <w:rsid w:val="466F037A"/>
    <w:rsid w:val="46A075FA"/>
    <w:rsid w:val="46D7121E"/>
    <w:rsid w:val="46FF57CE"/>
    <w:rsid w:val="47700BCB"/>
    <w:rsid w:val="47C254B8"/>
    <w:rsid w:val="47DF082A"/>
    <w:rsid w:val="47EB5003"/>
    <w:rsid w:val="48081128"/>
    <w:rsid w:val="483A31DC"/>
    <w:rsid w:val="48942C25"/>
    <w:rsid w:val="4898666C"/>
    <w:rsid w:val="489B75DE"/>
    <w:rsid w:val="48B5305A"/>
    <w:rsid w:val="48B63FE7"/>
    <w:rsid w:val="48CC7D6E"/>
    <w:rsid w:val="48EB5A5C"/>
    <w:rsid w:val="490B579F"/>
    <w:rsid w:val="492A1C6E"/>
    <w:rsid w:val="492C7D33"/>
    <w:rsid w:val="493A79B5"/>
    <w:rsid w:val="4969605D"/>
    <w:rsid w:val="496D1F2A"/>
    <w:rsid w:val="497C7394"/>
    <w:rsid w:val="498A3B85"/>
    <w:rsid w:val="49AE3287"/>
    <w:rsid w:val="49C65C46"/>
    <w:rsid w:val="49D021B0"/>
    <w:rsid w:val="49D61F4B"/>
    <w:rsid w:val="49D7375C"/>
    <w:rsid w:val="49EC64E1"/>
    <w:rsid w:val="4A11668C"/>
    <w:rsid w:val="4A3546EB"/>
    <w:rsid w:val="4A4A48A6"/>
    <w:rsid w:val="4A524812"/>
    <w:rsid w:val="4A526073"/>
    <w:rsid w:val="4A56215E"/>
    <w:rsid w:val="4A5D4A40"/>
    <w:rsid w:val="4A6C1B50"/>
    <w:rsid w:val="4A7E40F2"/>
    <w:rsid w:val="4A8561F1"/>
    <w:rsid w:val="4A943BC6"/>
    <w:rsid w:val="4AAF17A9"/>
    <w:rsid w:val="4B3D4E30"/>
    <w:rsid w:val="4B413D26"/>
    <w:rsid w:val="4B8B446D"/>
    <w:rsid w:val="4BB317A2"/>
    <w:rsid w:val="4BC27F8D"/>
    <w:rsid w:val="4BCC6CCE"/>
    <w:rsid w:val="4BE44E6C"/>
    <w:rsid w:val="4BF446B8"/>
    <w:rsid w:val="4C061338"/>
    <w:rsid w:val="4C497215"/>
    <w:rsid w:val="4C4F5F99"/>
    <w:rsid w:val="4C5D0817"/>
    <w:rsid w:val="4C5E08E0"/>
    <w:rsid w:val="4CBF4AE9"/>
    <w:rsid w:val="4D0A349B"/>
    <w:rsid w:val="4D0D2E78"/>
    <w:rsid w:val="4D0F04ED"/>
    <w:rsid w:val="4D384A7C"/>
    <w:rsid w:val="4D3A0411"/>
    <w:rsid w:val="4D427C91"/>
    <w:rsid w:val="4D7706F2"/>
    <w:rsid w:val="4DBE12C2"/>
    <w:rsid w:val="4DCE6ED3"/>
    <w:rsid w:val="4E095444"/>
    <w:rsid w:val="4E333BBB"/>
    <w:rsid w:val="4E6A06E9"/>
    <w:rsid w:val="4EC206BE"/>
    <w:rsid w:val="4EC46EFB"/>
    <w:rsid w:val="4EC951FF"/>
    <w:rsid w:val="4ED04B02"/>
    <w:rsid w:val="4EE96853"/>
    <w:rsid w:val="4F105F02"/>
    <w:rsid w:val="4F121BEA"/>
    <w:rsid w:val="4F172396"/>
    <w:rsid w:val="4F3F03C1"/>
    <w:rsid w:val="4F4C2971"/>
    <w:rsid w:val="4F566ACF"/>
    <w:rsid w:val="4F8028EE"/>
    <w:rsid w:val="4FAD0DF7"/>
    <w:rsid w:val="4FBC1F04"/>
    <w:rsid w:val="4FBE1CEA"/>
    <w:rsid w:val="4FC15F00"/>
    <w:rsid w:val="4FF17370"/>
    <w:rsid w:val="50371519"/>
    <w:rsid w:val="503D6ACE"/>
    <w:rsid w:val="505A0A75"/>
    <w:rsid w:val="50ED0D36"/>
    <w:rsid w:val="51130AD6"/>
    <w:rsid w:val="51147068"/>
    <w:rsid w:val="511B4097"/>
    <w:rsid w:val="512452DA"/>
    <w:rsid w:val="515029F4"/>
    <w:rsid w:val="51777BA1"/>
    <w:rsid w:val="517A1ADB"/>
    <w:rsid w:val="51901189"/>
    <w:rsid w:val="51952A88"/>
    <w:rsid w:val="51B661F2"/>
    <w:rsid w:val="51BB2EED"/>
    <w:rsid w:val="51EE27E3"/>
    <w:rsid w:val="52101F45"/>
    <w:rsid w:val="5213342A"/>
    <w:rsid w:val="52163344"/>
    <w:rsid w:val="5234477C"/>
    <w:rsid w:val="52515077"/>
    <w:rsid w:val="52B118DE"/>
    <w:rsid w:val="52C52078"/>
    <w:rsid w:val="52CB6EC0"/>
    <w:rsid w:val="52D061DA"/>
    <w:rsid w:val="52D211F8"/>
    <w:rsid w:val="5315442E"/>
    <w:rsid w:val="5341530E"/>
    <w:rsid w:val="53434396"/>
    <w:rsid w:val="534D112E"/>
    <w:rsid w:val="53761C93"/>
    <w:rsid w:val="537B0A8C"/>
    <w:rsid w:val="5393301A"/>
    <w:rsid w:val="53971518"/>
    <w:rsid w:val="5399073D"/>
    <w:rsid w:val="53AB2CD5"/>
    <w:rsid w:val="53AF23D8"/>
    <w:rsid w:val="53B91D8C"/>
    <w:rsid w:val="53E56E6E"/>
    <w:rsid w:val="53EB2495"/>
    <w:rsid w:val="53F17662"/>
    <w:rsid w:val="54010C17"/>
    <w:rsid w:val="542C2C82"/>
    <w:rsid w:val="54661F54"/>
    <w:rsid w:val="546C3F2D"/>
    <w:rsid w:val="547F46DA"/>
    <w:rsid w:val="549F75FE"/>
    <w:rsid w:val="54A51CC5"/>
    <w:rsid w:val="54E06144"/>
    <w:rsid w:val="550A393D"/>
    <w:rsid w:val="555E54FB"/>
    <w:rsid w:val="556D2811"/>
    <w:rsid w:val="55CE1AD5"/>
    <w:rsid w:val="55ED37B8"/>
    <w:rsid w:val="55F04C52"/>
    <w:rsid w:val="55F35D23"/>
    <w:rsid w:val="56281CBC"/>
    <w:rsid w:val="56333685"/>
    <w:rsid w:val="568F0DF7"/>
    <w:rsid w:val="56A332D5"/>
    <w:rsid w:val="56C325A5"/>
    <w:rsid w:val="56E709F8"/>
    <w:rsid w:val="56FB32FA"/>
    <w:rsid w:val="570703AF"/>
    <w:rsid w:val="572D602C"/>
    <w:rsid w:val="57364D30"/>
    <w:rsid w:val="573D71D1"/>
    <w:rsid w:val="57574216"/>
    <w:rsid w:val="57A21363"/>
    <w:rsid w:val="57A54C20"/>
    <w:rsid w:val="57B937A9"/>
    <w:rsid w:val="57BB4E50"/>
    <w:rsid w:val="57C34B39"/>
    <w:rsid w:val="57E116B4"/>
    <w:rsid w:val="580C0140"/>
    <w:rsid w:val="580F431F"/>
    <w:rsid w:val="587B6F7C"/>
    <w:rsid w:val="58A22BE9"/>
    <w:rsid w:val="58E44026"/>
    <w:rsid w:val="58E67C57"/>
    <w:rsid w:val="58E94F10"/>
    <w:rsid w:val="58F965E6"/>
    <w:rsid w:val="58FA15B8"/>
    <w:rsid w:val="58FF06B6"/>
    <w:rsid w:val="59046596"/>
    <w:rsid w:val="591C3F4A"/>
    <w:rsid w:val="593E6CC6"/>
    <w:rsid w:val="594B0A62"/>
    <w:rsid w:val="594E1B0E"/>
    <w:rsid w:val="594F32F2"/>
    <w:rsid w:val="595461B1"/>
    <w:rsid w:val="59591BB8"/>
    <w:rsid w:val="59820786"/>
    <w:rsid w:val="59A774F2"/>
    <w:rsid w:val="59AD15AB"/>
    <w:rsid w:val="59CE313C"/>
    <w:rsid w:val="59E474BD"/>
    <w:rsid w:val="59FC6B89"/>
    <w:rsid w:val="5A143012"/>
    <w:rsid w:val="5A261D0E"/>
    <w:rsid w:val="5A412A61"/>
    <w:rsid w:val="5A527BDD"/>
    <w:rsid w:val="5A905E59"/>
    <w:rsid w:val="5A9311E7"/>
    <w:rsid w:val="5AD0373D"/>
    <w:rsid w:val="5AF86253"/>
    <w:rsid w:val="5B081862"/>
    <w:rsid w:val="5B1C3DCA"/>
    <w:rsid w:val="5B340596"/>
    <w:rsid w:val="5B3F26B3"/>
    <w:rsid w:val="5B4B70AC"/>
    <w:rsid w:val="5B8A7522"/>
    <w:rsid w:val="5BA53E1C"/>
    <w:rsid w:val="5BB41290"/>
    <w:rsid w:val="5BC50503"/>
    <w:rsid w:val="5BF50EB6"/>
    <w:rsid w:val="5BF92128"/>
    <w:rsid w:val="5BFA7DB5"/>
    <w:rsid w:val="5C075DA6"/>
    <w:rsid w:val="5C491EC9"/>
    <w:rsid w:val="5C5028D7"/>
    <w:rsid w:val="5C81109C"/>
    <w:rsid w:val="5C9E10E9"/>
    <w:rsid w:val="5CA11D7F"/>
    <w:rsid w:val="5CAF4CE5"/>
    <w:rsid w:val="5CDA6371"/>
    <w:rsid w:val="5CFC64A7"/>
    <w:rsid w:val="5D1516BF"/>
    <w:rsid w:val="5D1569ED"/>
    <w:rsid w:val="5D1B2A4F"/>
    <w:rsid w:val="5D4F34F7"/>
    <w:rsid w:val="5D623C65"/>
    <w:rsid w:val="5D8C1819"/>
    <w:rsid w:val="5DC477E0"/>
    <w:rsid w:val="5DD05318"/>
    <w:rsid w:val="5DEF6C2B"/>
    <w:rsid w:val="5DF22741"/>
    <w:rsid w:val="5DFE50F6"/>
    <w:rsid w:val="5E2D7C7A"/>
    <w:rsid w:val="5E4E3F80"/>
    <w:rsid w:val="5E5F4BD4"/>
    <w:rsid w:val="5E852B0D"/>
    <w:rsid w:val="5ED20F44"/>
    <w:rsid w:val="5EE7073E"/>
    <w:rsid w:val="5EF67A22"/>
    <w:rsid w:val="5F123BC6"/>
    <w:rsid w:val="5F184877"/>
    <w:rsid w:val="5F1A7A37"/>
    <w:rsid w:val="5F2E3F46"/>
    <w:rsid w:val="5F474C09"/>
    <w:rsid w:val="5F63419E"/>
    <w:rsid w:val="5F736746"/>
    <w:rsid w:val="5F880842"/>
    <w:rsid w:val="5FD95A66"/>
    <w:rsid w:val="5FFC4765"/>
    <w:rsid w:val="60046C0F"/>
    <w:rsid w:val="601327BB"/>
    <w:rsid w:val="60245068"/>
    <w:rsid w:val="60255BE3"/>
    <w:rsid w:val="602717FC"/>
    <w:rsid w:val="602A62F8"/>
    <w:rsid w:val="602C01A9"/>
    <w:rsid w:val="603B1B21"/>
    <w:rsid w:val="607F2EF2"/>
    <w:rsid w:val="60842FF2"/>
    <w:rsid w:val="60D43BFA"/>
    <w:rsid w:val="610D2A7D"/>
    <w:rsid w:val="61111BF1"/>
    <w:rsid w:val="61175A9A"/>
    <w:rsid w:val="612129FE"/>
    <w:rsid w:val="61375BEC"/>
    <w:rsid w:val="614E4437"/>
    <w:rsid w:val="615F1F60"/>
    <w:rsid w:val="6182631E"/>
    <w:rsid w:val="61BC217C"/>
    <w:rsid w:val="61D9772A"/>
    <w:rsid w:val="61DA1B5D"/>
    <w:rsid w:val="61DB33CF"/>
    <w:rsid w:val="61EF0933"/>
    <w:rsid w:val="61F2327B"/>
    <w:rsid w:val="61F6471A"/>
    <w:rsid w:val="625E2011"/>
    <w:rsid w:val="626E5BD1"/>
    <w:rsid w:val="627803DA"/>
    <w:rsid w:val="62921FA4"/>
    <w:rsid w:val="62EF16C5"/>
    <w:rsid w:val="63077DCD"/>
    <w:rsid w:val="63196725"/>
    <w:rsid w:val="631F3FB6"/>
    <w:rsid w:val="63356B20"/>
    <w:rsid w:val="63647D08"/>
    <w:rsid w:val="63B47AD6"/>
    <w:rsid w:val="63BD1F88"/>
    <w:rsid w:val="63F34E27"/>
    <w:rsid w:val="642E2D6E"/>
    <w:rsid w:val="642F141D"/>
    <w:rsid w:val="6439179D"/>
    <w:rsid w:val="643A7D3D"/>
    <w:rsid w:val="644845EE"/>
    <w:rsid w:val="644C43F2"/>
    <w:rsid w:val="645E071A"/>
    <w:rsid w:val="64611864"/>
    <w:rsid w:val="6465357A"/>
    <w:rsid w:val="64704226"/>
    <w:rsid w:val="64870014"/>
    <w:rsid w:val="64B76AA3"/>
    <w:rsid w:val="64C61C82"/>
    <w:rsid w:val="64D124DB"/>
    <w:rsid w:val="65233DA8"/>
    <w:rsid w:val="652A1A84"/>
    <w:rsid w:val="652A5D21"/>
    <w:rsid w:val="65480BBE"/>
    <w:rsid w:val="6554639C"/>
    <w:rsid w:val="65933B3C"/>
    <w:rsid w:val="65B955CA"/>
    <w:rsid w:val="65BE6C54"/>
    <w:rsid w:val="65CC3546"/>
    <w:rsid w:val="661A0E12"/>
    <w:rsid w:val="66214D7C"/>
    <w:rsid w:val="667B6C3F"/>
    <w:rsid w:val="66B40E42"/>
    <w:rsid w:val="66B56D61"/>
    <w:rsid w:val="66B56D68"/>
    <w:rsid w:val="66EA1480"/>
    <w:rsid w:val="67056631"/>
    <w:rsid w:val="676E6425"/>
    <w:rsid w:val="67776ADD"/>
    <w:rsid w:val="6779797F"/>
    <w:rsid w:val="6789047F"/>
    <w:rsid w:val="67A720F6"/>
    <w:rsid w:val="67AC1398"/>
    <w:rsid w:val="67E7540E"/>
    <w:rsid w:val="67FC02AC"/>
    <w:rsid w:val="68006207"/>
    <w:rsid w:val="682D432C"/>
    <w:rsid w:val="68382592"/>
    <w:rsid w:val="687C00C8"/>
    <w:rsid w:val="687C4042"/>
    <w:rsid w:val="68A742AD"/>
    <w:rsid w:val="68C25CFA"/>
    <w:rsid w:val="68C731B8"/>
    <w:rsid w:val="68D536DE"/>
    <w:rsid w:val="69044A5D"/>
    <w:rsid w:val="691052CA"/>
    <w:rsid w:val="69194464"/>
    <w:rsid w:val="691D05F7"/>
    <w:rsid w:val="69312B59"/>
    <w:rsid w:val="69446209"/>
    <w:rsid w:val="698B1B24"/>
    <w:rsid w:val="69BB0755"/>
    <w:rsid w:val="6A115C81"/>
    <w:rsid w:val="6A7A60F7"/>
    <w:rsid w:val="6AAC2E76"/>
    <w:rsid w:val="6AEE1969"/>
    <w:rsid w:val="6B0A125F"/>
    <w:rsid w:val="6B23484A"/>
    <w:rsid w:val="6B30457A"/>
    <w:rsid w:val="6B3B1CB3"/>
    <w:rsid w:val="6B43702A"/>
    <w:rsid w:val="6B524C27"/>
    <w:rsid w:val="6B5A1EC9"/>
    <w:rsid w:val="6B7308B4"/>
    <w:rsid w:val="6B744505"/>
    <w:rsid w:val="6BA2498F"/>
    <w:rsid w:val="6BBC51E6"/>
    <w:rsid w:val="6BCA0F7D"/>
    <w:rsid w:val="6BDE4DDD"/>
    <w:rsid w:val="6BE82C3E"/>
    <w:rsid w:val="6BE972DB"/>
    <w:rsid w:val="6BFE0452"/>
    <w:rsid w:val="6C0F2440"/>
    <w:rsid w:val="6C176418"/>
    <w:rsid w:val="6C392A9F"/>
    <w:rsid w:val="6C4D097B"/>
    <w:rsid w:val="6C5973BD"/>
    <w:rsid w:val="6C5F452A"/>
    <w:rsid w:val="6C762792"/>
    <w:rsid w:val="6C7D1213"/>
    <w:rsid w:val="6C801375"/>
    <w:rsid w:val="6C822E35"/>
    <w:rsid w:val="6CEF6EBD"/>
    <w:rsid w:val="6CF01C95"/>
    <w:rsid w:val="6CF542B7"/>
    <w:rsid w:val="6D18295E"/>
    <w:rsid w:val="6D206AE2"/>
    <w:rsid w:val="6D5941BB"/>
    <w:rsid w:val="6D5B0CBD"/>
    <w:rsid w:val="6D8A08D8"/>
    <w:rsid w:val="6D961017"/>
    <w:rsid w:val="6DCE3EDB"/>
    <w:rsid w:val="6DD23F1E"/>
    <w:rsid w:val="6DEE2081"/>
    <w:rsid w:val="6E210E7D"/>
    <w:rsid w:val="6E336938"/>
    <w:rsid w:val="6E565A56"/>
    <w:rsid w:val="6E5D68D3"/>
    <w:rsid w:val="6E682450"/>
    <w:rsid w:val="6E7251F0"/>
    <w:rsid w:val="6E757524"/>
    <w:rsid w:val="6E7934F3"/>
    <w:rsid w:val="6EAD6286"/>
    <w:rsid w:val="6EB24C59"/>
    <w:rsid w:val="6EBD3CCD"/>
    <w:rsid w:val="6ECD60E1"/>
    <w:rsid w:val="6F2428C0"/>
    <w:rsid w:val="6F433285"/>
    <w:rsid w:val="6F591B5D"/>
    <w:rsid w:val="6F7E65DB"/>
    <w:rsid w:val="6F981073"/>
    <w:rsid w:val="6FA172A4"/>
    <w:rsid w:val="6FFF65EB"/>
    <w:rsid w:val="705A4D1B"/>
    <w:rsid w:val="705F37D3"/>
    <w:rsid w:val="709143C4"/>
    <w:rsid w:val="70930271"/>
    <w:rsid w:val="70DB5146"/>
    <w:rsid w:val="712776C4"/>
    <w:rsid w:val="7181738B"/>
    <w:rsid w:val="71820038"/>
    <w:rsid w:val="71990145"/>
    <w:rsid w:val="719E164B"/>
    <w:rsid w:val="71C90ED8"/>
    <w:rsid w:val="71D72430"/>
    <w:rsid w:val="71E12038"/>
    <w:rsid w:val="72112B83"/>
    <w:rsid w:val="721F61D9"/>
    <w:rsid w:val="723D42BE"/>
    <w:rsid w:val="72412901"/>
    <w:rsid w:val="72887B37"/>
    <w:rsid w:val="72910320"/>
    <w:rsid w:val="72A53302"/>
    <w:rsid w:val="72B3410C"/>
    <w:rsid w:val="72BD6DA9"/>
    <w:rsid w:val="72CB01B8"/>
    <w:rsid w:val="730554B3"/>
    <w:rsid w:val="73092FAA"/>
    <w:rsid w:val="73413694"/>
    <w:rsid w:val="734608F5"/>
    <w:rsid w:val="736D4BAC"/>
    <w:rsid w:val="736F1AFC"/>
    <w:rsid w:val="739B5B15"/>
    <w:rsid w:val="73CA3FB8"/>
    <w:rsid w:val="73E63732"/>
    <w:rsid w:val="73EC345F"/>
    <w:rsid w:val="73FD1118"/>
    <w:rsid w:val="74090510"/>
    <w:rsid w:val="740E2D2D"/>
    <w:rsid w:val="741752A2"/>
    <w:rsid w:val="746B6757"/>
    <w:rsid w:val="747B5C9D"/>
    <w:rsid w:val="747F1177"/>
    <w:rsid w:val="748028C0"/>
    <w:rsid w:val="74A471EE"/>
    <w:rsid w:val="74C768EE"/>
    <w:rsid w:val="74E97F38"/>
    <w:rsid w:val="74F13E40"/>
    <w:rsid w:val="750B1697"/>
    <w:rsid w:val="752A3F7B"/>
    <w:rsid w:val="75444F15"/>
    <w:rsid w:val="75485488"/>
    <w:rsid w:val="758516A2"/>
    <w:rsid w:val="759A2104"/>
    <w:rsid w:val="75B35E00"/>
    <w:rsid w:val="75CD1343"/>
    <w:rsid w:val="75EB2F64"/>
    <w:rsid w:val="761D1573"/>
    <w:rsid w:val="765B6CE9"/>
    <w:rsid w:val="765D3DA8"/>
    <w:rsid w:val="766852F0"/>
    <w:rsid w:val="766A6521"/>
    <w:rsid w:val="766C7968"/>
    <w:rsid w:val="766E7DAC"/>
    <w:rsid w:val="76936F16"/>
    <w:rsid w:val="76A64EB2"/>
    <w:rsid w:val="76BC1014"/>
    <w:rsid w:val="77025DC3"/>
    <w:rsid w:val="772354E1"/>
    <w:rsid w:val="77276E30"/>
    <w:rsid w:val="772C68C6"/>
    <w:rsid w:val="776C53FF"/>
    <w:rsid w:val="777E5705"/>
    <w:rsid w:val="7781654E"/>
    <w:rsid w:val="779231D8"/>
    <w:rsid w:val="77B92312"/>
    <w:rsid w:val="7827423F"/>
    <w:rsid w:val="78386307"/>
    <w:rsid w:val="7850391E"/>
    <w:rsid w:val="78597E32"/>
    <w:rsid w:val="78703EBE"/>
    <w:rsid w:val="78805A36"/>
    <w:rsid w:val="78830880"/>
    <w:rsid w:val="78AE0946"/>
    <w:rsid w:val="78D17516"/>
    <w:rsid w:val="78D96E40"/>
    <w:rsid w:val="7911644D"/>
    <w:rsid w:val="79331EC1"/>
    <w:rsid w:val="79404911"/>
    <w:rsid w:val="794D0D3C"/>
    <w:rsid w:val="7986601A"/>
    <w:rsid w:val="7993616D"/>
    <w:rsid w:val="799D69BF"/>
    <w:rsid w:val="79AE14B2"/>
    <w:rsid w:val="79B1687C"/>
    <w:rsid w:val="79B22738"/>
    <w:rsid w:val="79CE4B72"/>
    <w:rsid w:val="7A055366"/>
    <w:rsid w:val="7A292C38"/>
    <w:rsid w:val="7A49541C"/>
    <w:rsid w:val="7A5F22B4"/>
    <w:rsid w:val="7A680094"/>
    <w:rsid w:val="7A7508D5"/>
    <w:rsid w:val="7A80455C"/>
    <w:rsid w:val="7A81102C"/>
    <w:rsid w:val="7AA37ECA"/>
    <w:rsid w:val="7AB16073"/>
    <w:rsid w:val="7ABB5514"/>
    <w:rsid w:val="7AC2458A"/>
    <w:rsid w:val="7ADE3222"/>
    <w:rsid w:val="7AF04DB0"/>
    <w:rsid w:val="7B1C1737"/>
    <w:rsid w:val="7B322761"/>
    <w:rsid w:val="7B3C2640"/>
    <w:rsid w:val="7B4443D1"/>
    <w:rsid w:val="7BB151FD"/>
    <w:rsid w:val="7BB43296"/>
    <w:rsid w:val="7BDE6C84"/>
    <w:rsid w:val="7BE07A81"/>
    <w:rsid w:val="7BE97D38"/>
    <w:rsid w:val="7C471D4F"/>
    <w:rsid w:val="7C7A6596"/>
    <w:rsid w:val="7CA76A22"/>
    <w:rsid w:val="7CCC4E54"/>
    <w:rsid w:val="7CEB2ACD"/>
    <w:rsid w:val="7CEF6F65"/>
    <w:rsid w:val="7CF41D8D"/>
    <w:rsid w:val="7D2D2CA0"/>
    <w:rsid w:val="7D5C29E8"/>
    <w:rsid w:val="7DBB08B6"/>
    <w:rsid w:val="7DD90B59"/>
    <w:rsid w:val="7DEF15A6"/>
    <w:rsid w:val="7DFC511B"/>
    <w:rsid w:val="7E221AFC"/>
    <w:rsid w:val="7E2A514E"/>
    <w:rsid w:val="7E2C4E20"/>
    <w:rsid w:val="7E2D20BE"/>
    <w:rsid w:val="7E5733E1"/>
    <w:rsid w:val="7E660C33"/>
    <w:rsid w:val="7E707801"/>
    <w:rsid w:val="7E733B66"/>
    <w:rsid w:val="7EC12AAE"/>
    <w:rsid w:val="7EC52141"/>
    <w:rsid w:val="7EC73D34"/>
    <w:rsid w:val="7ED12FEE"/>
    <w:rsid w:val="7F1648D6"/>
    <w:rsid w:val="7F23784E"/>
    <w:rsid w:val="7F457080"/>
    <w:rsid w:val="7F486BDC"/>
    <w:rsid w:val="7F4C71A0"/>
    <w:rsid w:val="7F5124CE"/>
    <w:rsid w:val="7F6347A3"/>
    <w:rsid w:val="7F8805ED"/>
    <w:rsid w:val="7FB745D2"/>
    <w:rsid w:val="7FC4182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10</TotalTime>
  <ScaleCrop>false</ScaleCrop>
  <LinksUpToDate>false</LinksUpToDate>
  <CharactersWithSpaces>26786</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2020-07-23T08:01:11Z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2052-11.1.0.9828</vt:lpwstr>
  </property>
</Properties>
</file>