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-909320</wp:posOffset>
            </wp:positionH>
            <wp:positionV relativeFrom="paragraph">
              <wp:posOffset>-933450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8.20</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25</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25</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28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rFonts w:hint="eastAsia"/>
          <w:color w:val="auto"/>
          <w:sz w:val="24"/>
          <w:szCs w:val="24"/>
          <w:lang w:eastAsia="zh-CN"/>
        </w:rPr>
        <w:t>成品油</w:t>
      </w:r>
      <w:r>
        <w:rPr>
          <w:rStyle w:val="31"/>
          <w:rFonts w:hint="eastAsia"/>
          <w:color w:val="auto"/>
          <w:sz w:val="24"/>
          <w:szCs w:val="24"/>
        </w:rPr>
        <w:t>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30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6</w:t>
      </w:r>
      <w:r>
        <w:rPr>
          <w:rStyle w:val="31"/>
          <w:rFonts w:hint="eastAsia" w:ascii="宋体" w:hAnsi="宋体"/>
          <w:b/>
          <w:color w:val="auto"/>
          <w:sz w:val="24"/>
          <w:szCs w:val="24"/>
        </w:rPr>
        <w:t>份全国车用汽油和航空汽油进出口统计数据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32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w:t>
      </w:r>
      <w:r>
        <w:rPr>
          <w:rStyle w:val="31"/>
          <w:rFonts w:hint="eastAsia" w:ascii="宋体" w:hAnsi="宋体"/>
          <w:b/>
          <w:color w:val="auto"/>
          <w:sz w:val="24"/>
          <w:szCs w:val="24"/>
          <w:lang w:val="en-US" w:eastAsia="zh-CN"/>
        </w:rPr>
        <w:t>8</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33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6</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34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6</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34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2020/8/13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42.24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44.96</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国际能源署(IEA)下调了对全球石油需求的预测，抵消了此前美原油库存大减的利好影响，原油缺少进一步上行的动力，承压回落。</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2020/8/14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42.01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44.8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需求预期下降忧虑以及市场对供应增加的担忧令油价承压下滑。</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2020/8/17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42.89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45.37</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由于美股上涨，投资者对经济复苏带动原油需求恢复的乐观情绪提振油价。此外，OPEC+消息人士表示7月OPEC+减产协议执行率预计在97%左右也为油价提供了支撑。</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2020/8/18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42.89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45.46</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OPEC减产执行率基本达标的消息为油价提供了一定的支撑，日内原油市场缺乏进一步指引消息,投资者更多关注即将召开的OPEC会议及美国库存数据。</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2020/8/19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42.93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45.37</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美国EIA公布的数据显示，截至8月14日当周美国除却战略储备的商业原油库存减少163.20万桶，此外，精炼油库存超预期，汽油库存大幅下降，降幅超预期。OPEC方面，会后发布公报称，原油市场局势出现改善迹象，但恢复速度慢于预期。</w:t>
            </w:r>
          </w:p>
        </w:tc>
      </w:tr>
    </w:tbl>
    <w:p>
      <w:pPr>
        <w:rPr>
          <w:rFonts w:hint="eastAsia"/>
        </w:rPr>
      </w:pPr>
    </w:p>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pPr>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544185" cy="3390900"/>
            <wp:effectExtent l="0" t="0" r="1841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8"/>
                    <a:stretch>
                      <a:fillRect/>
                    </a:stretch>
                  </pic:blipFill>
                  <pic:spPr>
                    <a:xfrm>
                      <a:off x="0" y="0"/>
                      <a:ext cx="5544185" cy="3390900"/>
                    </a:xfrm>
                    <a:prstGeom prst="rect">
                      <a:avLst/>
                    </a:prstGeom>
                    <a:noFill/>
                    <a:ln>
                      <a:noFill/>
                    </a:ln>
                  </pic:spPr>
                </pic:pic>
              </a:graphicData>
            </a:graphic>
          </wp:inline>
        </w:drawing>
      </w:r>
    </w:p>
    <w:p>
      <w:pPr>
        <w:pStyle w:val="2"/>
        <w:numPr>
          <w:ilvl w:val="0"/>
          <w:numId w:val="1"/>
        </w:numPr>
        <w:spacing w:before="120" w:after="0" w:line="240" w:lineRule="auto"/>
      </w:pPr>
      <w:bookmarkStart w:id="3" w:name="_Toc533771864"/>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
      <w:pPr>
        <w:pStyle w:val="23"/>
        <w:numPr>
          <w:ilvl w:val="0"/>
          <w:numId w:val="2"/>
        </w:numPr>
        <w:spacing w:line="360" w:lineRule="auto"/>
        <w:ind w:left="0" w:leftChars="0" w:firstLine="551" w:firstLineChars="196"/>
        <w:rPr>
          <w:rFonts w:hint="eastAsia" w:ascii="黑体" w:eastAsia="黑体"/>
          <w:b/>
          <w:sz w:val="28"/>
          <w:szCs w:val="28"/>
        </w:rPr>
      </w:pPr>
      <w:bookmarkStart w:id="5" w:name="_Toc10115991"/>
      <w:r>
        <w:rPr>
          <w:rFonts w:hint="eastAsia" w:ascii="黑体" w:eastAsia="黑体"/>
          <w:b/>
          <w:sz w:val="28"/>
          <w:szCs w:val="28"/>
        </w:rPr>
        <w:t>美国原油库存情况</w:t>
      </w:r>
      <w:bookmarkEnd w:id="5"/>
      <w:r>
        <w:rPr>
          <w:rFonts w:hint="eastAsia" w:ascii="黑体" w:eastAsia="黑体"/>
          <w:b/>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周美国能源信息署(EIA)周三(8月12日)公布报告显示，截至8月7日当周美国原油库存大幅下降，降幅远超预期，同时汽油和馏分油库存亦下滑。具体数据显示，美国截至8月7日当周EIA原油库存变动实际公布减少451.20万桶，预期减少252.3万桶，前值减少737.3万桶，连续三周录得下降。上周俄克拉荷马州库欣原油库存增加133.6万桶，连续6周录得增长。此外，美国截至8月7日当周EIA汽油库存实际公布减少72.20万桶，预期减少42.4万桶，前值增加41.9万桶;当周精炼油库存实际公布减少232.20万桶，预期增加55.2万桶，前值增加159.1万桶。美国石油协会(API)公布的数据显示，美国截至8月7日当周API原油库存减少401.1万桶，预期减少320万桶;汽油库存减少131万桶;精炼油库存减少294.9万桶。</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黑体" w:eastAsia="黑体"/>
          <w:b/>
          <w:sz w:val="28"/>
          <w:szCs w:val="28"/>
        </w:rPr>
      </w:pPr>
      <w:bookmarkStart w:id="6" w:name="_Toc48806561"/>
      <w:r>
        <w:rPr>
          <w:rFonts w:hint="eastAsia" w:ascii="黑体" w:eastAsia="黑体"/>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本周北京时间20日凌晨，美股周三收跌。市场正在评估零售商塔吉特等的财报与美联储会议纪要。美联储纪要预计病毒疫情将对经济造成“重大压力”，并下调今年下半年的经济增长预期。</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道指跌85.19点，或0.31%，报27692.88点;纳指跌64.38点，或0.57%，报11146.46点;标普500指数跌14.93点，或0.44%，报3374.85点。</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苹果公司收高0.1%，按照收盘价462.83美元计算，其市值达19788.92亿美元。周三盘中，该股一度上涨逾1.3%，成为史上第一家市值突破2万亿美元的公司。</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周三盘中标普500指数最高上涨至3399.54点，纳指最高上涨至11257.42点，均创历史盘中新高。零售商塔吉特收盘大涨12.7%。</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联储会议纪要：官员预计病毒疫情将对经济造成“重大压力”</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美东时间周三下午2点，美联储公布了7月28-29日货币政策会议纪要。在那次会议上，联邦公开市场委员会(FOMC)将短期利率维持在接近零的水平，理由是经济“远远低于”冠状病毒疫情爆发前的水平。</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美联储纪要显示，与会者继续讨论正在进行的对美联储货币政策策略、工具和沟通实践的回顾，讨论了对长期目标声明的可能改变，认为修改声明有助于提高透明度。</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纪要称，与会者一致认为，鉴于过去10年来经济出现了“根本性变化”，包括低利率和“持续的”反通胀压力，修改声明是有必要的。官员们将通货紧缩视为主要的价格压力风险。</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修订后的长期目标声明可以使货币政策更加清晰，帮助家庭和企业做出更好的决策，帮助美联储实现通胀和就业目标。许多官员认为，更清晰的利率路径会有所帮助。</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政策制定者们看到了消费支出的大幅反弹，但商业部门的改善却不大。鉴于冠状病毒疫情的不确定性，工作人员仍然认为较悲观的结果与基线预测一样可信。</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会者注意到《纾困法案》支持的消费者支出反弹“特别强劲”，但随着冠状病毒进一步传播，这一活动可能已经放缓。考虑到与疫情进程相关的重大不确定性和下行风险，以及经济需要多长时间才能复苏，官员们仍认为更悲观的预测的可能性不低于基线预测。</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多数政策制定者认为，在当前环境下，设定收益率上限和目标可能只会带来适度的好处。在某种程度上，将资产购买定义为刺激措施可能会有所帮助。</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委员们看到了金融脆弱性。与会者表示，就业反弹可能已经放缓，劳动力市场的任何进一步“实质性改善”将取决于“广泛和持续”的经济重启。</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许多政策制定者认为，目前对收益率设定上限和目标“没有必要”，但在未来仍应是一种选择。</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委员们假设了另一种情况，即冠状病毒疫情的加速爆发将导致经济活动受到更严重的破坏，从而导致实际GDP和通胀下降。</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一些与会者指出，“额外的财政援助”对于支持受病毒打击更严重的家庭，特别是非裔、西班牙裔和集中在低工资服务部门工作的妇女来说，是非常重要的。</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与会者普遍认为，状病毒疫情对通胀的总体影响是抑制的。许多与会者表示，从培育宽松金融环境、支持经济复苏的角度来讨论资产购买，可能是合适的。</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美联储会议纪要公布后，有分析认为，会议纪要并未暗示即将放松前瞻性指引和QE，这令人感到失望。</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其他消息面，美国民主党全国代表大会美国东部时间18日晚正式提名前副总统乔-拜登为2020年民主党总统候选人。</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标普指数昨日创新高 结束史上最短熊市</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周二标普500指数收高，较3月份的低点已反弹52%。该指数昨日还创收盘与盘中历史新高，结束了有史以来最短的熊市。华尔街将熊市定义为标准普尔500指数从高点下跌超过20%。当该指数收盘点位超过此前高位时，熊市才算正式结束。股市复苏主要得益于美联储在公共卫生事件蔓延期间释放的巨量流动性。</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纳指周二同样创历史最高盘中与收盘纪录。大型科技股再度领涨，亚马逊(AMZN)周二上涨4%，股价创历史最高水平，此前该公司宣布计划在全国主要枢纽增加数千个工作岗位。</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科技类股的上涨延续了过去几个月的强劲趋势，因为投资者在疫情期间大量涌入软件和科技类股。在美国实行居家隔离令期间，诸如Netflix和亚马逊这样的大型科技股表现突出。而近期，随着投资者押注疫苗终将出现并回到半正常的生活方式，诸如工业、能源和金融等对经济敏感的股票迎头赶上。</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但在美股市场反弹并创新高的同时，仍有数百万美国人因冠状病毒疫情失业，而且另一轮经济刺激计划的前景仍然不明。美国众议院议长佩洛西周二释放妥协信号，她表示“为满足当下需求，我们愿意将计划减半。”</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如许多分析人士所指出的那样，市场更倾向于低估未来，而不是当前状况。大量新数据超出预期，并且经济发展轨迹相对于今年春季早些时候的趋势也不断改善。甚至最近在美国的南方和西部疫情震中，冠状病毒的增长率也开始放缓。住房市场、零售销售和制造业活动的数据表明，某些经济部门至少已开始从疫情造成的严重破坏中恢复。</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Citadel Securities指定做市商场内交易主管Peter Giacchi表示：“许多人认为市场无法准确反映潜在的健康和经济危机的严重性，这是因为市场专注于未来，而不是实时发生的事情。”</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他补充说：“在疫情刚爆发的阶段，我们见到股市大幅下挫，那是病毒疫情的不确定性造成的。现在，投资者在一定程度上可以应付当前的情况，他们眼光放得更长远、更加乐观，而且市场表现也与历史表现一样。”</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美企CEO卖股忙 股市涨势亮黄灯</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与此同时，数据显示美企CEO们早已开始卖股，令股市涨势亮起“黄灯”。Trim Tabs投资研究公司的数据显示，美企首席执行官等内部人士5月初以来已卖出价值逾500亿美元的股票，8月卖股金额可能超过150亿美元，将是美股后市的警讯。</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标准普尔道琼斯指数公司高级分析师Howard Silverblatt表示，市场涨幅超过20%即属于牛市，但只有在标准普尔500指数达到创纪录的收盘高点时才正式出现牛市。</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就在不久前，对于股市的上涨，很多人还认为那只是“熊市反弹”。熊市反弹指的是下跌过程中的反弹不会真正扭转大盘的下跌趋势，每次反弹后，都会继续创出新低。周二，标普500指数打破2月疫情暴发前历史高位时，已经能够确认新一轮牛市出现。</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投资者们并未料想到标普500指数会在3月疫情引发的急剧抛售后几个月接近历史高点。</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标普500指数在第二季度攀升了20%，是有记录以来的最好水平之一。该指数自第三季度迄今已上涨9.3%，从2020年开始至今上涨了4.9%。</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国际货币基金组织周三表示，受冠状病毒疫情重创经济活动影响，预计美国经济全年萎缩6.6%。</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瑞银调查显示，只有约23%的美国投资者预计未来6个月美股将会继续走高，这已接近1987年该调查开始以来的历史低点。</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瑞银指出，令投资者紧张的是这轮上涨的基础相对狭窄。今年标普500指数的涨幅，美国六大科技巨头占据了很大一部分。瑞银建议投资者寻找可能迎头赶上的落后者，并坚持长期投资计划。</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焦点个股</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塔吉特第二季度销售额增速创记录。营收同比增长24.7%至230亿美元，远超市场预期的198.2亿美元;净利润比增长80.3%至16.9亿美元，和调整后每股收益3.38美元，也远超市场预期的1.58美元。</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劳氏第二季度业绩远超市场预期，电商业务销售额同比大增135%。第二季度，劳氏营收增长30%至273亿美元，远高于分析师预估的242亿美元，由于家装产品需求因居家令激增。调整后每股收益3.75美元，同比增长74.4%，远超市场预期的2.93美元。</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该公司美国同店销售额同比增长35.1%，而电商业务销售额同比飙升了135%。不过，劳氏表示受卫生事件不确定性影响，未来业务趋势的可见度有限，故撤回业绩指引。</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美国折扣零售商TJX同比转亏，从去年净利润为7.59亿美元恶化至净亏损2.142亿美元，合每股亏损18美分，而分析人士原本预计仅会亏损10美分。销售额从去年同期的97.8亿美元降至66.7亿美元，略高市场预期的65.5亿美元。</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据报道，强生将以约65亿美元现金的价格收购制药公司Momenta Pharmaceuticals，交易预计将在2020年下半年完成。</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特朗普回应甲骨文参与竞购TikTok业务时指出，无论是微软还是甲骨文(收购TikTok)，都将使美国获益。</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吉利德科学日前确认中国区总经理罗永庆将离职。</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柯达受到关注。该股上一交易日盘中触发五次熔断。</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特斯拉Model3被指制动失灵致车祸，客服称车没问题。另据报道，特斯拉电动汽车的硬件已经到了HW3.0版本，下一代的硬件已经在研发。</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美国西南航空称，不会接受美国财政部的第二笔贷款。</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高盛将家得宝目标价从265美元上调至301美元。巴克莱银行将家得宝目标价从260美元上调至315美元。</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唯品会公司CFO杨东浩因个人原因将于今年11月离职。</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其他市场</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欧洲股市普涨。德国DAX指数收盘上涨0.74%，报12976.70点;英国富时100指数上涨0.60%，报6113.10点;法国CAC40指数上涨0.79%，报4977.23点;欧洲斯托克50指数上涨0.85%，报3317.55点。</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美国原油期货价格周三收盘基本持平。官方数据显示美国上周汽油库存下降，缓解了市场对需求下降的担忧，使原油摆脱了早间的跌势。</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油市交易商还密切关注OPEC+会议结果。预计该会议将推荐坚持当前的产量限制计划，因为主要原油生产国认为冠状病毒疫情将影响需求前景。</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周三，纽约商品交易所9月交割的西德州中质原油(WTI)期货价格上涨4美分，涨幅0.1%，收于每桶42.93美元。10月WTI期货收跌1美分，收于每桶43.11美元。</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伦敦洲际交易所10月布伦特原油期货价格下跌9美分，跌幅0.2%，收于每桶45.37美元。</w:t>
      </w:r>
    </w:p>
    <w:p>
      <w:pPr>
        <w:pStyle w:val="23"/>
        <w:spacing w:line="360" w:lineRule="auto"/>
        <w:ind w:firstLine="560" w:firstLineChars="200"/>
        <w:rPr>
          <w:rFonts w:hint="eastAsia" w:ascii="华文仿宋" w:hAnsi="华文仿宋" w:eastAsia="华文仿宋" w:cs="华文仿宋"/>
          <w:color w:val="333335"/>
          <w:kern w:val="2"/>
          <w:sz w:val="28"/>
          <w:szCs w:val="28"/>
          <w:shd w:val="clear" w:color="auto" w:fill="FFFFFF"/>
        </w:rPr>
      </w:pPr>
    </w:p>
    <w:p>
      <w:pPr>
        <w:pStyle w:val="23"/>
        <w:spacing w:line="360" w:lineRule="auto"/>
        <w:ind w:firstLine="560" w:firstLineChars="200"/>
        <w:rPr>
          <w:rFonts w:ascii="华文仿宋" w:hAnsi="华文仿宋" w:eastAsia="华文仿宋" w:cs="华文仿宋"/>
          <w:color w:val="333335"/>
          <w:kern w:val="2"/>
          <w:sz w:val="28"/>
          <w:szCs w:val="28"/>
          <w:shd w:val="clear" w:color="auto" w:fill="FFFFFF"/>
        </w:rPr>
      </w:pPr>
    </w:p>
    <w:p>
      <w:pPr>
        <w:pStyle w:val="23"/>
        <w:rPr>
          <w:rFonts w:hint="eastAsia" w:ascii="华文仿宋" w:hAnsi="华文仿宋" w:eastAsia="华文仿宋" w:cs="华文仿宋"/>
          <w:color w:val="333335"/>
          <w:kern w:val="2"/>
          <w:sz w:val="28"/>
          <w:szCs w:val="28"/>
          <w:shd w:val="clear" w:color="auto" w:fill="FFFFFF"/>
        </w:rPr>
      </w:pPr>
    </w:p>
    <w:p>
      <w:pPr>
        <w:pStyle w:val="23"/>
        <w:ind w:firstLine="643" w:firstLineChars="200"/>
        <w:outlineLvl w:val="1"/>
        <w:rPr>
          <w:rFonts w:hint="eastAsia" w:cs="Arial"/>
          <w:b/>
          <w:bCs/>
          <w:sz w:val="32"/>
          <w:szCs w:val="32"/>
        </w:rPr>
      </w:pPr>
      <w:bookmarkStart w:id="7" w:name="_Toc48806562"/>
      <w:r>
        <w:rPr>
          <w:rFonts w:hint="eastAsia" w:cs="Arial"/>
          <w:b/>
          <w:bCs/>
          <w:sz w:val="32"/>
          <w:szCs w:val="32"/>
        </w:rPr>
        <w:t>3.世界经济形势</w:t>
      </w:r>
      <w:bookmarkEnd w:id="7"/>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月19日，世界贸易组织(WTO)发布最新一期全球贸易趋势评估报告“货物贸易晴雨表”指出，2020年第二季度，全球货物贸易出现历史性下滑，但其他指标显示，第三季度全球货物贸易及产出出现部分上升，全球贸易初现复苏迹象，但复苏力度和趋势仍具有高度不确定性。</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新全球"货物贸易晴雨表”读数为84.5，较100的基准值低15.5个点，较去年同期下降18.6个点。这是2007年以来的最低数据，与2008年-2009年全球金融危机时的谷底相当。该读数也与世贸组织今年6月份发布的统计数据基本一致。世贸组织当时预测2020年第二季度货物贸易将比去年同期下降18.5%。货物贸易下降的确切程度，要到今年晚些时候在得到4月份至6月份的各国(地区)官方贸易额数据时才能确定。</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告说，该读数所有组成指数仍远低于趋势水平，许多指数处于历史低点，但部分指数已开始企稳。其中，汽车产品指数(71.8)和空运指数(76.5)是自2007年以来最差的，集装箱航运指数(86.9)依然低迷，但出口订单指数(88.4)已经回升并显示出复苏迹象，电子元器件指数(92.8)和农业原材料指数(92.5)仅出现小幅下跌并保持相对良好态势。</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世贸组织6月份统计数据显示，今年第一季度和第二季度全球货物贸易量下降14%。按照这个估算,再加上最新一期货物贸易晴雨表读数,预计今年全球货物贸易量比2019年萎缩了13%。全球贸易趋势或不至于过于悲观，但将远低于疫情前的趋势。世贸组织经济学家在6月份曾警告，新冠肺炎疫情造成的严重经济损失表明，有关2021年全球贸易将出现强劲v型反弹的预测可能过于乐观。由于经济和贸易政策以及疫情演变的不确定性仍在上升，全球贸易出现L型复苏，即经历下行之后在一定增速上保持平稳运行仍是可能的前景。</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从货物贸易晴雨表读数的分类指数也可以看出全球货物贸易趋势。商业航班与货物贸易、服务贸易密切相关，是衡量全球经济状况的重要指标。从今年2月底到4月中旬，全球航班减少近80%，其中国际航班降幅大于国内航班。截至7月底，航班总数逐渐恢复，但仍比今年初低40%左右。</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据联合国国际海事组织数据，受疫情影响，今年2月份集装箱船港口停靠量急剧下降，随后出现反弹，但在4月份至5月份再次下降。截至8月初，集装箱船港口停靠量仍较上年同期下降约7%，较5月份11%的降幅略有改善。</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由于铜在许多制造业领域具有重要性，铜期货合约价格是一个被广泛认可的经济活动指标。今年3月中旬，铜期货较年初下跌27%，但此后上涨37%，反映出经济复苏预期不断上升。当然，经济复苏预期将取决于新冠肺炎疫情演变。</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另据相关数据显示，对全球经济活动的负面新闻报道于今年3月份触底后反弹，此后报道基调的变化表明，各界对全球经济的看法正在逐渐改善，尽管主要仍是负面报道，但对全球经济表示担忧的报道在慢慢减少。</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numPr>
          <w:ilvl w:val="0"/>
          <w:numId w:val="0"/>
        </w:numPr>
        <w:rPr>
          <w:rFonts w:hint="eastAsia" w:ascii="黑体" w:eastAsia="黑体"/>
          <w:b/>
          <w:sz w:val="28"/>
          <w:szCs w:val="28"/>
        </w:rPr>
      </w:pPr>
      <w:r>
        <w:rPr>
          <w:rFonts w:hint="eastAsia" w:ascii="黑体" w:eastAsia="黑体"/>
          <w:b/>
          <w:sz w:val="28"/>
          <w:szCs w:val="28"/>
          <w:lang w:val="en-US" w:eastAsia="zh-CN"/>
        </w:rPr>
        <w:t>4、</w:t>
      </w:r>
      <w:r>
        <w:rPr>
          <w:rFonts w:hint="eastAsia" w:ascii="黑体" w:eastAsia="黑体"/>
          <w:b/>
          <w:sz w:val="28"/>
          <w:szCs w:val="28"/>
        </w:rPr>
        <w:t>后市预测</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本周美国WTI原油原油价格在42.01-42.93美元/桶。布伦特原油价格在44. 8-45.37美元/桶震荡。周内国际油价小幅震荡。EIA原油库存降幅不及预期但汽油库存大降，OPEC+监督会议未修正当前协议并重申需求前景不确定性，19日油价微幅盘整。9月WTI：42.93涨0.04;10月布伦特：45.37跌0.09。JMMC会议后，欧佩克表示：在今天举行的第21次会议上，欧佩克秘书长强调了新冠肺炎疫情对能源生产国和消费国的严重影响，以及预计2020年经济增长将出现收缩。欧佩克秘书长解释称，全球石油市场出现了一些积极的发展，但是，关键的不确定性仍然存在，各方都必须保持警惕。欧佩克秘书长巴尔金都称，在采取行动时，将与国际社会站在一起。欧佩克国家间相互尊重、透明和开放的核心价值观在应对我们这个时代的挑战方面仍然至关重要。他重申勇气、凝聚力和团结的重要性，支持欧佩克和其合作伙伴的决定，以支持恢复全球能源市场的稳定。巴尔金总结称，欧佩克已经走了很长的路，但还没有到达最终的目的地。尽管如此，《宣言》的合作伙伴已多次表明决心和承诺为维护市场稳定采取必要措施。基本面利好因素：北京时间周三，美国能源信息署(EIA)公布的数据显示，截至8月14日当周，EIA汽油库存减少332.20万桶，预期减少124.2万桶，前值减少72.2万桶。北京时间周三，美国石油协会(API)公布的数据显示，截至8月14日当周，API原油库存减少426.4万桶，此前预期减少200万桶，前值为减少401.1万桶;API库欣原油库存减少59.9万桶，前值为增加107.3万桶。周一，特朗普政府完成一项计划，允许在阿拉斯加的北极国家野生动物保护区(ANWR)进行油气勘探，在美国领导人可能出现变更之前，推动美国针对在原始荒野地区勘探油气签发长达数十年租约的工作步入正轨。阿拉斯加州州长Michael Dunleavy和能源业内人士都表示，开放ANWR油气勘探将创造就业机会，促进阿拉斯加州经济繁荣。基本面利空因素：北京时间周三，美国能源信息署(EIA)公布的数据显示，截至8月14日当周，EIA原油库存减少163.20万桶至5.125亿桶，预期减少246.9万桶，前值减少451.2万桶;精炼油库存增加15.20万桶，预期减少134万桶，前值减少232.2万桶;商业原油上周进口573万桶/日，较前一周增加10.9万桶/日。北京时间周三，美国石油协会(API)公布的数据显示，截至8月14日当周，API精炼油库存减少96.4万桶，低于此前预期的减少100万桶，以及减少294.4万桶的前值;API汽油库存大幅增加499.1万桶，前值为减少131万桶，此前预期为减少160万桶。石油行业正在努力应对能源转型。咨询公司Rystad Energy AS称，疫情可能导致石油需求高峰提前到来，打击勘探石油的热情。该公司还预计，全球可开采石油资源中，约有10%(约1250亿桶)将被废弃。美国页岩油气生产商破产还在继续。当地时间上周日，总部位于俄克拉荷马城的页岩油气生产商恰帕拉尔能源公司(Chaparral Energy)申请破产保护，成为近几个月来因疫情导致的油价暴跌而倒下的又一家能源公司。这是该公司四年来第二次申请破产保护，上次是2016年，在2014年开始的油价暴跌之后，并于2017年3月走出了破产。</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预测下周WTI油价将触及41-43美元/桶，布油在之后几个月触及43-46美元/桶。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numPr>
          <w:ilvl w:val="0"/>
          <w:numId w:val="0"/>
        </w:numPr>
        <w:spacing w:line="360" w:lineRule="auto"/>
        <w:jc w:val="both"/>
        <w:rPr>
          <w:rFonts w:hint="eastAsia" w:ascii="黑体" w:eastAsia="黑体"/>
          <w:b/>
          <w:sz w:val="28"/>
          <w:szCs w:val="28"/>
          <w:lang w:eastAsia="zh-CN"/>
        </w:rPr>
      </w:pPr>
    </w:p>
    <w:p>
      <w:pPr>
        <w:pStyle w:val="3"/>
        <w:spacing w:before="120" w:after="120" w:line="240" w:lineRule="auto"/>
        <w:rPr>
          <w:rFonts w:hint="eastAsia" w:ascii="宋体" w:hAnsi="宋体"/>
          <w:b/>
          <w:sz w:val="30"/>
          <w:szCs w:val="30"/>
          <w:highlight w:val="none"/>
        </w:rPr>
      </w:pPr>
      <w:bookmarkStart w:id="8" w:name="_Toc533771866"/>
      <w:r>
        <w:rPr>
          <w:rFonts w:hint="eastAsia" w:ascii="宋体" w:hAnsi="宋体"/>
          <w:b/>
          <w:sz w:val="30"/>
          <w:szCs w:val="30"/>
          <w:highlight w:val="none"/>
        </w:rPr>
        <w:t>2.2国际市场MTBE价格</w:t>
      </w:r>
      <w:bookmarkEnd w:id="8"/>
    </w:p>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8月19日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417.50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119.05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461.00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8月18日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8月17日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424.00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117.00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458.25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8月14日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411.00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117.46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451.00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8月13日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422.30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116.48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450.00 </w:t>
            </w:r>
          </w:p>
        </w:tc>
      </w:tr>
    </w:tbl>
    <w:p>
      <w:pPr>
        <w:pStyle w:val="2"/>
        <w:spacing w:before="120" w:after="0" w:line="240" w:lineRule="auto"/>
        <w:rPr>
          <w:rFonts w:hint="eastAsia"/>
        </w:rPr>
      </w:pPr>
    </w:p>
    <w:p>
      <w:pPr>
        <w:pStyle w:val="2"/>
        <w:numPr>
          <w:ilvl w:val="0"/>
          <w:numId w:val="3"/>
        </w:numPr>
        <w:spacing w:before="120" w:after="0" w:line="240" w:lineRule="auto"/>
        <w:rPr>
          <w:rFonts w:hint="eastAsia"/>
          <w:b/>
        </w:rPr>
      </w:pPr>
      <w:r>
        <w:rPr>
          <w:rFonts w:hint="eastAsia"/>
          <w:b/>
        </w:rPr>
        <w:t>本周国内市场</w:t>
      </w:r>
      <w:bookmarkEnd w:id="9"/>
    </w:p>
    <w:p>
      <w:pPr>
        <w:numPr>
          <w:ilvl w:val="0"/>
          <w:numId w:val="0"/>
        </w:numPr>
      </w:pPr>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7"/>
        <w:gridCol w:w="1699"/>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49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69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w:t>
            </w:r>
            <w:r>
              <w:rPr>
                <w:rFonts w:hint="eastAsia" w:ascii="宋体" w:hAnsi="宋体" w:cs="宋体"/>
                <w:i w:val="0"/>
                <w:color w:val="000000"/>
                <w:kern w:val="0"/>
                <w:sz w:val="21"/>
                <w:szCs w:val="21"/>
                <w:u w:val="none"/>
                <w:lang w:val="en-US" w:eastAsia="zh-CN" w:bidi="ar"/>
              </w:rPr>
              <w:t>炼化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w:t>
            </w:r>
            <w:r>
              <w:rPr>
                <w:rFonts w:hint="eastAsia" w:ascii="宋体" w:hAnsi="宋体" w:cs="宋体"/>
                <w:i w:val="0"/>
                <w:color w:val="000000"/>
                <w:kern w:val="0"/>
                <w:sz w:val="21"/>
                <w:szCs w:val="21"/>
                <w:u w:val="none"/>
                <w:lang w:val="en-US" w:eastAsia="zh-CN" w:bidi="ar"/>
              </w:rPr>
              <w:t>炼化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茂名石化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北海</w:t>
            </w:r>
            <w:r>
              <w:rPr>
                <w:rFonts w:hint="eastAsia" w:ascii="宋体" w:hAnsi="宋体" w:cs="宋体"/>
                <w:i w:val="0"/>
                <w:color w:val="000000"/>
                <w:kern w:val="0"/>
                <w:sz w:val="21"/>
                <w:szCs w:val="21"/>
                <w:u w:val="none"/>
                <w:lang w:val="en-US" w:eastAsia="zh-CN" w:bidi="ar"/>
              </w:rPr>
              <w:t>炼</w:t>
            </w:r>
            <w:r>
              <w:rPr>
                <w:rFonts w:hint="eastAsia" w:ascii="宋体" w:hAnsi="宋体" w:eastAsia="宋体" w:cs="宋体"/>
                <w:i w:val="0"/>
                <w:color w:val="000000"/>
                <w:kern w:val="0"/>
                <w:sz w:val="21"/>
                <w:szCs w:val="21"/>
                <w:u w:val="none"/>
                <w:lang w:val="en-US" w:eastAsia="zh-CN" w:bidi="ar"/>
              </w:rPr>
              <w:t>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天津石化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茂名石化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8</w:t>
            </w:r>
            <w:r>
              <w:rPr>
                <w:rFonts w:hint="eastAsia" w:ascii="宋体" w:hAnsi="宋体" w:eastAsia="宋体" w:cs="宋体"/>
                <w:i w:val="0"/>
                <w:color w:val="000000"/>
                <w:kern w:val="0"/>
                <w:sz w:val="21"/>
                <w:szCs w:val="21"/>
                <w:u w:val="none"/>
                <w:lang w:val="en-US" w:eastAsia="zh-CN" w:bidi="ar"/>
              </w:rPr>
              <w:t>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大连石化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w:t>
            </w:r>
            <w:r>
              <w:rPr>
                <w:rFonts w:hint="eastAsia" w:ascii="宋体" w:hAnsi="宋体" w:cs="宋体"/>
                <w:i w:val="0"/>
                <w:color w:val="000000"/>
                <w:kern w:val="0"/>
                <w:sz w:val="21"/>
                <w:szCs w:val="21"/>
                <w:u w:val="none"/>
                <w:lang w:val="en-US" w:eastAsia="zh-CN" w:bidi="ar"/>
              </w:rPr>
              <w:t>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广西石化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宁夏石化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锦西石化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2020年7月</w:t>
            </w:r>
            <w:r>
              <w:rPr>
                <w:rFonts w:hint="eastAsia" w:ascii="宋体" w:hAnsi="宋体" w:cs="宋体"/>
                <w:i w:val="0"/>
                <w:color w:val="000000"/>
                <w:kern w:val="0"/>
                <w:sz w:val="21"/>
                <w:szCs w:val="21"/>
                <w:u w:val="none"/>
                <w:lang w:val="en-US" w:eastAsia="zh-CN" w:bidi="ar"/>
              </w:rPr>
              <w:t>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惠州炼厂</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2020年10月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中海油气(泰州)</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4月下旬</w:t>
            </w:r>
          </w:p>
        </w:tc>
      </w:tr>
    </w:tbl>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4"/>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405"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160"/>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1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计划2020年8月底</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计划2020年8月底</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计划2020年8月底</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计划2020年8月底</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bl>
    <w:p>
      <w:pPr>
        <w:numPr>
          <w:ilvl w:val="0"/>
          <w:numId w:val="0"/>
        </w:numPr>
        <w:jc w:val="center"/>
        <w:rPr>
          <w:rFonts w:hint="eastAsia" w:ascii="宋体" w:hAnsi="宋体"/>
          <w:sz w:val="28"/>
          <w:szCs w:val="28"/>
          <w:highlight w:val="none"/>
        </w:rPr>
      </w:pPr>
    </w:p>
    <w:p>
      <w:pPr>
        <w:rPr>
          <w:rFonts w:hint="eastAsia"/>
        </w:rPr>
      </w:pPr>
      <w:bookmarkStart w:id="11" w:name="_Toc533771869"/>
    </w:p>
    <w:bookmarkEnd w:id="11"/>
    <w:p>
      <w:pPr>
        <w:pStyle w:val="3"/>
        <w:spacing w:before="120" w:after="120" w:line="240" w:lineRule="auto"/>
        <w:rPr>
          <w:rFonts w:hint="eastAsia" w:ascii="宋体" w:hAnsi="宋体"/>
          <w:b/>
          <w:sz w:val="30"/>
          <w:szCs w:val="30"/>
          <w:highlight w:val="none"/>
        </w:rPr>
      </w:pPr>
      <w:bookmarkStart w:id="12" w:name="_Toc533771870"/>
      <w:r>
        <w:rPr>
          <w:rFonts w:hint="eastAsia" w:ascii="宋体" w:hAnsi="宋体"/>
          <w:b/>
          <w:sz w:val="30"/>
          <w:szCs w:val="30"/>
          <w:highlight w:val="none"/>
        </w:rPr>
        <w:t>3.2本周成品油市场行情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22" w:name="_GoBack"/>
      <w:r>
        <w:rPr>
          <w:rFonts w:hint="eastAsia" w:asciiTheme="minorEastAsia" w:hAnsiTheme="minorEastAsia" w:eastAsiaTheme="minorEastAsia" w:cstheme="minorEastAsia"/>
          <w:color w:val="333335"/>
          <w:kern w:val="2"/>
          <w:sz w:val="28"/>
          <w:szCs w:val="28"/>
          <w:shd w:val="clear" w:color="auto" w:fill="FFFFFF"/>
        </w:rPr>
        <w:t>本周，国际原油期货震荡上行，据测算第九个工作日参考原油变化率为2.18%。受此影响，国内成品油市场购销氛围持续淡，各地主营单位汽柴油挺价出客存。与此同时，山东地炼成品油行情则弱势盘整，部分炼厂报价承压走低，其成交保持100元/吨左右优惠。具体来看出货方面：外盘油价微涨对油市提振有限，加之社会单位库存高企有待进一步消化，且近日多雨天气导致道路运输略显不畅，中下游商家多消化前期库存，因此地炼近期出货表现欠佳，库存普遍处于三四成附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本周(8月14日-8月20日)华中地区主营侧重消化已售未提 挂牌价格以稳为主 具体分析如下，周内，国际原油震荡小涨，变化率正向区间发展，消息面指引向好，不过支撑有限。区内汽柴油终端消耗提升有限，加之前期下游备货充足，主营客存消耗不及预期，各单位消库压力不断增加，高挂惜卖现象普遍。多数单位汽柴油价格以稳为主，偶有个别单位根据自身情况涨跌调整，实盘成交多存较大商谈空间。下游用户随用随采，市场成交气氛维持清淡。后市而言，国际原油或延续稳中小涨运行态势，本轮零售价即将兑现上调，且新一轮变化率仍有望正向区间发展，消息面维持温和向好指引。主营出货及消库压力并存，汽柴油价格或维持窄幅波动运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(8月14日-8月20日)，华东地区成品油行情稳中下滑，市场整体成交氛围维持清淡。具体来看，周内国际油偏强震荡，消息面存有一定支撑，油市缓慢上涨。与此同时，山东地炼汽柴油均价稳中小跌，价格优势明显，令主营外采成本下调。区内高温炎热天气持续发力，各地工矿、基建等大型项目开工时间缩减，汽柴油终端消耗有所下滑，需求一度十分低迷，各主营汽柴油价格维持高位运行，个别主营则跟随原油涨跌幅度进行小幅调整，且优惠政策保持宽松，暗中加大优惠力度，但各主营近期仍以降库为主，且下游商家前期备货充足，近期仍以消库观望为主，市场整体出货一般。综上所述，市场观望情绪浓厚，业者入市补货意愿普遍不强，市场整体成交保持清淡。后期来看，国际原油或震荡小涨，消息面或利好支撑。预计下周华东地区成品油行情或窄幅整理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(8月13日-8月20日)，华南地区成品油市场整体呈现平稳走势，部分主营单位零星涨跌，交投气氛清淡。具体来看，本周国际原油价格窄幅盘整，涨跌空间有限，对区内油价指导作用有限，中石化销售公司多根据原油涨跌灵活调整，涨跌互抵后，较上周价格无明显波动，中石油及中海油、中化等企业多维持淡稳走势，终端市场需求情况清淡难改，成交情况较为惨淡，加之周内台风登陆，部分油库暂停发货，市场资源量供应充足，社会库存消化情况缓慢，贸易商采购热情难以提振，新单成交稀少。福建地区整体行情延续平稳走势，库存水平维持平衡，出货一般。下周原油市场或继续保持稳中小涨的走势，对国内油价指导作用有限，本轮成品油上调窗口开启的可能性较大，短期内对油市形成利好支撑，市场或出现一定的跟涨走势，但由于目前终端市场需求情况暂无转好迹象，市场备货积极性不高，预计整体行情将维持窄幅盘整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本周(8月14日-8月20日)，华北地区小涨预期提振市场 主营单位继续挺价消库。国际油价走势延续震荡小涨趋势，周内变化率突破上调红线，由搁浅转为小涨，消息面支撑出现小幅好转。区内主营单位报价稳中小幅推涨，其中河南主营单位促销活动结束，市场报价恢复高位，挂牌价格继续推涨刺激下游出货，其余主营单位报价零星调整，幅度多在30-100元/吨不等，但周内区内降雨天气频发，下游接货热情不高，主营排库进度缓慢，市场成交气氛平平。后市而言，国际市场消息面继续表现僵持，需求复苏单位继续压制市场，但下周OPEC+线上减产会议的召开或能带动油价小幅推涨，国内本轮调价上调基调已定，下周国内市场消息面支撑偏向利好，而主营单位任务继续降库排量，预计区内油价走势维持坚挺，部分单位或继续小幅推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(8月14日-8月20日)，西南地区汽柴行情走稳为主，市场购销两淡。分析来看：周内国际油价震荡小涨，变化率正向区间延伸，本轮零售价上调几成定局，消息面呈现利好指引。由于四川、重庆以及云南等地相继遭受暴雨，成品油供需两端均受到一定影响。不过，目前本就处于需求淡季，业者入市补货稀少，因此洪水波及地区油品行情没有出现明显波动。主营单位销售欠佳，但当前各地区客存高企，近期仍催提为主，销售意愿不高，支撑价格维持坚挺。就后市而言，本周五成品油零售价将兑现小涨，后期国际油价稳中小涨为主，新一轮变化率或继续维持正向，消息面利好仍存。加之，主营单位侧重于消化客存，部分地区或继续推价。业者消库存为主，市场成交维持清淡。预计短期内西南地区汽柴行情震荡走高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(8月14日-8月20日)，西北地炼汽柴行情继续保持平稳运行，市场成交难见活跃。分析来看：周内国际原油期价震荡上行，变化率正向区间延伸，本周五成品油零售价将兑现上调，消息面存一定利好指引。不过，陕西及其周边部分地区受到暴雨影响，下游需求低迷。虽然“金九”旺季临近，但业者前期备货充足，且对后市行情仍存一定担忧，因此近期仍积极消库存为主，市场成交气氛维持清淡。销售公司出货不畅，周内汽柴价格暂无波动。就后市而言，成品油零售价将兑现小涨，且后期原油或震荡小涨为主，新一轮变化率正向开端概率较大，但目前下游需求不振，消息面利好对市场的支撑作用并不明显。业者消库之余按需补货，市场成交提升有限。市场缺乏明显利好支撑，预计短线西北地炼汽柴行情波动空间有限。</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进入下周，国际原油期价或继续保持小涨。以WTI为例，主流运行区间在42-44(均值43)美元/桶之间，环比上涨0.41美元/桶或0.96%。在消息面利好因素作用下，山东地区成品油行情有望保持坚挺，但因现阶段终端消费能力疲软，中下游商家大单采购操作甚少，因此地炼虽心存推价意向，但动力略显不足。综上所述，预计山东地炼汽柴油价格稳中小涨，涨幅在50元/吨左右。</w:t>
      </w:r>
    </w:p>
    <w:bookmarkEnd w:id="22"/>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W w:w="9615" w:type="dxa"/>
        <w:tblInd w:w="0" w:type="dxa"/>
        <w:shd w:val="clear"/>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2020/8/20</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2020/8/13</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7136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7626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7136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7626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bl>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W w:w="9675" w:type="dxa"/>
        <w:tblInd w:w="0" w:type="dxa"/>
        <w:shd w:val="clear"/>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4" w:name="_Toc533771872"/>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2020/8/20</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2020/8/13</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5784</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5784</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5784</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5784</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5784</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5784</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5510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5595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5595</w:t>
            </w:r>
          </w:p>
        </w:tc>
      </w:tr>
    </w:tbl>
    <w:p>
      <w:pPr>
        <w:pStyle w:val="3"/>
        <w:spacing w:before="120" w:after="120" w:line="240" w:lineRule="auto"/>
        <w:rPr>
          <w:rFonts w:hint="eastAsia" w:ascii="宋体" w:hAnsi="宋体"/>
          <w:b/>
          <w:sz w:val="30"/>
          <w:szCs w:val="30"/>
          <w:lang w:val="en-US" w:eastAsia="zh-CN"/>
        </w:rPr>
      </w:pPr>
    </w:p>
    <w:p>
      <w:pPr>
        <w:rPr>
          <w:rFonts w:hint="eastAsia"/>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W w:w="9705" w:type="dxa"/>
        <w:tblInd w:w="0" w:type="dxa"/>
        <w:shd w:val="clear"/>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2020/8/20</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2020/8/13</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5627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-96</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5689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5785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5848</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5866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p>
      <w:pPr>
        <w:rPr>
          <w:rFonts w:hint="eastAsia"/>
          <w:bCs/>
          <w:szCs w:val="21"/>
          <w:lang w:val="en-US" w:eastAsia="zh-CN"/>
        </w:rPr>
      </w:pPr>
    </w:p>
    <w:p>
      <w:pPr>
        <w:pStyle w:val="3"/>
        <w:spacing w:before="120" w:after="120" w:line="240" w:lineRule="auto"/>
        <w:rPr>
          <w:rFonts w:hint="eastAsia" w:ascii="宋体" w:hAnsi="宋体"/>
          <w:b/>
          <w:sz w:val="10"/>
          <w:szCs w:val="10"/>
          <w:lang w:val="en-US" w:eastAsia="zh-CN"/>
        </w:rPr>
      </w:pPr>
      <w:bookmarkStart w:id="16" w:name="_Toc533771874"/>
    </w:p>
    <w:tbl>
      <w:tblPr>
        <w:tblW w:w="9300" w:type="dxa"/>
        <w:tblInd w:w="0" w:type="dxa"/>
        <w:shd w:val="clear"/>
        <w:tblLayout w:type="autofit"/>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2020/8/20</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2020/8/13</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4690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w:t>
            </w: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4880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4680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5070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四、2020年6月份进出口统计数据</w:t>
      </w:r>
      <w:bookmarkEnd w:id="16"/>
      <w:bookmarkStart w:id="17" w:name="_Toc533771875"/>
    </w:p>
    <w:p>
      <w:pPr>
        <w:rPr>
          <w:rFonts w:hint="eastAsia"/>
        </w:rPr>
      </w:pPr>
    </w:p>
    <w:p>
      <w:pPr>
        <w:pStyle w:val="3"/>
        <w:spacing w:before="120" w:after="120" w:line="240" w:lineRule="auto"/>
        <w:rPr>
          <w:rFonts w:hint="eastAsia" w:ascii="宋体" w:hAnsi="宋体"/>
          <w:b/>
          <w:sz w:val="30"/>
          <w:szCs w:val="30"/>
        </w:rPr>
      </w:pPr>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6</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420" w:type="dxa"/>
        <w:tblInd w:w="0" w:type="dxa"/>
        <w:shd w:val="clear" w:color="auto" w:fill="auto"/>
        <w:tblLayout w:type="autofit"/>
        <w:tblCellMar>
          <w:top w:w="0" w:type="dxa"/>
          <w:left w:w="0" w:type="dxa"/>
          <w:bottom w:w="0" w:type="dxa"/>
          <w:right w:w="0" w:type="dxa"/>
        </w:tblCellMar>
      </w:tblPr>
      <w:tblGrid>
        <w:gridCol w:w="2595"/>
        <w:gridCol w:w="2190"/>
        <w:gridCol w:w="2370"/>
        <w:gridCol w:w="2265"/>
      </w:tblGrid>
      <w:tr>
        <w:tblPrEx>
          <w:shd w:val="clear" w:color="auto" w:fill="auto"/>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95B3D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18" w:name="_Toc533771876"/>
            <w:r>
              <w:rPr>
                <w:rFonts w:hint="eastAsia" w:ascii="宋体" w:hAnsi="宋体" w:eastAsia="宋体" w:cs="宋体"/>
                <w:i w:val="0"/>
                <w:color w:val="000000"/>
                <w:kern w:val="0"/>
                <w:sz w:val="20"/>
                <w:szCs w:val="20"/>
                <w:u w:val="none"/>
                <w:lang w:val="en-US" w:eastAsia="zh-CN" w:bidi="ar"/>
              </w:rPr>
              <w:t>出口目的地</w:t>
            </w:r>
          </w:p>
        </w:tc>
        <w:tc>
          <w:tcPr>
            <w:tcW w:w="2190" w:type="dxa"/>
            <w:tcBorders>
              <w:top w:val="single" w:color="000000" w:sz="4" w:space="0"/>
              <w:left w:val="single" w:color="000000" w:sz="4" w:space="0"/>
              <w:bottom w:val="single" w:color="000000" w:sz="4" w:space="0"/>
              <w:right w:val="single" w:color="000000" w:sz="4" w:space="0"/>
            </w:tcBorders>
            <w:shd w:val="clear" w:color="auto" w:fill="95B3D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w:t>
            </w:r>
          </w:p>
        </w:tc>
        <w:tc>
          <w:tcPr>
            <w:tcW w:w="2370" w:type="dxa"/>
            <w:tcBorders>
              <w:top w:val="single" w:color="000000" w:sz="4" w:space="0"/>
              <w:left w:val="single" w:color="000000" w:sz="4" w:space="0"/>
              <w:bottom w:val="single" w:color="000000" w:sz="4" w:space="0"/>
              <w:right w:val="single" w:color="000000" w:sz="4" w:space="0"/>
            </w:tcBorders>
            <w:shd w:val="clear" w:color="auto" w:fill="95B3D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w:t>
            </w:r>
          </w:p>
        </w:tc>
        <w:tc>
          <w:tcPr>
            <w:tcW w:w="2265" w:type="dxa"/>
            <w:tcBorders>
              <w:top w:val="single" w:color="000000" w:sz="4" w:space="0"/>
              <w:left w:val="single" w:color="000000" w:sz="4" w:space="0"/>
              <w:bottom w:val="single" w:color="000000" w:sz="4" w:space="0"/>
              <w:right w:val="single" w:color="000000" w:sz="4" w:space="0"/>
            </w:tcBorders>
            <w:shd w:val="clear" w:color="auto" w:fill="95B3D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出口金额美元</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菲律宾</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108671.5</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34295655</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韩国</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92879.5</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22910002</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69000</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14869400</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蒙古</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7323.3</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2205541</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缅甸</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5529.5</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2109937</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墨西哥</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101386.2</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29612806</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279460.6</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73879523</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越南</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90779</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27810520</w:t>
            </w:r>
          </w:p>
        </w:tc>
      </w:tr>
      <w:tr>
        <w:tblPrEx>
          <w:tblCellMar>
            <w:top w:w="0" w:type="dxa"/>
            <w:left w:w="0" w:type="dxa"/>
            <w:bottom w:w="0" w:type="dxa"/>
            <w:right w:w="0" w:type="dxa"/>
          </w:tblCellMar>
        </w:tblPrEx>
        <w:trPr>
          <w:trHeight w:val="270" w:hRule="atLeast"/>
        </w:trPr>
        <w:tc>
          <w:tcPr>
            <w:tcW w:w="2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中国澳门</w:t>
            </w:r>
          </w:p>
        </w:tc>
        <w:tc>
          <w:tcPr>
            <w:tcW w:w="21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5252.9</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1470799</w:t>
            </w:r>
          </w:p>
        </w:tc>
      </w:tr>
    </w:tbl>
    <w:p>
      <w:pPr>
        <w:rPr>
          <w:rFonts w:hint="eastAsia"/>
        </w:rPr>
      </w:pPr>
    </w:p>
    <w:p>
      <w:pPr>
        <w:rPr>
          <w:rFonts w:hint="eastAsia"/>
        </w:rPr>
      </w:pPr>
    </w:p>
    <w:p>
      <w:pPr>
        <w:rPr>
          <w:rFonts w:hint="eastAsia"/>
        </w:rPr>
      </w:pPr>
    </w:p>
    <w:p>
      <w:pPr>
        <w:pStyle w:val="3"/>
        <w:spacing w:before="120" w:after="120" w:line="240" w:lineRule="auto"/>
        <w:rPr>
          <w:rFonts w:hint="eastAsia" w:ascii="宋体" w:hAnsi="宋体"/>
          <w:b/>
          <w:sz w:val="30"/>
          <w:szCs w:val="30"/>
        </w:rPr>
      </w:pPr>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726"/>
        <w:gridCol w:w="1726"/>
        <w:gridCol w:w="188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shd w:val="clear" w:color="auto" w:fill="00CCFF"/>
            <w:vAlign w:val="center"/>
          </w:tcPr>
          <w:p>
            <w:pPr>
              <w:keepNext w:val="0"/>
              <w:keepLines w:val="0"/>
              <w:widowControl/>
              <w:suppressLineNumbers w:val="0"/>
              <w:jc w:val="center"/>
              <w:textAlignment w:val="center"/>
              <w:rPr>
                <w:bCs/>
                <w:color w:val="00B0F0"/>
                <w:szCs w:val="21"/>
              </w:rPr>
            </w:pPr>
            <w:r>
              <w:rPr>
                <w:rFonts w:hint="eastAsia" w:ascii="宋体" w:hAnsi="宋体" w:eastAsia="宋体" w:cs="宋体"/>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出口数量</w:t>
            </w:r>
          </w:p>
        </w:tc>
        <w:tc>
          <w:tcPr>
            <w:tcW w:w="1688"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105125.293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18170.052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966.84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262963.309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99.5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63.913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6847.894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94.515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74.2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175973.373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270770.818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173054.409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82.765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41937</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4541.022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139.8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509.5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981.955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40755.789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384.8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224.073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114.5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1318.39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216.847</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367.5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263.103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506.059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7"/>
      <w:bookmarkStart w:id="20" w:name="_Toc533771879"/>
    </w:p>
    <w:bookmarkEnd w:id="19"/>
    <w:p>
      <w:pPr>
        <w:pStyle w:val="3"/>
        <w:spacing w:before="120" w:after="120" w:line="240" w:lineRule="auto"/>
        <w:rPr>
          <w:rFonts w:hint="eastAsia" w:ascii="宋体" w:hAnsi="宋体"/>
          <w:b/>
          <w:sz w:val="30"/>
          <w:szCs w:val="30"/>
        </w:rPr>
      </w:pPr>
      <w:bookmarkStart w:id="21" w:name="_Toc533771878"/>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6</w:t>
      </w:r>
      <w:r>
        <w:rPr>
          <w:rFonts w:hint="eastAsia" w:ascii="宋体" w:hAnsi="宋体"/>
          <w:b/>
          <w:sz w:val="30"/>
          <w:szCs w:val="30"/>
        </w:rPr>
        <w:t>月份全国原油进出口统计数据</w:t>
      </w:r>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9286" w:type="dxa"/>
        <w:tblInd w:w="0" w:type="dxa"/>
        <w:shd w:val="clear" w:color="auto" w:fill="auto"/>
        <w:tblLayout w:type="autofit"/>
        <w:tblCellMar>
          <w:top w:w="0" w:type="dxa"/>
          <w:left w:w="0" w:type="dxa"/>
          <w:bottom w:w="0" w:type="dxa"/>
          <w:right w:w="0" w:type="dxa"/>
        </w:tblCellMar>
      </w:tblPr>
      <w:tblGrid>
        <w:gridCol w:w="2070"/>
        <w:gridCol w:w="2070"/>
        <w:gridCol w:w="1942"/>
        <w:gridCol w:w="1554"/>
        <w:gridCol w:w="1650"/>
      </w:tblGrid>
      <w:tr>
        <w:tblPrEx>
          <w:shd w:val="clear" w:color="auto" w:fill="auto"/>
          <w:tblCellMar>
            <w:top w:w="0" w:type="dxa"/>
            <w:left w:w="0" w:type="dxa"/>
            <w:bottom w:w="0" w:type="dxa"/>
            <w:right w:w="0" w:type="dxa"/>
          </w:tblCellMar>
        </w:tblPrEx>
        <w:trPr>
          <w:trHeight w:val="555" w:hRule="atLeast"/>
        </w:trPr>
        <w:tc>
          <w:tcPr>
            <w:tcW w:w="207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i w:val="0"/>
                <w:color w:val="191919"/>
                <w:kern w:val="0"/>
                <w:sz w:val="22"/>
                <w:szCs w:val="22"/>
                <w:u w:val="none"/>
                <w:lang w:val="en-US" w:eastAsia="zh-CN" w:bidi="ar"/>
              </w:rPr>
              <w:t>产品</w:t>
            </w:r>
          </w:p>
        </w:tc>
        <w:tc>
          <w:tcPr>
            <w:tcW w:w="207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i w:val="0"/>
                <w:color w:val="191919"/>
                <w:kern w:val="0"/>
                <w:sz w:val="22"/>
                <w:szCs w:val="22"/>
                <w:u w:val="none"/>
                <w:lang w:val="en-US" w:eastAsia="zh-CN" w:bidi="ar"/>
              </w:rPr>
              <w:t>年度</w:t>
            </w:r>
          </w:p>
        </w:tc>
        <w:tc>
          <w:tcPr>
            <w:tcW w:w="1942"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i w:val="0"/>
                <w:color w:val="191919"/>
                <w:kern w:val="0"/>
                <w:sz w:val="22"/>
                <w:szCs w:val="22"/>
                <w:u w:val="none"/>
                <w:lang w:val="en-US" w:eastAsia="zh-CN" w:bidi="ar"/>
              </w:rPr>
              <w:t>月份</w:t>
            </w:r>
          </w:p>
        </w:tc>
        <w:tc>
          <w:tcPr>
            <w:tcW w:w="1554"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i w:val="0"/>
                <w:color w:val="191919"/>
                <w:kern w:val="0"/>
                <w:sz w:val="22"/>
                <w:szCs w:val="22"/>
                <w:u w:val="none"/>
                <w:lang w:val="en-US" w:eastAsia="zh-CN" w:bidi="ar"/>
              </w:rPr>
              <w:t>产销国</w:t>
            </w:r>
          </w:p>
        </w:tc>
        <w:tc>
          <w:tcPr>
            <w:tcW w:w="165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i w:val="0"/>
                <w:color w:val="191919"/>
                <w:kern w:val="0"/>
                <w:sz w:val="22"/>
                <w:szCs w:val="22"/>
                <w:u w:val="none"/>
                <w:lang w:val="en-US" w:eastAsia="zh-CN" w:bidi="ar"/>
              </w:rPr>
              <w:t>进口数量/吨</w:t>
            </w:r>
          </w:p>
        </w:tc>
      </w:tr>
      <w:tr>
        <w:tblPrEx>
          <w:tblCellMar>
            <w:top w:w="0" w:type="dxa"/>
            <w:left w:w="0" w:type="dxa"/>
            <w:bottom w:w="0" w:type="dxa"/>
            <w:right w:w="0" w:type="dxa"/>
          </w:tblCellMar>
        </w:tblPrEx>
        <w:trPr>
          <w:trHeight w:val="285" w:hRule="atLeast"/>
        </w:trPr>
        <w:tc>
          <w:tcPr>
            <w:tcW w:w="2070" w:type="dxa"/>
            <w:vMerge w:val="restart"/>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石油原油(包括从沥青矿物提取的原油)</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阿根廷</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149869.85 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阿联酋</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2549339.66 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阿曼</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2980546.69 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阿塞拜疆</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729305.21 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埃及</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83135.00 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安哥拉</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4441743.14 </w:t>
            </w:r>
          </w:p>
        </w:tc>
      </w:tr>
      <w:tr>
        <w:tblPrEx>
          <w:tblCellMar>
            <w:top w:w="0" w:type="dxa"/>
            <w:left w:w="0" w:type="dxa"/>
            <w:bottom w:w="0" w:type="dxa"/>
            <w:right w:w="0" w:type="dxa"/>
          </w:tblCellMar>
        </w:tblPrEx>
        <w:trPr>
          <w:trHeight w:val="55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澳大利亚</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247141.80 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巴西</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4976739.76 </w:t>
            </w:r>
          </w:p>
        </w:tc>
      </w:tr>
      <w:tr>
        <w:tblPrEx>
          <w:tblCellMar>
            <w:top w:w="0" w:type="dxa"/>
            <w:left w:w="0" w:type="dxa"/>
            <w:bottom w:w="0" w:type="dxa"/>
            <w:right w:w="0" w:type="dxa"/>
          </w:tblCellMar>
        </w:tblPrEx>
        <w:trPr>
          <w:trHeight w:val="55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赤道几内亚</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413140.55 </w:t>
            </w:r>
          </w:p>
        </w:tc>
      </w:tr>
      <w:tr>
        <w:tblPrEx>
          <w:tblCellMar>
            <w:top w:w="0" w:type="dxa"/>
            <w:left w:w="0" w:type="dxa"/>
            <w:bottom w:w="0" w:type="dxa"/>
            <w:right w:w="0" w:type="dxa"/>
          </w:tblCellMar>
        </w:tblPrEx>
        <w:trPr>
          <w:trHeight w:val="55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丹麦</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97638.88 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俄罗斯联邦</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7978454.25 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厄瓜多尔</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123245.84 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刚果(布)</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778776.44 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刚果(金)</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119094.00 </w:t>
            </w:r>
          </w:p>
        </w:tc>
      </w:tr>
      <w:tr>
        <w:tblPrEx>
          <w:tblCellMar>
            <w:top w:w="0" w:type="dxa"/>
            <w:left w:w="0" w:type="dxa"/>
            <w:bottom w:w="0" w:type="dxa"/>
            <w:right w:w="0" w:type="dxa"/>
          </w:tblCellMar>
        </w:tblPrEx>
        <w:trPr>
          <w:trHeight w:val="55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哥伦比亚</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1029232.86 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圭亚那</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137371.65 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哈萨克斯坦</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1294704.42 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加拿大</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668452.30 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加纳</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393537.00 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加蓬</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312580.88 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喀麦隆</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132839.00 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卡塔尔</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701965.66 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科威特</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3123589.62 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利比亚</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115940.20 </w:t>
            </w:r>
          </w:p>
        </w:tc>
      </w:tr>
      <w:tr>
        <w:tblPrEx>
          <w:tblCellMar>
            <w:top w:w="0" w:type="dxa"/>
            <w:left w:w="0" w:type="dxa"/>
            <w:bottom w:w="0" w:type="dxa"/>
            <w:right w:w="0" w:type="dxa"/>
          </w:tblCellMar>
        </w:tblPrEx>
        <w:trPr>
          <w:trHeight w:val="55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马来西亚</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572444.42 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美国</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587117.87 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蒙古</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25274.41 </w:t>
            </w:r>
          </w:p>
        </w:tc>
      </w:tr>
      <w:tr>
        <w:tblPrEx>
          <w:tblCellMar>
            <w:top w:w="0" w:type="dxa"/>
            <w:left w:w="0" w:type="dxa"/>
            <w:bottom w:w="0" w:type="dxa"/>
            <w:right w:w="0" w:type="dxa"/>
          </w:tblCellMar>
        </w:tblPrEx>
        <w:trPr>
          <w:trHeight w:val="55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墨西哥</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67982.04 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尼日利亚</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395906.79 </w:t>
            </w:r>
          </w:p>
        </w:tc>
      </w:tr>
      <w:tr>
        <w:tblPrEx>
          <w:tblCellMar>
            <w:top w:w="0" w:type="dxa"/>
            <w:left w:w="0" w:type="dxa"/>
            <w:bottom w:w="0" w:type="dxa"/>
            <w:right w:w="0" w:type="dxa"/>
          </w:tblCellMar>
        </w:tblPrEx>
        <w:trPr>
          <w:trHeight w:val="55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挪威</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1415956.48 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沙特阿拉伯</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8884227.26 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苏丹</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81931.25 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泰国</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120315.53 </w:t>
            </w:r>
          </w:p>
        </w:tc>
      </w:tr>
      <w:tr>
        <w:tblPrEx>
          <w:tblCellMar>
            <w:top w:w="0" w:type="dxa"/>
            <w:left w:w="0" w:type="dxa"/>
            <w:bottom w:w="0" w:type="dxa"/>
            <w:right w:w="0" w:type="dxa"/>
          </w:tblCellMar>
        </w:tblPrEx>
        <w:trPr>
          <w:trHeight w:val="55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土耳其</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132329.70 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文莱</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77062.00 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也门</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74041.64 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伊拉克</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6010995.98 </w:t>
            </w:r>
          </w:p>
        </w:tc>
      </w:tr>
      <w:tr>
        <w:tblPrEx>
          <w:tblCellMar>
            <w:top w:w="0" w:type="dxa"/>
            <w:left w:w="0" w:type="dxa"/>
            <w:bottom w:w="0" w:type="dxa"/>
            <w:right w:w="0" w:type="dxa"/>
          </w:tblCellMar>
        </w:tblPrEx>
        <w:trPr>
          <w:trHeight w:val="285" w:hRule="atLeast"/>
        </w:trPr>
        <w:tc>
          <w:tcPr>
            <w:tcW w:w="2070" w:type="dxa"/>
            <w:vMerge w:val="continue"/>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p>
        </w:tc>
        <w:tc>
          <w:tcPr>
            <w:tcW w:w="207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i w:val="0"/>
                <w:color w:val="191919"/>
                <w:kern w:val="0"/>
                <w:sz w:val="22"/>
                <w:szCs w:val="22"/>
                <w:u w:val="none"/>
                <w:lang w:val="en-US" w:eastAsia="zh-CN" w:bidi="ar"/>
              </w:rPr>
              <w:t>2020年</w:t>
            </w:r>
          </w:p>
        </w:tc>
        <w:tc>
          <w:tcPr>
            <w:tcW w:w="1942"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i w:val="0"/>
                <w:color w:val="191919"/>
                <w:kern w:val="0"/>
                <w:sz w:val="22"/>
                <w:szCs w:val="22"/>
                <w:u w:val="none"/>
                <w:lang w:val="en-US" w:eastAsia="zh-CN" w:bidi="ar"/>
              </w:rPr>
              <w:t>6月</w:t>
            </w:r>
          </w:p>
        </w:tc>
        <w:tc>
          <w:tcPr>
            <w:tcW w:w="1554"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i w:val="0"/>
                <w:color w:val="191919"/>
                <w:kern w:val="0"/>
                <w:sz w:val="22"/>
                <w:szCs w:val="22"/>
                <w:u w:val="none"/>
                <w:lang w:val="en-US" w:eastAsia="zh-CN" w:bidi="ar"/>
              </w:rPr>
              <w:t>印度尼西亚</w:t>
            </w:r>
          </w:p>
        </w:tc>
        <w:tc>
          <w:tcPr>
            <w:tcW w:w="165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bottom"/>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i w:val="0"/>
                <w:color w:val="191919"/>
                <w:kern w:val="0"/>
                <w:sz w:val="22"/>
                <w:szCs w:val="22"/>
                <w:u w:val="none"/>
                <w:lang w:val="en-US" w:eastAsia="zh-CN" w:bidi="ar"/>
              </w:rPr>
              <w:t>225859.22 </w:t>
            </w:r>
          </w:p>
        </w:tc>
      </w:tr>
    </w:tbl>
    <w:p>
      <w:pPr>
        <w:rPr>
          <w:rFonts w:hint="eastAsia"/>
          <w:bCs/>
          <w:szCs w:val="21"/>
        </w:rPr>
      </w:pPr>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6</w:t>
      </w:r>
      <w:r>
        <w:rPr>
          <w:rFonts w:hint="eastAsia" w:ascii="宋体" w:hAnsi="宋体"/>
          <w:b/>
          <w:sz w:val="30"/>
          <w:szCs w:val="30"/>
        </w:rPr>
        <w:t>月份全国航空煤油进出口统计数据</w:t>
      </w:r>
      <w:bookmarkEnd w:id="21"/>
    </w:p>
    <w:p>
      <w:pPr>
        <w:ind w:firstLine="420" w:firstLineChars="200"/>
        <w:jc w:val="left"/>
      </w:pPr>
      <w:r>
        <w:rPr>
          <w:rFonts w:hint="eastAsia" w:ascii="宋体" w:hAnsi="宋体"/>
        </w:rPr>
        <w:t>单位：</w:t>
      </w:r>
      <w:r>
        <w:rPr>
          <w:rFonts w:hint="eastAsia" w:ascii="宋体" w:hAnsi="宋体"/>
          <w:lang w:eastAsia="zh-CN"/>
        </w:rPr>
        <w:t>吨</w:t>
      </w:r>
      <w:r>
        <w:rPr>
          <w:rFonts w:hint="eastAsia" w:ascii="宋体" w:hAnsi="宋体"/>
        </w:rPr>
        <w:t>，美元</w:t>
      </w:r>
    </w:p>
    <w:p>
      <w:pPr>
        <w:pStyle w:val="3"/>
        <w:spacing w:before="120" w:after="120" w:line="240" w:lineRule="auto"/>
        <w:rPr>
          <w:rFonts w:hint="eastAsia" w:ascii="宋体" w:hAnsi="宋体"/>
          <w:b/>
          <w:sz w:val="30"/>
          <w:szCs w:val="30"/>
        </w:rPr>
      </w:pPr>
    </w:p>
    <w:bookmarkEnd w:id="20"/>
    <w:tbl>
      <w:tblPr>
        <w:tblStyle w:val="24"/>
        <w:tblW w:w="9420" w:type="dxa"/>
        <w:tblInd w:w="0" w:type="dxa"/>
        <w:shd w:val="clear" w:color="auto" w:fill="auto"/>
        <w:tblLayout w:type="autofit"/>
        <w:tblCellMar>
          <w:top w:w="0" w:type="dxa"/>
          <w:left w:w="0" w:type="dxa"/>
          <w:bottom w:w="0" w:type="dxa"/>
          <w:right w:w="0" w:type="dxa"/>
        </w:tblCellMar>
      </w:tblPr>
      <w:tblGrid>
        <w:gridCol w:w="2265"/>
        <w:gridCol w:w="1605"/>
        <w:gridCol w:w="1770"/>
        <w:gridCol w:w="1830"/>
        <w:gridCol w:w="1950"/>
      </w:tblGrid>
      <w:tr>
        <w:tblPrEx>
          <w:shd w:val="clear" w:color="auto" w:fill="auto"/>
          <w:tblCellMar>
            <w:top w:w="0" w:type="dxa"/>
            <w:left w:w="0" w:type="dxa"/>
            <w:bottom w:w="0" w:type="dxa"/>
            <w:right w:w="0" w:type="dxa"/>
          </w:tblCellMar>
        </w:tblPrEx>
        <w:trPr>
          <w:trHeight w:val="525" w:hRule="atLeast"/>
        </w:trPr>
        <w:tc>
          <w:tcPr>
            <w:tcW w:w="2265" w:type="dxa"/>
            <w:tcBorders>
              <w:top w:val="single" w:color="333333" w:sz="8" w:space="0"/>
              <w:left w:val="nil"/>
              <w:bottom w:val="single" w:color="333333" w:sz="8" w:space="0"/>
              <w:right w:val="single" w:color="333333" w:sz="8" w:space="0"/>
            </w:tcBorders>
            <w:shd w:val="clear" w:color="auto" w:fill="95B3D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国家</w:t>
            </w:r>
          </w:p>
        </w:tc>
        <w:tc>
          <w:tcPr>
            <w:tcW w:w="1605" w:type="dxa"/>
            <w:tcBorders>
              <w:top w:val="single" w:color="333333" w:sz="8" w:space="0"/>
              <w:left w:val="nil"/>
              <w:bottom w:val="single" w:color="333333" w:sz="8" w:space="0"/>
              <w:right w:val="single" w:color="333333" w:sz="8" w:space="0"/>
            </w:tcBorders>
            <w:shd w:val="clear" w:color="auto" w:fill="95B3D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进口数量/吨</w:t>
            </w:r>
          </w:p>
        </w:tc>
        <w:tc>
          <w:tcPr>
            <w:tcW w:w="1770" w:type="dxa"/>
            <w:tcBorders>
              <w:top w:val="single" w:color="333333" w:sz="8" w:space="0"/>
              <w:left w:val="nil"/>
              <w:bottom w:val="single" w:color="333333" w:sz="8" w:space="0"/>
              <w:right w:val="single" w:color="333333" w:sz="8" w:space="0"/>
            </w:tcBorders>
            <w:shd w:val="clear" w:color="auto" w:fill="95B3D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进口金额/美元</w:t>
            </w:r>
          </w:p>
        </w:tc>
        <w:tc>
          <w:tcPr>
            <w:tcW w:w="1830" w:type="dxa"/>
            <w:tcBorders>
              <w:top w:val="single" w:color="333333" w:sz="8" w:space="0"/>
              <w:left w:val="nil"/>
              <w:bottom w:val="single" w:color="333333" w:sz="8" w:space="0"/>
              <w:right w:val="single" w:color="333333" w:sz="8" w:space="0"/>
            </w:tcBorders>
            <w:shd w:val="clear" w:color="auto" w:fill="95B3D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出口数量/吨</w:t>
            </w:r>
          </w:p>
        </w:tc>
        <w:tc>
          <w:tcPr>
            <w:tcW w:w="1950" w:type="dxa"/>
            <w:tcBorders>
              <w:top w:val="single" w:color="333333" w:sz="8" w:space="0"/>
              <w:left w:val="nil"/>
              <w:bottom w:val="single" w:color="333333" w:sz="8" w:space="0"/>
              <w:right w:val="single" w:color="333333" w:sz="8" w:space="0"/>
            </w:tcBorders>
            <w:shd w:val="clear" w:color="auto" w:fill="95B3D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出口金额/美元</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阿富汗</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30.164</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8462</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阿联酋</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14254.001</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3365192</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阿塞拜疆</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4660.111</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1335419</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埃及</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154.757</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47222</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埃塞俄比亚</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7922.452</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2372584</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爱沙尼亚</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25.132</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7540</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奥地利</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1631.607</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445699</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巴基斯坦</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254.212</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72583</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白俄罗斯</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17.805</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5466</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比利时</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4094.214</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1184745</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冰岛</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512.557</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153692</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波兰</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124.092</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35858</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丹麦</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29.069</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4881</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德国</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6602.512</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1876010</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俄罗斯联邦</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15220.411</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4409557</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法国</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5866.529</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1658234</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菲律宾</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129.336</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54162</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芬兰</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1915.711</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538195</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哈萨克斯坦</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5177.404</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1548231</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韩国</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253626.088</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64646599</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102088.101</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60875683</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荷兰</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3634.196</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1006171</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吉尔吉斯斯坦</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148.841</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45694</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柬埔寨</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65.063</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17621</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卡塔尔</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8284.784</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2459061</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科威特</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24.259</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7448</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肯尼亚</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75.043</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22502</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卢森堡</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27325.057</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8660200</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罗马尼亚</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36.122</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10837</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马耳他</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109.36</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32792</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马来西亚</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16307.471</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5153161</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40591.248</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12032064</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蒙古</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273.126</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76617</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孟加拉国</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73272.392</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36629670</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缅甸</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8859.221</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4592620</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葡萄牙</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177.102</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53686</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日本</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12807.945</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5612181</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瑞典</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1743.332</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491807</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瑞士</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5134.451</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1407118</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沙特阿拉伯</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39283.212</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9192272</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67.165</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20140</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斯里兰卡</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514.08</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144192</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泰国</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21428.841</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4778632</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1537.931</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431026</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土耳其</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3352.196</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951829</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文莱</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2.879</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822</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乌兹别克斯坦</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1095.191</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314805</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西班牙</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9381.726</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2730157</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新加坡</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41425.908</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11130911</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34320.996</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16277175</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伊朗</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876.387</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256443</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以色列</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4312.316</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1226034</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意大利</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1042.47</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313033</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56.477</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17233</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印度尼西亚</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196.899</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55997</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英国</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42365.88</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9987702</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越南</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31269.652</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8771837</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中国澳门</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56.894</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15955</w:t>
            </w:r>
          </w:p>
        </w:tc>
      </w:tr>
      <w:tr>
        <w:tblPrEx>
          <w:tblCellMar>
            <w:top w:w="0" w:type="dxa"/>
            <w:left w:w="0" w:type="dxa"/>
            <w:bottom w:w="0" w:type="dxa"/>
            <w:right w:w="0" w:type="dxa"/>
          </w:tblCellMar>
        </w:tblPrEx>
        <w:trPr>
          <w:trHeight w:val="270"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中国台湾</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946.036</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286716</w:t>
            </w:r>
          </w:p>
        </w:tc>
      </w:tr>
      <w:tr>
        <w:tblPrEx>
          <w:tblCellMar>
            <w:top w:w="0" w:type="dxa"/>
            <w:left w:w="0" w:type="dxa"/>
            <w:bottom w:w="0" w:type="dxa"/>
            <w:right w:w="0" w:type="dxa"/>
          </w:tblCellMar>
        </w:tblPrEx>
        <w:trPr>
          <w:trHeight w:val="285" w:hRule="atLeast"/>
        </w:trPr>
        <w:tc>
          <w:tcPr>
            <w:tcW w:w="226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中国香港</w:t>
            </w:r>
          </w:p>
        </w:tc>
        <w:tc>
          <w:tcPr>
            <w:tcW w:w="1605"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7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3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164064.259</w:t>
            </w:r>
          </w:p>
        </w:tc>
        <w:tc>
          <w:tcPr>
            <w:tcW w:w="19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42739135</w:t>
            </w:r>
          </w:p>
        </w:tc>
      </w:tr>
      <w:tr>
        <w:tblPrEx>
          <w:tblCellMar>
            <w:top w:w="0" w:type="dxa"/>
            <w:left w:w="0" w:type="dxa"/>
            <w:bottom w:w="0" w:type="dxa"/>
            <w:right w:w="0" w:type="dxa"/>
          </w:tblCellMar>
        </w:tblPrEx>
        <w:trPr>
          <w:trHeight w:val="285" w:hRule="atLeast"/>
        </w:trPr>
        <w:tc>
          <w:tcPr>
            <w:tcW w:w="2265" w:type="dxa"/>
            <w:tcBorders>
              <w:top w:val="single" w:color="333333" w:sz="8" w:space="0"/>
              <w:left w:val="nil"/>
              <w:bottom w:val="single" w:color="333333" w:sz="8" w:space="0"/>
              <w:right w:val="single" w:color="333333" w:sz="8" w:space="0"/>
            </w:tcBorders>
            <w:shd w:val="clear" w:color="auto" w:fill="95B3D7"/>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合计</w:t>
            </w:r>
          </w:p>
        </w:tc>
        <w:tc>
          <w:tcPr>
            <w:tcW w:w="1605" w:type="dxa"/>
            <w:tcBorders>
              <w:top w:val="single" w:color="333333" w:sz="8" w:space="0"/>
              <w:left w:val="nil"/>
              <w:bottom w:val="single" w:color="333333" w:sz="8" w:space="0"/>
              <w:right w:val="single" w:color="333333" w:sz="8" w:space="0"/>
            </w:tcBorders>
            <w:shd w:val="clear" w:color="auto" w:fill="95B3D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372071.52</w:t>
            </w:r>
          </w:p>
        </w:tc>
        <w:tc>
          <w:tcPr>
            <w:tcW w:w="1770" w:type="dxa"/>
            <w:tcBorders>
              <w:top w:val="single" w:color="333333" w:sz="8" w:space="0"/>
              <w:left w:val="nil"/>
              <w:bottom w:val="single" w:color="333333" w:sz="8" w:space="0"/>
              <w:right w:val="single" w:color="333333" w:sz="8" w:space="0"/>
            </w:tcBorders>
            <w:shd w:val="clear" w:color="auto" w:fill="95B3D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94901575</w:t>
            </w:r>
          </w:p>
        </w:tc>
        <w:tc>
          <w:tcPr>
            <w:tcW w:w="1830" w:type="dxa"/>
            <w:tcBorders>
              <w:top w:val="single" w:color="333333" w:sz="8" w:space="0"/>
              <w:left w:val="nil"/>
              <w:bottom w:val="single" w:color="333333" w:sz="8" w:space="0"/>
              <w:right w:val="single" w:color="333333" w:sz="8" w:space="0"/>
            </w:tcBorders>
            <w:shd w:val="clear" w:color="auto" w:fill="95B3D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648731.153</w:t>
            </w:r>
          </w:p>
        </w:tc>
        <w:tc>
          <w:tcPr>
            <w:tcW w:w="1950" w:type="dxa"/>
            <w:tcBorders>
              <w:top w:val="single" w:color="333333" w:sz="8" w:space="0"/>
              <w:left w:val="nil"/>
              <w:bottom w:val="single" w:color="333333" w:sz="8" w:space="0"/>
              <w:right w:val="single" w:color="333333" w:sz="8" w:space="0"/>
            </w:tcBorders>
            <w:shd w:val="clear" w:color="auto" w:fill="95B3D7"/>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237697735</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1566DFC1"/>
    <w:multiLevelType w:val="singleLevel"/>
    <w:tmpl w:val="1566DFC1"/>
    <w:lvl w:ilvl="0" w:tentative="0">
      <w:start w:val="1"/>
      <w:numFmt w:val="decimal"/>
      <w:lvlText w:val="%1."/>
      <w:lvlJc w:val="left"/>
      <w:pPr>
        <w:tabs>
          <w:tab w:val="left" w:pos="312"/>
        </w:tabs>
      </w:pPr>
    </w:lvl>
  </w:abstractNum>
  <w:abstractNum w:abstractNumId="3">
    <w:nsid w:val="2263F9C1"/>
    <w:multiLevelType w:val="singleLevel"/>
    <w:tmpl w:val="2263F9C1"/>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FE2CFE"/>
    <w:rsid w:val="02526173"/>
    <w:rsid w:val="029A6633"/>
    <w:rsid w:val="029F2908"/>
    <w:rsid w:val="02AC60AA"/>
    <w:rsid w:val="02B87E06"/>
    <w:rsid w:val="02D71373"/>
    <w:rsid w:val="02D85611"/>
    <w:rsid w:val="02FE589D"/>
    <w:rsid w:val="031B1C80"/>
    <w:rsid w:val="03211A1D"/>
    <w:rsid w:val="0324523D"/>
    <w:rsid w:val="03331E75"/>
    <w:rsid w:val="034407FB"/>
    <w:rsid w:val="034F6246"/>
    <w:rsid w:val="03562125"/>
    <w:rsid w:val="035F2635"/>
    <w:rsid w:val="036D5E24"/>
    <w:rsid w:val="037413B6"/>
    <w:rsid w:val="03A57F11"/>
    <w:rsid w:val="03C968EE"/>
    <w:rsid w:val="042972F1"/>
    <w:rsid w:val="044E5434"/>
    <w:rsid w:val="04684ED7"/>
    <w:rsid w:val="048101D3"/>
    <w:rsid w:val="048C7CAA"/>
    <w:rsid w:val="04987F00"/>
    <w:rsid w:val="04A45D71"/>
    <w:rsid w:val="04BF7371"/>
    <w:rsid w:val="04C829A7"/>
    <w:rsid w:val="04E22C17"/>
    <w:rsid w:val="04F36106"/>
    <w:rsid w:val="05292B71"/>
    <w:rsid w:val="05314FD7"/>
    <w:rsid w:val="053B1A3D"/>
    <w:rsid w:val="0558720E"/>
    <w:rsid w:val="05894C8A"/>
    <w:rsid w:val="05993019"/>
    <w:rsid w:val="05C01E8E"/>
    <w:rsid w:val="05D708A6"/>
    <w:rsid w:val="06002DF6"/>
    <w:rsid w:val="06153E6E"/>
    <w:rsid w:val="0618444D"/>
    <w:rsid w:val="062A6CB4"/>
    <w:rsid w:val="06300679"/>
    <w:rsid w:val="067746D4"/>
    <w:rsid w:val="069C6A8D"/>
    <w:rsid w:val="06B9287B"/>
    <w:rsid w:val="06DA3028"/>
    <w:rsid w:val="06E3294D"/>
    <w:rsid w:val="06F31CB3"/>
    <w:rsid w:val="06F93008"/>
    <w:rsid w:val="0718687A"/>
    <w:rsid w:val="071A60E7"/>
    <w:rsid w:val="07252677"/>
    <w:rsid w:val="076C6634"/>
    <w:rsid w:val="07820AB4"/>
    <w:rsid w:val="079B346A"/>
    <w:rsid w:val="07CC2D78"/>
    <w:rsid w:val="07CC4016"/>
    <w:rsid w:val="07D15C8A"/>
    <w:rsid w:val="07E76A1F"/>
    <w:rsid w:val="0809715C"/>
    <w:rsid w:val="080A4814"/>
    <w:rsid w:val="0820276D"/>
    <w:rsid w:val="082F1BCD"/>
    <w:rsid w:val="08573B5A"/>
    <w:rsid w:val="086F6B65"/>
    <w:rsid w:val="08A4401C"/>
    <w:rsid w:val="08A55AD2"/>
    <w:rsid w:val="08CD17C0"/>
    <w:rsid w:val="0918731F"/>
    <w:rsid w:val="09223CDC"/>
    <w:rsid w:val="09371EEF"/>
    <w:rsid w:val="093F6B95"/>
    <w:rsid w:val="09524755"/>
    <w:rsid w:val="095B63CA"/>
    <w:rsid w:val="09701692"/>
    <w:rsid w:val="09717916"/>
    <w:rsid w:val="098251C0"/>
    <w:rsid w:val="0984738F"/>
    <w:rsid w:val="098C4592"/>
    <w:rsid w:val="09915D75"/>
    <w:rsid w:val="0996332C"/>
    <w:rsid w:val="09F11ACB"/>
    <w:rsid w:val="09FB6243"/>
    <w:rsid w:val="0A0A6618"/>
    <w:rsid w:val="0A29795D"/>
    <w:rsid w:val="0A2D68BE"/>
    <w:rsid w:val="0A3C22BA"/>
    <w:rsid w:val="0A557C07"/>
    <w:rsid w:val="0A5B4AF5"/>
    <w:rsid w:val="0A75433E"/>
    <w:rsid w:val="0A796F7C"/>
    <w:rsid w:val="0A7B7455"/>
    <w:rsid w:val="0AA33DAF"/>
    <w:rsid w:val="0AB608CB"/>
    <w:rsid w:val="0AC60296"/>
    <w:rsid w:val="0AD32487"/>
    <w:rsid w:val="0AE31AD5"/>
    <w:rsid w:val="0B017D09"/>
    <w:rsid w:val="0B0715B1"/>
    <w:rsid w:val="0B0F0B26"/>
    <w:rsid w:val="0B400CB2"/>
    <w:rsid w:val="0B421176"/>
    <w:rsid w:val="0B721C38"/>
    <w:rsid w:val="0B860805"/>
    <w:rsid w:val="0B945C54"/>
    <w:rsid w:val="0BB16187"/>
    <w:rsid w:val="0BCE6861"/>
    <w:rsid w:val="0BDC4FBC"/>
    <w:rsid w:val="0BDF0A5F"/>
    <w:rsid w:val="0C08318F"/>
    <w:rsid w:val="0C1E7ABD"/>
    <w:rsid w:val="0C270CC3"/>
    <w:rsid w:val="0C586B50"/>
    <w:rsid w:val="0C586E44"/>
    <w:rsid w:val="0C7F402D"/>
    <w:rsid w:val="0C822A19"/>
    <w:rsid w:val="0C930A24"/>
    <w:rsid w:val="0CB81916"/>
    <w:rsid w:val="0CD123E3"/>
    <w:rsid w:val="0CE32FB8"/>
    <w:rsid w:val="0CE44838"/>
    <w:rsid w:val="0D206C21"/>
    <w:rsid w:val="0D731CA1"/>
    <w:rsid w:val="0D775B07"/>
    <w:rsid w:val="0D893BAC"/>
    <w:rsid w:val="0DA370DA"/>
    <w:rsid w:val="0DA7099A"/>
    <w:rsid w:val="0DB01CE1"/>
    <w:rsid w:val="0DBA1705"/>
    <w:rsid w:val="0DC46B30"/>
    <w:rsid w:val="0DC9706D"/>
    <w:rsid w:val="0DD115AA"/>
    <w:rsid w:val="0DEA06F6"/>
    <w:rsid w:val="0E01030B"/>
    <w:rsid w:val="0E04318C"/>
    <w:rsid w:val="0E274301"/>
    <w:rsid w:val="0E31785B"/>
    <w:rsid w:val="0E5C0982"/>
    <w:rsid w:val="0E730195"/>
    <w:rsid w:val="0E803657"/>
    <w:rsid w:val="0E8B35C9"/>
    <w:rsid w:val="0EAF107B"/>
    <w:rsid w:val="0EB4347F"/>
    <w:rsid w:val="0EBE27AA"/>
    <w:rsid w:val="0EC1627E"/>
    <w:rsid w:val="0ED36950"/>
    <w:rsid w:val="0EED0FC5"/>
    <w:rsid w:val="0EF07619"/>
    <w:rsid w:val="0EF248CA"/>
    <w:rsid w:val="0EFB4176"/>
    <w:rsid w:val="0F034AA6"/>
    <w:rsid w:val="0F08360E"/>
    <w:rsid w:val="0F125E7D"/>
    <w:rsid w:val="0F26373F"/>
    <w:rsid w:val="0F446A41"/>
    <w:rsid w:val="0F5808CC"/>
    <w:rsid w:val="0F666559"/>
    <w:rsid w:val="0F790BDF"/>
    <w:rsid w:val="0F7D42FE"/>
    <w:rsid w:val="0F820E85"/>
    <w:rsid w:val="0F8A41FA"/>
    <w:rsid w:val="0F9B4E2A"/>
    <w:rsid w:val="0FB045CC"/>
    <w:rsid w:val="0FC910AB"/>
    <w:rsid w:val="0FD23F99"/>
    <w:rsid w:val="0FEF79AA"/>
    <w:rsid w:val="101C7D06"/>
    <w:rsid w:val="1024515A"/>
    <w:rsid w:val="1046198D"/>
    <w:rsid w:val="105F3A71"/>
    <w:rsid w:val="106D475B"/>
    <w:rsid w:val="10BA0A0E"/>
    <w:rsid w:val="10CE39DE"/>
    <w:rsid w:val="10FA6B68"/>
    <w:rsid w:val="11422692"/>
    <w:rsid w:val="11590029"/>
    <w:rsid w:val="117F7F48"/>
    <w:rsid w:val="1265739D"/>
    <w:rsid w:val="12662947"/>
    <w:rsid w:val="12BE2ADE"/>
    <w:rsid w:val="12D8263D"/>
    <w:rsid w:val="130B16E4"/>
    <w:rsid w:val="13267B35"/>
    <w:rsid w:val="134A6D86"/>
    <w:rsid w:val="13594CF7"/>
    <w:rsid w:val="135A728A"/>
    <w:rsid w:val="13772D89"/>
    <w:rsid w:val="138744BB"/>
    <w:rsid w:val="13B45FC3"/>
    <w:rsid w:val="13E7373B"/>
    <w:rsid w:val="13FE142E"/>
    <w:rsid w:val="14176463"/>
    <w:rsid w:val="144B6D3F"/>
    <w:rsid w:val="14546EAA"/>
    <w:rsid w:val="147759A4"/>
    <w:rsid w:val="147A75E5"/>
    <w:rsid w:val="149C7CF0"/>
    <w:rsid w:val="14BC21CE"/>
    <w:rsid w:val="14BE2339"/>
    <w:rsid w:val="14D56BF6"/>
    <w:rsid w:val="14F32D76"/>
    <w:rsid w:val="14F5216B"/>
    <w:rsid w:val="151B73F8"/>
    <w:rsid w:val="15211EFF"/>
    <w:rsid w:val="15353F74"/>
    <w:rsid w:val="154F205D"/>
    <w:rsid w:val="15615E0F"/>
    <w:rsid w:val="156D2843"/>
    <w:rsid w:val="15701AB8"/>
    <w:rsid w:val="159001BC"/>
    <w:rsid w:val="15B939D5"/>
    <w:rsid w:val="15D83B2E"/>
    <w:rsid w:val="15DD70EA"/>
    <w:rsid w:val="15E11AB3"/>
    <w:rsid w:val="15E25134"/>
    <w:rsid w:val="15E8785D"/>
    <w:rsid w:val="16116F4B"/>
    <w:rsid w:val="164206BE"/>
    <w:rsid w:val="16600954"/>
    <w:rsid w:val="16734EEE"/>
    <w:rsid w:val="16E22B33"/>
    <w:rsid w:val="16F85570"/>
    <w:rsid w:val="17116BE2"/>
    <w:rsid w:val="17194D7A"/>
    <w:rsid w:val="172078E9"/>
    <w:rsid w:val="172D12A6"/>
    <w:rsid w:val="173C1948"/>
    <w:rsid w:val="17464B66"/>
    <w:rsid w:val="175B5D81"/>
    <w:rsid w:val="17652D76"/>
    <w:rsid w:val="177778D5"/>
    <w:rsid w:val="177C4324"/>
    <w:rsid w:val="17BD7A6D"/>
    <w:rsid w:val="182A5943"/>
    <w:rsid w:val="18704C74"/>
    <w:rsid w:val="18CA4E8D"/>
    <w:rsid w:val="191B1724"/>
    <w:rsid w:val="194573ED"/>
    <w:rsid w:val="195D29F2"/>
    <w:rsid w:val="196465FF"/>
    <w:rsid w:val="196B6E10"/>
    <w:rsid w:val="198154A5"/>
    <w:rsid w:val="19850C75"/>
    <w:rsid w:val="198A3D94"/>
    <w:rsid w:val="198F27F8"/>
    <w:rsid w:val="199C5ECD"/>
    <w:rsid w:val="19B1121F"/>
    <w:rsid w:val="19E14ABD"/>
    <w:rsid w:val="1A051BC1"/>
    <w:rsid w:val="1A110D84"/>
    <w:rsid w:val="1A2B0F11"/>
    <w:rsid w:val="1A555BDB"/>
    <w:rsid w:val="1A660755"/>
    <w:rsid w:val="1A703BC4"/>
    <w:rsid w:val="1A7262E8"/>
    <w:rsid w:val="1A882B3D"/>
    <w:rsid w:val="1ABE2D20"/>
    <w:rsid w:val="1ACC4B7F"/>
    <w:rsid w:val="1AD34CD1"/>
    <w:rsid w:val="1AD417D6"/>
    <w:rsid w:val="1AE7665A"/>
    <w:rsid w:val="1B743284"/>
    <w:rsid w:val="1B816F9A"/>
    <w:rsid w:val="1B8175D6"/>
    <w:rsid w:val="1B9C1B61"/>
    <w:rsid w:val="1BB46A20"/>
    <w:rsid w:val="1BBD6973"/>
    <w:rsid w:val="1BE81B85"/>
    <w:rsid w:val="1BFE2971"/>
    <w:rsid w:val="1C01336C"/>
    <w:rsid w:val="1C021382"/>
    <w:rsid w:val="1C1669BA"/>
    <w:rsid w:val="1C1C3102"/>
    <w:rsid w:val="1C2230E8"/>
    <w:rsid w:val="1C2E2C8D"/>
    <w:rsid w:val="1C6C7614"/>
    <w:rsid w:val="1CB31F52"/>
    <w:rsid w:val="1CDC7753"/>
    <w:rsid w:val="1CEC4A0D"/>
    <w:rsid w:val="1D1712A0"/>
    <w:rsid w:val="1D2B7B9F"/>
    <w:rsid w:val="1D305274"/>
    <w:rsid w:val="1D3F5714"/>
    <w:rsid w:val="1D466011"/>
    <w:rsid w:val="1D547E28"/>
    <w:rsid w:val="1D655DB6"/>
    <w:rsid w:val="1D980258"/>
    <w:rsid w:val="1D9C1F14"/>
    <w:rsid w:val="1DB113DA"/>
    <w:rsid w:val="1DFB4E0B"/>
    <w:rsid w:val="1E196DA1"/>
    <w:rsid w:val="1E2278F4"/>
    <w:rsid w:val="1E4062B7"/>
    <w:rsid w:val="1E5542CC"/>
    <w:rsid w:val="1E6D6ABE"/>
    <w:rsid w:val="1E755624"/>
    <w:rsid w:val="1EAA616E"/>
    <w:rsid w:val="1EB15364"/>
    <w:rsid w:val="1EBE2AB5"/>
    <w:rsid w:val="1EDD703F"/>
    <w:rsid w:val="1F092A2D"/>
    <w:rsid w:val="1F1162FE"/>
    <w:rsid w:val="1F1C0B32"/>
    <w:rsid w:val="1F352B32"/>
    <w:rsid w:val="1F4A096C"/>
    <w:rsid w:val="1F6B3A34"/>
    <w:rsid w:val="1F751CBE"/>
    <w:rsid w:val="1F7D6B10"/>
    <w:rsid w:val="1F963D6D"/>
    <w:rsid w:val="1F98363F"/>
    <w:rsid w:val="1FA70F8C"/>
    <w:rsid w:val="1FBF488C"/>
    <w:rsid w:val="1FCD7675"/>
    <w:rsid w:val="1FD377B1"/>
    <w:rsid w:val="1FEF77E1"/>
    <w:rsid w:val="1FFC155B"/>
    <w:rsid w:val="20010BD0"/>
    <w:rsid w:val="20137C9A"/>
    <w:rsid w:val="20261774"/>
    <w:rsid w:val="202A3AEF"/>
    <w:rsid w:val="203A4D2E"/>
    <w:rsid w:val="204030A0"/>
    <w:rsid w:val="205B78B2"/>
    <w:rsid w:val="205C4184"/>
    <w:rsid w:val="206558CE"/>
    <w:rsid w:val="206901B1"/>
    <w:rsid w:val="2078018B"/>
    <w:rsid w:val="209323D8"/>
    <w:rsid w:val="20AD55FF"/>
    <w:rsid w:val="20C12FDC"/>
    <w:rsid w:val="211001E9"/>
    <w:rsid w:val="21147D43"/>
    <w:rsid w:val="2119067D"/>
    <w:rsid w:val="21216F1B"/>
    <w:rsid w:val="215A4604"/>
    <w:rsid w:val="217C7ED4"/>
    <w:rsid w:val="21862B07"/>
    <w:rsid w:val="21973788"/>
    <w:rsid w:val="219A3406"/>
    <w:rsid w:val="21A70D61"/>
    <w:rsid w:val="21B2244C"/>
    <w:rsid w:val="21C30EF9"/>
    <w:rsid w:val="21D956E3"/>
    <w:rsid w:val="21EF7C0A"/>
    <w:rsid w:val="221551D8"/>
    <w:rsid w:val="224E7428"/>
    <w:rsid w:val="2261560B"/>
    <w:rsid w:val="227918A6"/>
    <w:rsid w:val="22944164"/>
    <w:rsid w:val="229674ED"/>
    <w:rsid w:val="22AC485D"/>
    <w:rsid w:val="22D174A6"/>
    <w:rsid w:val="22E67532"/>
    <w:rsid w:val="230F16FC"/>
    <w:rsid w:val="231C2E7E"/>
    <w:rsid w:val="232A4048"/>
    <w:rsid w:val="233344E4"/>
    <w:rsid w:val="23850BE5"/>
    <w:rsid w:val="238E2690"/>
    <w:rsid w:val="239015CD"/>
    <w:rsid w:val="23B946BE"/>
    <w:rsid w:val="23C01773"/>
    <w:rsid w:val="23EF13A7"/>
    <w:rsid w:val="23F7720B"/>
    <w:rsid w:val="24086432"/>
    <w:rsid w:val="240F1052"/>
    <w:rsid w:val="24310987"/>
    <w:rsid w:val="24322A62"/>
    <w:rsid w:val="24554136"/>
    <w:rsid w:val="245C2B3F"/>
    <w:rsid w:val="24836E94"/>
    <w:rsid w:val="24974A9D"/>
    <w:rsid w:val="24A21A55"/>
    <w:rsid w:val="24BC74B9"/>
    <w:rsid w:val="24BE33B8"/>
    <w:rsid w:val="250D3E66"/>
    <w:rsid w:val="252754C5"/>
    <w:rsid w:val="252D3F69"/>
    <w:rsid w:val="25585795"/>
    <w:rsid w:val="25740BBD"/>
    <w:rsid w:val="25955E96"/>
    <w:rsid w:val="259B6E31"/>
    <w:rsid w:val="25B677AD"/>
    <w:rsid w:val="25B904A8"/>
    <w:rsid w:val="261447E7"/>
    <w:rsid w:val="26162D47"/>
    <w:rsid w:val="26417898"/>
    <w:rsid w:val="26442276"/>
    <w:rsid w:val="26552532"/>
    <w:rsid w:val="26AD0D8B"/>
    <w:rsid w:val="26C17431"/>
    <w:rsid w:val="26C545A4"/>
    <w:rsid w:val="26C94300"/>
    <w:rsid w:val="26DF7D7C"/>
    <w:rsid w:val="26EE1723"/>
    <w:rsid w:val="26F154C7"/>
    <w:rsid w:val="27080E2E"/>
    <w:rsid w:val="270D21C6"/>
    <w:rsid w:val="277F5A23"/>
    <w:rsid w:val="27A7464B"/>
    <w:rsid w:val="28011EB5"/>
    <w:rsid w:val="28092464"/>
    <w:rsid w:val="282C5A3A"/>
    <w:rsid w:val="283F32F7"/>
    <w:rsid w:val="285E5BE3"/>
    <w:rsid w:val="28611CC2"/>
    <w:rsid w:val="286D2B55"/>
    <w:rsid w:val="28721E59"/>
    <w:rsid w:val="28892109"/>
    <w:rsid w:val="28A325B7"/>
    <w:rsid w:val="28B71571"/>
    <w:rsid w:val="28BA104F"/>
    <w:rsid w:val="28C132F2"/>
    <w:rsid w:val="28D37B64"/>
    <w:rsid w:val="28EF11D1"/>
    <w:rsid w:val="290566C3"/>
    <w:rsid w:val="295C2D51"/>
    <w:rsid w:val="29A81CD2"/>
    <w:rsid w:val="29A90232"/>
    <w:rsid w:val="29A92B3A"/>
    <w:rsid w:val="29C804D1"/>
    <w:rsid w:val="29CB1410"/>
    <w:rsid w:val="29D84ABC"/>
    <w:rsid w:val="29F5410D"/>
    <w:rsid w:val="2A1503FE"/>
    <w:rsid w:val="2A194990"/>
    <w:rsid w:val="2A215E5E"/>
    <w:rsid w:val="2A252C4C"/>
    <w:rsid w:val="2A3E7B5A"/>
    <w:rsid w:val="2A6B55C6"/>
    <w:rsid w:val="2A8475EE"/>
    <w:rsid w:val="2A951C8C"/>
    <w:rsid w:val="2A9B26F1"/>
    <w:rsid w:val="2AB25451"/>
    <w:rsid w:val="2AC063B7"/>
    <w:rsid w:val="2ACD0874"/>
    <w:rsid w:val="2AD267B8"/>
    <w:rsid w:val="2AD8059C"/>
    <w:rsid w:val="2B0D737C"/>
    <w:rsid w:val="2B0F004D"/>
    <w:rsid w:val="2B154A20"/>
    <w:rsid w:val="2B6638DE"/>
    <w:rsid w:val="2B84406F"/>
    <w:rsid w:val="2B8F58E2"/>
    <w:rsid w:val="2BA07FAD"/>
    <w:rsid w:val="2BE5055C"/>
    <w:rsid w:val="2BED5A7C"/>
    <w:rsid w:val="2BF858F4"/>
    <w:rsid w:val="2BFC6315"/>
    <w:rsid w:val="2BFD5564"/>
    <w:rsid w:val="2C4C1107"/>
    <w:rsid w:val="2C811341"/>
    <w:rsid w:val="2C823F4E"/>
    <w:rsid w:val="2CAD067B"/>
    <w:rsid w:val="2CFD0FC0"/>
    <w:rsid w:val="2D050EBF"/>
    <w:rsid w:val="2D2A25A1"/>
    <w:rsid w:val="2D4D17E5"/>
    <w:rsid w:val="2D6F58D8"/>
    <w:rsid w:val="2D892B5C"/>
    <w:rsid w:val="2DB328B9"/>
    <w:rsid w:val="2DC6450C"/>
    <w:rsid w:val="2DD85082"/>
    <w:rsid w:val="2DE11692"/>
    <w:rsid w:val="2DF5641D"/>
    <w:rsid w:val="2DF644E3"/>
    <w:rsid w:val="2E0D40F5"/>
    <w:rsid w:val="2E2F56E6"/>
    <w:rsid w:val="2E4A7323"/>
    <w:rsid w:val="2E98229F"/>
    <w:rsid w:val="2EA56E95"/>
    <w:rsid w:val="2EA673C9"/>
    <w:rsid w:val="2ECA710C"/>
    <w:rsid w:val="2ED4404D"/>
    <w:rsid w:val="2ED50475"/>
    <w:rsid w:val="2EE365C8"/>
    <w:rsid w:val="2F090AB4"/>
    <w:rsid w:val="2F13732E"/>
    <w:rsid w:val="2F336BA3"/>
    <w:rsid w:val="2F5621A6"/>
    <w:rsid w:val="2F66411F"/>
    <w:rsid w:val="2F9E2267"/>
    <w:rsid w:val="2FA5716E"/>
    <w:rsid w:val="2FBE7D06"/>
    <w:rsid w:val="2FD85581"/>
    <w:rsid w:val="2FE513F6"/>
    <w:rsid w:val="2FE91ED2"/>
    <w:rsid w:val="2FF22D62"/>
    <w:rsid w:val="30037E76"/>
    <w:rsid w:val="300B0CEC"/>
    <w:rsid w:val="302909D7"/>
    <w:rsid w:val="30320AA9"/>
    <w:rsid w:val="30A00CB5"/>
    <w:rsid w:val="30AF5F22"/>
    <w:rsid w:val="30C14186"/>
    <w:rsid w:val="30D71496"/>
    <w:rsid w:val="30E73B0D"/>
    <w:rsid w:val="30FC61C2"/>
    <w:rsid w:val="30FD55E0"/>
    <w:rsid w:val="310F6F60"/>
    <w:rsid w:val="31363ABC"/>
    <w:rsid w:val="314614BA"/>
    <w:rsid w:val="31490B7D"/>
    <w:rsid w:val="3153679E"/>
    <w:rsid w:val="315F2471"/>
    <w:rsid w:val="3177458F"/>
    <w:rsid w:val="3189708E"/>
    <w:rsid w:val="318B1F3D"/>
    <w:rsid w:val="319434F7"/>
    <w:rsid w:val="31994D00"/>
    <w:rsid w:val="31A65E57"/>
    <w:rsid w:val="31AD16EF"/>
    <w:rsid w:val="31AE660C"/>
    <w:rsid w:val="31B05A1F"/>
    <w:rsid w:val="31FC35FB"/>
    <w:rsid w:val="32010D04"/>
    <w:rsid w:val="320A7836"/>
    <w:rsid w:val="324163CA"/>
    <w:rsid w:val="32574FD8"/>
    <w:rsid w:val="325C547C"/>
    <w:rsid w:val="326C29F6"/>
    <w:rsid w:val="327C3888"/>
    <w:rsid w:val="32945DAC"/>
    <w:rsid w:val="32AB0897"/>
    <w:rsid w:val="32CB3A84"/>
    <w:rsid w:val="32CE45BC"/>
    <w:rsid w:val="32D9201A"/>
    <w:rsid w:val="32E42D0F"/>
    <w:rsid w:val="32E779A4"/>
    <w:rsid w:val="330D4D94"/>
    <w:rsid w:val="33435E16"/>
    <w:rsid w:val="335F11B3"/>
    <w:rsid w:val="337B12FB"/>
    <w:rsid w:val="339C5454"/>
    <w:rsid w:val="33DD1D83"/>
    <w:rsid w:val="33FC5F9C"/>
    <w:rsid w:val="34005D95"/>
    <w:rsid w:val="34173060"/>
    <w:rsid w:val="3425323C"/>
    <w:rsid w:val="342E5EA7"/>
    <w:rsid w:val="343E0BAC"/>
    <w:rsid w:val="34474FF1"/>
    <w:rsid w:val="344B3651"/>
    <w:rsid w:val="34B63281"/>
    <w:rsid w:val="34C105B0"/>
    <w:rsid w:val="34CA39B2"/>
    <w:rsid w:val="34D564C3"/>
    <w:rsid w:val="34DC79C0"/>
    <w:rsid w:val="34EC4B86"/>
    <w:rsid w:val="3572663B"/>
    <w:rsid w:val="357D4C50"/>
    <w:rsid w:val="35925B04"/>
    <w:rsid w:val="35963717"/>
    <w:rsid w:val="35AF3549"/>
    <w:rsid w:val="35DA5213"/>
    <w:rsid w:val="35EE7B1B"/>
    <w:rsid w:val="35F65FAD"/>
    <w:rsid w:val="36202050"/>
    <w:rsid w:val="364A7C84"/>
    <w:rsid w:val="36605016"/>
    <w:rsid w:val="366B7A53"/>
    <w:rsid w:val="368259EE"/>
    <w:rsid w:val="3689301E"/>
    <w:rsid w:val="36B523AB"/>
    <w:rsid w:val="36C76D40"/>
    <w:rsid w:val="36F44E23"/>
    <w:rsid w:val="371D2966"/>
    <w:rsid w:val="373062E8"/>
    <w:rsid w:val="37785098"/>
    <w:rsid w:val="377E7331"/>
    <w:rsid w:val="37A6234C"/>
    <w:rsid w:val="37AF1535"/>
    <w:rsid w:val="37CB57CA"/>
    <w:rsid w:val="37D337D1"/>
    <w:rsid w:val="37DD56C2"/>
    <w:rsid w:val="37F16302"/>
    <w:rsid w:val="38781C56"/>
    <w:rsid w:val="38C30240"/>
    <w:rsid w:val="38D30895"/>
    <w:rsid w:val="38E95212"/>
    <w:rsid w:val="391C1C7A"/>
    <w:rsid w:val="39465968"/>
    <w:rsid w:val="39600E80"/>
    <w:rsid w:val="399B72BC"/>
    <w:rsid w:val="3A01261A"/>
    <w:rsid w:val="3A1A4CEB"/>
    <w:rsid w:val="3A204DEA"/>
    <w:rsid w:val="3A247020"/>
    <w:rsid w:val="3A34341C"/>
    <w:rsid w:val="3A366570"/>
    <w:rsid w:val="3A41027E"/>
    <w:rsid w:val="3A446ABC"/>
    <w:rsid w:val="3A481E25"/>
    <w:rsid w:val="3A562007"/>
    <w:rsid w:val="3A632ED3"/>
    <w:rsid w:val="3A693A23"/>
    <w:rsid w:val="3A6F255F"/>
    <w:rsid w:val="3A6F6832"/>
    <w:rsid w:val="3A90237F"/>
    <w:rsid w:val="3B0A7991"/>
    <w:rsid w:val="3B100A85"/>
    <w:rsid w:val="3B18283A"/>
    <w:rsid w:val="3B336F2F"/>
    <w:rsid w:val="3B691338"/>
    <w:rsid w:val="3BA60160"/>
    <w:rsid w:val="3BB46CD1"/>
    <w:rsid w:val="3BB6128D"/>
    <w:rsid w:val="3BD11411"/>
    <w:rsid w:val="3BD837A5"/>
    <w:rsid w:val="3BED4242"/>
    <w:rsid w:val="3C317DDD"/>
    <w:rsid w:val="3C457CDF"/>
    <w:rsid w:val="3C742BEB"/>
    <w:rsid w:val="3C857740"/>
    <w:rsid w:val="3C8E02B7"/>
    <w:rsid w:val="3CB004C5"/>
    <w:rsid w:val="3CB35047"/>
    <w:rsid w:val="3CB47F7E"/>
    <w:rsid w:val="3CB603EF"/>
    <w:rsid w:val="3CD82621"/>
    <w:rsid w:val="3CDD69B2"/>
    <w:rsid w:val="3CEA693F"/>
    <w:rsid w:val="3D0D55A5"/>
    <w:rsid w:val="3D354C10"/>
    <w:rsid w:val="3D475AFB"/>
    <w:rsid w:val="3D4C43AF"/>
    <w:rsid w:val="3D502422"/>
    <w:rsid w:val="3D5404DD"/>
    <w:rsid w:val="3D6341E4"/>
    <w:rsid w:val="3D6A48AA"/>
    <w:rsid w:val="3D7C1281"/>
    <w:rsid w:val="3D8D1DDC"/>
    <w:rsid w:val="3D995C7E"/>
    <w:rsid w:val="3DD2333F"/>
    <w:rsid w:val="3E000E38"/>
    <w:rsid w:val="3E037731"/>
    <w:rsid w:val="3E0F09D9"/>
    <w:rsid w:val="3E1646C1"/>
    <w:rsid w:val="3E247488"/>
    <w:rsid w:val="3E305EE4"/>
    <w:rsid w:val="3E3D25F5"/>
    <w:rsid w:val="3E4E6762"/>
    <w:rsid w:val="3E70166E"/>
    <w:rsid w:val="3E752011"/>
    <w:rsid w:val="3E8270FA"/>
    <w:rsid w:val="3E8E2505"/>
    <w:rsid w:val="3E9953AC"/>
    <w:rsid w:val="3F310E2B"/>
    <w:rsid w:val="3F3E5B85"/>
    <w:rsid w:val="3F4D19AF"/>
    <w:rsid w:val="3F837DDF"/>
    <w:rsid w:val="3FA21405"/>
    <w:rsid w:val="3FC04528"/>
    <w:rsid w:val="3FCB012B"/>
    <w:rsid w:val="3FEE1DE8"/>
    <w:rsid w:val="3FFE5EFF"/>
    <w:rsid w:val="40171145"/>
    <w:rsid w:val="402104DC"/>
    <w:rsid w:val="40662C29"/>
    <w:rsid w:val="40742438"/>
    <w:rsid w:val="40791098"/>
    <w:rsid w:val="40932E75"/>
    <w:rsid w:val="40BC5D67"/>
    <w:rsid w:val="40D775A2"/>
    <w:rsid w:val="40F61783"/>
    <w:rsid w:val="4100601D"/>
    <w:rsid w:val="410D75D5"/>
    <w:rsid w:val="411E3000"/>
    <w:rsid w:val="41402C24"/>
    <w:rsid w:val="414E7345"/>
    <w:rsid w:val="41696F7F"/>
    <w:rsid w:val="417240B9"/>
    <w:rsid w:val="417C0D06"/>
    <w:rsid w:val="418B25AA"/>
    <w:rsid w:val="418E56CE"/>
    <w:rsid w:val="41925E9B"/>
    <w:rsid w:val="419B1BC4"/>
    <w:rsid w:val="419D7C05"/>
    <w:rsid w:val="41B3371C"/>
    <w:rsid w:val="41B4302C"/>
    <w:rsid w:val="41DA3C01"/>
    <w:rsid w:val="41E3266D"/>
    <w:rsid w:val="41F604FA"/>
    <w:rsid w:val="420F24CA"/>
    <w:rsid w:val="421C0994"/>
    <w:rsid w:val="424F02B6"/>
    <w:rsid w:val="42683145"/>
    <w:rsid w:val="427133C0"/>
    <w:rsid w:val="42715180"/>
    <w:rsid w:val="4277762F"/>
    <w:rsid w:val="429D7D7D"/>
    <w:rsid w:val="42B45768"/>
    <w:rsid w:val="42E637C3"/>
    <w:rsid w:val="42FD1410"/>
    <w:rsid w:val="43184FA0"/>
    <w:rsid w:val="431F563A"/>
    <w:rsid w:val="432D0CD2"/>
    <w:rsid w:val="4348259E"/>
    <w:rsid w:val="434C0977"/>
    <w:rsid w:val="43705840"/>
    <w:rsid w:val="43AF6845"/>
    <w:rsid w:val="43D44FF8"/>
    <w:rsid w:val="441557E3"/>
    <w:rsid w:val="44286453"/>
    <w:rsid w:val="444B4817"/>
    <w:rsid w:val="444C54FC"/>
    <w:rsid w:val="44615639"/>
    <w:rsid w:val="44762FC6"/>
    <w:rsid w:val="4488431A"/>
    <w:rsid w:val="448F5706"/>
    <w:rsid w:val="44944331"/>
    <w:rsid w:val="449A539D"/>
    <w:rsid w:val="44A538D4"/>
    <w:rsid w:val="44B05905"/>
    <w:rsid w:val="44B67F0B"/>
    <w:rsid w:val="451317C4"/>
    <w:rsid w:val="45575AD5"/>
    <w:rsid w:val="459B774E"/>
    <w:rsid w:val="45B72AB1"/>
    <w:rsid w:val="45CF5AD4"/>
    <w:rsid w:val="45DD06D9"/>
    <w:rsid w:val="460D21F2"/>
    <w:rsid w:val="460E0469"/>
    <w:rsid w:val="460E0A15"/>
    <w:rsid w:val="4635298E"/>
    <w:rsid w:val="464050BB"/>
    <w:rsid w:val="466B6702"/>
    <w:rsid w:val="466F037A"/>
    <w:rsid w:val="467737E1"/>
    <w:rsid w:val="46A075FA"/>
    <w:rsid w:val="46D7121E"/>
    <w:rsid w:val="46FF57CE"/>
    <w:rsid w:val="47154F60"/>
    <w:rsid w:val="47700BCB"/>
    <w:rsid w:val="47C254B8"/>
    <w:rsid w:val="47DF082A"/>
    <w:rsid w:val="47EB5003"/>
    <w:rsid w:val="48081128"/>
    <w:rsid w:val="483A31DC"/>
    <w:rsid w:val="484715CC"/>
    <w:rsid w:val="485D616F"/>
    <w:rsid w:val="48942C25"/>
    <w:rsid w:val="4898666C"/>
    <w:rsid w:val="489B75DE"/>
    <w:rsid w:val="489F44D2"/>
    <w:rsid w:val="48B5305A"/>
    <w:rsid w:val="48B63FE7"/>
    <w:rsid w:val="48CC7D6E"/>
    <w:rsid w:val="48EB5A5C"/>
    <w:rsid w:val="490B579F"/>
    <w:rsid w:val="4920208E"/>
    <w:rsid w:val="492A1C6E"/>
    <w:rsid w:val="492C7D33"/>
    <w:rsid w:val="493A79B5"/>
    <w:rsid w:val="4969605D"/>
    <w:rsid w:val="496D1F2A"/>
    <w:rsid w:val="497C7394"/>
    <w:rsid w:val="498A3B85"/>
    <w:rsid w:val="49AE3287"/>
    <w:rsid w:val="49C65C46"/>
    <w:rsid w:val="49D021B0"/>
    <w:rsid w:val="49D61F4B"/>
    <w:rsid w:val="49D7375C"/>
    <w:rsid w:val="49EC64E1"/>
    <w:rsid w:val="4A11668C"/>
    <w:rsid w:val="4A3546EB"/>
    <w:rsid w:val="4A4A48A6"/>
    <w:rsid w:val="4A524812"/>
    <w:rsid w:val="4A526073"/>
    <w:rsid w:val="4A56215E"/>
    <w:rsid w:val="4A5D4A40"/>
    <w:rsid w:val="4A63534F"/>
    <w:rsid w:val="4A6C1B50"/>
    <w:rsid w:val="4A7E40F2"/>
    <w:rsid w:val="4A8561F1"/>
    <w:rsid w:val="4A943BC6"/>
    <w:rsid w:val="4AAF17A9"/>
    <w:rsid w:val="4AFF5CC6"/>
    <w:rsid w:val="4B1D3A51"/>
    <w:rsid w:val="4B280F1E"/>
    <w:rsid w:val="4B3D4E30"/>
    <w:rsid w:val="4B413D26"/>
    <w:rsid w:val="4B8B446D"/>
    <w:rsid w:val="4BB317A2"/>
    <w:rsid w:val="4BC27F8D"/>
    <w:rsid w:val="4BC97047"/>
    <w:rsid w:val="4BCC6CCE"/>
    <w:rsid w:val="4BE44E6C"/>
    <w:rsid w:val="4BF446B8"/>
    <w:rsid w:val="4C061338"/>
    <w:rsid w:val="4C497215"/>
    <w:rsid w:val="4C4F5F99"/>
    <w:rsid w:val="4C5D0817"/>
    <w:rsid w:val="4C5E08E0"/>
    <w:rsid w:val="4CBF4AE9"/>
    <w:rsid w:val="4D0A349B"/>
    <w:rsid w:val="4D0D2E78"/>
    <w:rsid w:val="4D0F04ED"/>
    <w:rsid w:val="4D384A7C"/>
    <w:rsid w:val="4D3A0411"/>
    <w:rsid w:val="4D427C91"/>
    <w:rsid w:val="4D7706F2"/>
    <w:rsid w:val="4DBE12C2"/>
    <w:rsid w:val="4DCE6ED3"/>
    <w:rsid w:val="4E095444"/>
    <w:rsid w:val="4E333BBB"/>
    <w:rsid w:val="4E665F7B"/>
    <w:rsid w:val="4E6A06E9"/>
    <w:rsid w:val="4EC206BE"/>
    <w:rsid w:val="4EC46EFB"/>
    <w:rsid w:val="4EC951FF"/>
    <w:rsid w:val="4ED04B02"/>
    <w:rsid w:val="4EE96853"/>
    <w:rsid w:val="4F105F02"/>
    <w:rsid w:val="4F121BEA"/>
    <w:rsid w:val="4F172396"/>
    <w:rsid w:val="4F3F03C1"/>
    <w:rsid w:val="4F4C2971"/>
    <w:rsid w:val="4F566ACF"/>
    <w:rsid w:val="4F704BBC"/>
    <w:rsid w:val="4F8028EE"/>
    <w:rsid w:val="4FAD0DF7"/>
    <w:rsid w:val="4FBC1F04"/>
    <w:rsid w:val="4FBD361C"/>
    <w:rsid w:val="4FBE1CEA"/>
    <w:rsid w:val="4FC15F00"/>
    <w:rsid w:val="4FF17370"/>
    <w:rsid w:val="50371519"/>
    <w:rsid w:val="503D6ACE"/>
    <w:rsid w:val="505A0A75"/>
    <w:rsid w:val="50ED0D36"/>
    <w:rsid w:val="510B317F"/>
    <w:rsid w:val="51130AD6"/>
    <w:rsid w:val="51147068"/>
    <w:rsid w:val="511B4097"/>
    <w:rsid w:val="512452DA"/>
    <w:rsid w:val="515029F4"/>
    <w:rsid w:val="51777BA1"/>
    <w:rsid w:val="517A1ADB"/>
    <w:rsid w:val="517C1302"/>
    <w:rsid w:val="51901189"/>
    <w:rsid w:val="51952A88"/>
    <w:rsid w:val="51B661F2"/>
    <w:rsid w:val="51BB2EED"/>
    <w:rsid w:val="51EE27E3"/>
    <w:rsid w:val="52101F45"/>
    <w:rsid w:val="5213342A"/>
    <w:rsid w:val="52163344"/>
    <w:rsid w:val="5234477C"/>
    <w:rsid w:val="52515077"/>
    <w:rsid w:val="52806E8B"/>
    <w:rsid w:val="52B118DE"/>
    <w:rsid w:val="52C52078"/>
    <w:rsid w:val="52CB6EC0"/>
    <w:rsid w:val="52D061DA"/>
    <w:rsid w:val="52D211F8"/>
    <w:rsid w:val="52F26F28"/>
    <w:rsid w:val="5315442E"/>
    <w:rsid w:val="533907AA"/>
    <w:rsid w:val="5341530E"/>
    <w:rsid w:val="53434396"/>
    <w:rsid w:val="534D112E"/>
    <w:rsid w:val="53761C93"/>
    <w:rsid w:val="537B0A8C"/>
    <w:rsid w:val="5393301A"/>
    <w:rsid w:val="53971518"/>
    <w:rsid w:val="5399073D"/>
    <w:rsid w:val="53AB2CD5"/>
    <w:rsid w:val="53AF23D8"/>
    <w:rsid w:val="53B31343"/>
    <w:rsid w:val="53B91D8C"/>
    <w:rsid w:val="53E56E6E"/>
    <w:rsid w:val="53EB2495"/>
    <w:rsid w:val="53F17662"/>
    <w:rsid w:val="54010C17"/>
    <w:rsid w:val="542C2C82"/>
    <w:rsid w:val="543F012A"/>
    <w:rsid w:val="54661F54"/>
    <w:rsid w:val="546C3F2D"/>
    <w:rsid w:val="547F46DA"/>
    <w:rsid w:val="549F75FE"/>
    <w:rsid w:val="54A51CC5"/>
    <w:rsid w:val="54DD78BD"/>
    <w:rsid w:val="54E06144"/>
    <w:rsid w:val="550A393D"/>
    <w:rsid w:val="555E54FB"/>
    <w:rsid w:val="556D2811"/>
    <w:rsid w:val="55CE1AD5"/>
    <w:rsid w:val="55ED37B8"/>
    <w:rsid w:val="55F04C52"/>
    <w:rsid w:val="55F35D23"/>
    <w:rsid w:val="56281CBC"/>
    <w:rsid w:val="56333685"/>
    <w:rsid w:val="568F0DF7"/>
    <w:rsid w:val="56A332D5"/>
    <w:rsid w:val="56C325A5"/>
    <w:rsid w:val="56E709F8"/>
    <w:rsid w:val="56F10A56"/>
    <w:rsid w:val="56FB32FA"/>
    <w:rsid w:val="570703AF"/>
    <w:rsid w:val="572D602C"/>
    <w:rsid w:val="57364D30"/>
    <w:rsid w:val="573D71D1"/>
    <w:rsid w:val="57574216"/>
    <w:rsid w:val="57A21363"/>
    <w:rsid w:val="57A54C20"/>
    <w:rsid w:val="57B937A9"/>
    <w:rsid w:val="57BB4E50"/>
    <w:rsid w:val="57C34B39"/>
    <w:rsid w:val="57E116B4"/>
    <w:rsid w:val="580C0140"/>
    <w:rsid w:val="580F431F"/>
    <w:rsid w:val="587B6F7C"/>
    <w:rsid w:val="58A22BE9"/>
    <w:rsid w:val="58E44026"/>
    <w:rsid w:val="58E67C57"/>
    <w:rsid w:val="58E94F10"/>
    <w:rsid w:val="58F965E6"/>
    <w:rsid w:val="58FA15B8"/>
    <w:rsid w:val="58FF06B6"/>
    <w:rsid w:val="59046596"/>
    <w:rsid w:val="591C3F4A"/>
    <w:rsid w:val="593E6CC6"/>
    <w:rsid w:val="594B0A62"/>
    <w:rsid w:val="594E1B0E"/>
    <w:rsid w:val="594F32F2"/>
    <w:rsid w:val="595461B1"/>
    <w:rsid w:val="59591BB8"/>
    <w:rsid w:val="59820786"/>
    <w:rsid w:val="59A774F2"/>
    <w:rsid w:val="59AD15AB"/>
    <w:rsid w:val="59CE313C"/>
    <w:rsid w:val="59E474BD"/>
    <w:rsid w:val="59FC6B89"/>
    <w:rsid w:val="5A143012"/>
    <w:rsid w:val="5A261D0E"/>
    <w:rsid w:val="5A412A61"/>
    <w:rsid w:val="5A527BDD"/>
    <w:rsid w:val="5A905E59"/>
    <w:rsid w:val="5A9311E7"/>
    <w:rsid w:val="5AA72593"/>
    <w:rsid w:val="5AD0373D"/>
    <w:rsid w:val="5AF86253"/>
    <w:rsid w:val="5B081862"/>
    <w:rsid w:val="5B1C3DCA"/>
    <w:rsid w:val="5B340596"/>
    <w:rsid w:val="5B3F26B3"/>
    <w:rsid w:val="5B4B70AC"/>
    <w:rsid w:val="5B8A7522"/>
    <w:rsid w:val="5BA53E1C"/>
    <w:rsid w:val="5BA92AAB"/>
    <w:rsid w:val="5BB41290"/>
    <w:rsid w:val="5BC50503"/>
    <w:rsid w:val="5BF50EB6"/>
    <w:rsid w:val="5BF92128"/>
    <w:rsid w:val="5BFA7DB5"/>
    <w:rsid w:val="5C075DA6"/>
    <w:rsid w:val="5C275BD4"/>
    <w:rsid w:val="5C491EC9"/>
    <w:rsid w:val="5C5028D7"/>
    <w:rsid w:val="5C81109C"/>
    <w:rsid w:val="5C9E10E9"/>
    <w:rsid w:val="5C9E40DE"/>
    <w:rsid w:val="5CA11D7F"/>
    <w:rsid w:val="5CAF4CE5"/>
    <w:rsid w:val="5CDA6371"/>
    <w:rsid w:val="5CFC64A7"/>
    <w:rsid w:val="5D1516BF"/>
    <w:rsid w:val="5D1569ED"/>
    <w:rsid w:val="5D1B2A4F"/>
    <w:rsid w:val="5D2E6665"/>
    <w:rsid w:val="5D4F34F7"/>
    <w:rsid w:val="5D623C65"/>
    <w:rsid w:val="5D8C1819"/>
    <w:rsid w:val="5DC477E0"/>
    <w:rsid w:val="5DD05318"/>
    <w:rsid w:val="5DE97207"/>
    <w:rsid w:val="5DEF6C2B"/>
    <w:rsid w:val="5DF22741"/>
    <w:rsid w:val="5DFE50F6"/>
    <w:rsid w:val="5E186B89"/>
    <w:rsid w:val="5E2D7C7A"/>
    <w:rsid w:val="5E4E3F80"/>
    <w:rsid w:val="5E5F4BD4"/>
    <w:rsid w:val="5E852B0D"/>
    <w:rsid w:val="5ED20F44"/>
    <w:rsid w:val="5EE7073E"/>
    <w:rsid w:val="5EF67A22"/>
    <w:rsid w:val="5F123BC6"/>
    <w:rsid w:val="5F184877"/>
    <w:rsid w:val="5F1A7A37"/>
    <w:rsid w:val="5F2E3F46"/>
    <w:rsid w:val="5F474C09"/>
    <w:rsid w:val="5F475D4B"/>
    <w:rsid w:val="5F63419E"/>
    <w:rsid w:val="5F736746"/>
    <w:rsid w:val="5F880842"/>
    <w:rsid w:val="5FD95A66"/>
    <w:rsid w:val="5FDF7A00"/>
    <w:rsid w:val="5FF309C7"/>
    <w:rsid w:val="5FFC4765"/>
    <w:rsid w:val="60046C0F"/>
    <w:rsid w:val="601327BB"/>
    <w:rsid w:val="60245068"/>
    <w:rsid w:val="60255BE3"/>
    <w:rsid w:val="602717FC"/>
    <w:rsid w:val="602A62F8"/>
    <w:rsid w:val="602C01A9"/>
    <w:rsid w:val="603B1B21"/>
    <w:rsid w:val="60504051"/>
    <w:rsid w:val="607F2EF2"/>
    <w:rsid w:val="60842FF2"/>
    <w:rsid w:val="60D43BFA"/>
    <w:rsid w:val="60E16AB6"/>
    <w:rsid w:val="60E40C2C"/>
    <w:rsid w:val="610D2A7D"/>
    <w:rsid w:val="61111BF1"/>
    <w:rsid w:val="61175A9A"/>
    <w:rsid w:val="612129FE"/>
    <w:rsid w:val="61375BEC"/>
    <w:rsid w:val="614A2305"/>
    <w:rsid w:val="614E4437"/>
    <w:rsid w:val="615F1F60"/>
    <w:rsid w:val="6182631E"/>
    <w:rsid w:val="61BC217C"/>
    <w:rsid w:val="61D9772A"/>
    <w:rsid w:val="61DA1B5D"/>
    <w:rsid w:val="61DB33CF"/>
    <w:rsid w:val="61EF0933"/>
    <w:rsid w:val="61F2327B"/>
    <w:rsid w:val="61F6471A"/>
    <w:rsid w:val="62413765"/>
    <w:rsid w:val="625E2011"/>
    <w:rsid w:val="626E5BD1"/>
    <w:rsid w:val="627803DA"/>
    <w:rsid w:val="62921FA4"/>
    <w:rsid w:val="62BF1D8B"/>
    <w:rsid w:val="62DC2379"/>
    <w:rsid w:val="62EF16C5"/>
    <w:rsid w:val="63077DCD"/>
    <w:rsid w:val="63196725"/>
    <w:rsid w:val="631F3FB6"/>
    <w:rsid w:val="63356B20"/>
    <w:rsid w:val="633B4FC0"/>
    <w:rsid w:val="63647D08"/>
    <w:rsid w:val="63B47AD6"/>
    <w:rsid w:val="63BD1F88"/>
    <w:rsid w:val="63F34E27"/>
    <w:rsid w:val="63FD53D7"/>
    <w:rsid w:val="642E2D6E"/>
    <w:rsid w:val="642F141D"/>
    <w:rsid w:val="6439179D"/>
    <w:rsid w:val="643A7D3D"/>
    <w:rsid w:val="644845EE"/>
    <w:rsid w:val="644C43F2"/>
    <w:rsid w:val="645E071A"/>
    <w:rsid w:val="64611864"/>
    <w:rsid w:val="6465357A"/>
    <w:rsid w:val="64704226"/>
    <w:rsid w:val="64870014"/>
    <w:rsid w:val="64B76AA3"/>
    <w:rsid w:val="64C61C82"/>
    <w:rsid w:val="64D124DB"/>
    <w:rsid w:val="65233DA8"/>
    <w:rsid w:val="652A1A84"/>
    <w:rsid w:val="652A5D21"/>
    <w:rsid w:val="65480BBE"/>
    <w:rsid w:val="6554639C"/>
    <w:rsid w:val="65933B3C"/>
    <w:rsid w:val="65B955CA"/>
    <w:rsid w:val="65BE6C54"/>
    <w:rsid w:val="65CC3546"/>
    <w:rsid w:val="65CE71FF"/>
    <w:rsid w:val="661A0E12"/>
    <w:rsid w:val="66214D7C"/>
    <w:rsid w:val="6624580B"/>
    <w:rsid w:val="667B6C3F"/>
    <w:rsid w:val="66B40E42"/>
    <w:rsid w:val="66B56D61"/>
    <w:rsid w:val="66B56D68"/>
    <w:rsid w:val="66E9392A"/>
    <w:rsid w:val="66EA1480"/>
    <w:rsid w:val="67056631"/>
    <w:rsid w:val="674672D3"/>
    <w:rsid w:val="676E6425"/>
    <w:rsid w:val="67770DB9"/>
    <w:rsid w:val="67776ADD"/>
    <w:rsid w:val="6779797F"/>
    <w:rsid w:val="6789047F"/>
    <w:rsid w:val="67A720F6"/>
    <w:rsid w:val="67AC1398"/>
    <w:rsid w:val="67E7540E"/>
    <w:rsid w:val="67EA1736"/>
    <w:rsid w:val="67FC02AC"/>
    <w:rsid w:val="68006207"/>
    <w:rsid w:val="68070E08"/>
    <w:rsid w:val="682D432C"/>
    <w:rsid w:val="68382592"/>
    <w:rsid w:val="684A32DA"/>
    <w:rsid w:val="68784674"/>
    <w:rsid w:val="687C00C8"/>
    <w:rsid w:val="687C4042"/>
    <w:rsid w:val="68A742AD"/>
    <w:rsid w:val="68C25CFA"/>
    <w:rsid w:val="68C731B8"/>
    <w:rsid w:val="68D536DE"/>
    <w:rsid w:val="69044A5D"/>
    <w:rsid w:val="691052CA"/>
    <w:rsid w:val="69194464"/>
    <w:rsid w:val="691D05F7"/>
    <w:rsid w:val="69312B59"/>
    <w:rsid w:val="69446209"/>
    <w:rsid w:val="69726337"/>
    <w:rsid w:val="698B1B24"/>
    <w:rsid w:val="6994580C"/>
    <w:rsid w:val="69B75241"/>
    <w:rsid w:val="69BB0755"/>
    <w:rsid w:val="69FB0A5B"/>
    <w:rsid w:val="6A115C81"/>
    <w:rsid w:val="6A7A60F7"/>
    <w:rsid w:val="6AAC2E76"/>
    <w:rsid w:val="6AEE1969"/>
    <w:rsid w:val="6B0A125F"/>
    <w:rsid w:val="6B23484A"/>
    <w:rsid w:val="6B30457A"/>
    <w:rsid w:val="6B3B1CB3"/>
    <w:rsid w:val="6B43702A"/>
    <w:rsid w:val="6B524C27"/>
    <w:rsid w:val="6B5A1EC9"/>
    <w:rsid w:val="6B7308B4"/>
    <w:rsid w:val="6B744505"/>
    <w:rsid w:val="6B990784"/>
    <w:rsid w:val="6BA2498F"/>
    <w:rsid w:val="6BBC51E6"/>
    <w:rsid w:val="6BBF609A"/>
    <w:rsid w:val="6BCA0F7D"/>
    <w:rsid w:val="6BDE4DDD"/>
    <w:rsid w:val="6BE82C3E"/>
    <w:rsid w:val="6BE972DB"/>
    <w:rsid w:val="6BFE0452"/>
    <w:rsid w:val="6C0F2440"/>
    <w:rsid w:val="6C176418"/>
    <w:rsid w:val="6C392A9F"/>
    <w:rsid w:val="6C4D097B"/>
    <w:rsid w:val="6C5973BD"/>
    <w:rsid w:val="6C5F452A"/>
    <w:rsid w:val="6C762792"/>
    <w:rsid w:val="6C7D1213"/>
    <w:rsid w:val="6C801375"/>
    <w:rsid w:val="6C822E35"/>
    <w:rsid w:val="6CA714E6"/>
    <w:rsid w:val="6CEF6EBD"/>
    <w:rsid w:val="6CF01C95"/>
    <w:rsid w:val="6CF542B7"/>
    <w:rsid w:val="6D18295E"/>
    <w:rsid w:val="6D206AE2"/>
    <w:rsid w:val="6D5941BB"/>
    <w:rsid w:val="6D5B0CBD"/>
    <w:rsid w:val="6D8A08D8"/>
    <w:rsid w:val="6D961017"/>
    <w:rsid w:val="6DCE3EDB"/>
    <w:rsid w:val="6DD23F1E"/>
    <w:rsid w:val="6DEE2081"/>
    <w:rsid w:val="6E0135EB"/>
    <w:rsid w:val="6E210E7D"/>
    <w:rsid w:val="6E336938"/>
    <w:rsid w:val="6E565A56"/>
    <w:rsid w:val="6E5D68D3"/>
    <w:rsid w:val="6E682450"/>
    <w:rsid w:val="6E7251F0"/>
    <w:rsid w:val="6E757524"/>
    <w:rsid w:val="6E7934F3"/>
    <w:rsid w:val="6E9E05A5"/>
    <w:rsid w:val="6EAD6286"/>
    <w:rsid w:val="6EB24C59"/>
    <w:rsid w:val="6EBD3CCD"/>
    <w:rsid w:val="6ECD60E1"/>
    <w:rsid w:val="6EDB6C60"/>
    <w:rsid w:val="6F2428C0"/>
    <w:rsid w:val="6F433285"/>
    <w:rsid w:val="6F591B5D"/>
    <w:rsid w:val="6F7E65DB"/>
    <w:rsid w:val="6F7F6D3A"/>
    <w:rsid w:val="6F981073"/>
    <w:rsid w:val="6FA172A4"/>
    <w:rsid w:val="6FFF65EB"/>
    <w:rsid w:val="702D3A00"/>
    <w:rsid w:val="70341230"/>
    <w:rsid w:val="705A4D1B"/>
    <w:rsid w:val="705F37D3"/>
    <w:rsid w:val="709143C4"/>
    <w:rsid w:val="70930271"/>
    <w:rsid w:val="70DB5146"/>
    <w:rsid w:val="70E51B6F"/>
    <w:rsid w:val="70FC3C7A"/>
    <w:rsid w:val="710E7F44"/>
    <w:rsid w:val="71193089"/>
    <w:rsid w:val="712776C4"/>
    <w:rsid w:val="714344B4"/>
    <w:rsid w:val="7181738B"/>
    <w:rsid w:val="71820038"/>
    <w:rsid w:val="71990145"/>
    <w:rsid w:val="719E164B"/>
    <w:rsid w:val="71C90ED8"/>
    <w:rsid w:val="71D72430"/>
    <w:rsid w:val="71E12038"/>
    <w:rsid w:val="720A6753"/>
    <w:rsid w:val="720F4AFB"/>
    <w:rsid w:val="72112B83"/>
    <w:rsid w:val="72143F3C"/>
    <w:rsid w:val="721F61D9"/>
    <w:rsid w:val="723D42BE"/>
    <w:rsid w:val="72412901"/>
    <w:rsid w:val="72887B37"/>
    <w:rsid w:val="72910320"/>
    <w:rsid w:val="72A53302"/>
    <w:rsid w:val="72B3410C"/>
    <w:rsid w:val="72BD6DA9"/>
    <w:rsid w:val="72CB01B8"/>
    <w:rsid w:val="72F66709"/>
    <w:rsid w:val="730554B3"/>
    <w:rsid w:val="73092FAA"/>
    <w:rsid w:val="732C3102"/>
    <w:rsid w:val="73413694"/>
    <w:rsid w:val="734608F5"/>
    <w:rsid w:val="736D4BAC"/>
    <w:rsid w:val="736F1AFC"/>
    <w:rsid w:val="739B5B15"/>
    <w:rsid w:val="73CA3FB8"/>
    <w:rsid w:val="73E63732"/>
    <w:rsid w:val="73EC345F"/>
    <w:rsid w:val="73FD1118"/>
    <w:rsid w:val="74090510"/>
    <w:rsid w:val="740E2D2D"/>
    <w:rsid w:val="7410282D"/>
    <w:rsid w:val="741752A2"/>
    <w:rsid w:val="74223A5C"/>
    <w:rsid w:val="746B6757"/>
    <w:rsid w:val="747B5C9D"/>
    <w:rsid w:val="747F1177"/>
    <w:rsid w:val="748028C0"/>
    <w:rsid w:val="74A471EE"/>
    <w:rsid w:val="74C768EE"/>
    <w:rsid w:val="74E97F38"/>
    <w:rsid w:val="74F13E40"/>
    <w:rsid w:val="750B1697"/>
    <w:rsid w:val="752A3F7B"/>
    <w:rsid w:val="7533655A"/>
    <w:rsid w:val="75444F15"/>
    <w:rsid w:val="75485488"/>
    <w:rsid w:val="758516A2"/>
    <w:rsid w:val="759A2104"/>
    <w:rsid w:val="75B35E00"/>
    <w:rsid w:val="75CD1343"/>
    <w:rsid w:val="75EB2F64"/>
    <w:rsid w:val="761D1573"/>
    <w:rsid w:val="765B6CE9"/>
    <w:rsid w:val="765D3DA8"/>
    <w:rsid w:val="766852F0"/>
    <w:rsid w:val="766A6521"/>
    <w:rsid w:val="766C7968"/>
    <w:rsid w:val="766E7DAC"/>
    <w:rsid w:val="76936F16"/>
    <w:rsid w:val="76993FC0"/>
    <w:rsid w:val="76A64EB2"/>
    <w:rsid w:val="76BC1014"/>
    <w:rsid w:val="77025DC3"/>
    <w:rsid w:val="772354E1"/>
    <w:rsid w:val="77276E30"/>
    <w:rsid w:val="772C68C6"/>
    <w:rsid w:val="776C53FF"/>
    <w:rsid w:val="776E3681"/>
    <w:rsid w:val="777E5705"/>
    <w:rsid w:val="7781654E"/>
    <w:rsid w:val="779231D8"/>
    <w:rsid w:val="77B92312"/>
    <w:rsid w:val="7827423F"/>
    <w:rsid w:val="78386307"/>
    <w:rsid w:val="7850391E"/>
    <w:rsid w:val="78597E32"/>
    <w:rsid w:val="78703EBE"/>
    <w:rsid w:val="78805A36"/>
    <w:rsid w:val="78830880"/>
    <w:rsid w:val="78A51D8F"/>
    <w:rsid w:val="78AE0946"/>
    <w:rsid w:val="78D1727E"/>
    <w:rsid w:val="78D17516"/>
    <w:rsid w:val="78D96E40"/>
    <w:rsid w:val="7911644D"/>
    <w:rsid w:val="79331EC1"/>
    <w:rsid w:val="79404911"/>
    <w:rsid w:val="794D0D3C"/>
    <w:rsid w:val="7986601A"/>
    <w:rsid w:val="7993616D"/>
    <w:rsid w:val="799D69BF"/>
    <w:rsid w:val="79AE14B2"/>
    <w:rsid w:val="79B1687C"/>
    <w:rsid w:val="79B22738"/>
    <w:rsid w:val="79CE4B72"/>
    <w:rsid w:val="7A055366"/>
    <w:rsid w:val="7A292C38"/>
    <w:rsid w:val="7A49541C"/>
    <w:rsid w:val="7A5F22B4"/>
    <w:rsid w:val="7A680094"/>
    <w:rsid w:val="7A7508D5"/>
    <w:rsid w:val="7A80455C"/>
    <w:rsid w:val="7A81102C"/>
    <w:rsid w:val="7AA37ECA"/>
    <w:rsid w:val="7AB16073"/>
    <w:rsid w:val="7ABB5514"/>
    <w:rsid w:val="7AC2458A"/>
    <w:rsid w:val="7ADE3222"/>
    <w:rsid w:val="7AF04DB0"/>
    <w:rsid w:val="7B0D28AD"/>
    <w:rsid w:val="7B133363"/>
    <w:rsid w:val="7B1C1737"/>
    <w:rsid w:val="7B322761"/>
    <w:rsid w:val="7B3C2640"/>
    <w:rsid w:val="7B4443D1"/>
    <w:rsid w:val="7BB151FD"/>
    <w:rsid w:val="7BB43296"/>
    <w:rsid w:val="7BDE6C84"/>
    <w:rsid w:val="7BE07A81"/>
    <w:rsid w:val="7BE97D38"/>
    <w:rsid w:val="7C272B3E"/>
    <w:rsid w:val="7C471D4F"/>
    <w:rsid w:val="7C7A6596"/>
    <w:rsid w:val="7CA76A22"/>
    <w:rsid w:val="7CCC4E54"/>
    <w:rsid w:val="7CEB2ACD"/>
    <w:rsid w:val="7CEF6F65"/>
    <w:rsid w:val="7CF41D8D"/>
    <w:rsid w:val="7D2745EF"/>
    <w:rsid w:val="7D2D2CA0"/>
    <w:rsid w:val="7D5C29E8"/>
    <w:rsid w:val="7D7A7BC6"/>
    <w:rsid w:val="7DBB08B6"/>
    <w:rsid w:val="7DBC7173"/>
    <w:rsid w:val="7DD90B59"/>
    <w:rsid w:val="7DEF15A6"/>
    <w:rsid w:val="7DFC511B"/>
    <w:rsid w:val="7E221AFC"/>
    <w:rsid w:val="7E2A514E"/>
    <w:rsid w:val="7E2C4E20"/>
    <w:rsid w:val="7E2D20BE"/>
    <w:rsid w:val="7E5733E1"/>
    <w:rsid w:val="7E660C33"/>
    <w:rsid w:val="7E6637F7"/>
    <w:rsid w:val="7E707801"/>
    <w:rsid w:val="7E733B66"/>
    <w:rsid w:val="7E8A121F"/>
    <w:rsid w:val="7EC12AAE"/>
    <w:rsid w:val="7EC52141"/>
    <w:rsid w:val="7EC73D34"/>
    <w:rsid w:val="7ED12FEE"/>
    <w:rsid w:val="7F1648D6"/>
    <w:rsid w:val="7F23784E"/>
    <w:rsid w:val="7F442E56"/>
    <w:rsid w:val="7F457080"/>
    <w:rsid w:val="7F486BDC"/>
    <w:rsid w:val="7F4C71A0"/>
    <w:rsid w:val="7F5124CE"/>
    <w:rsid w:val="7F6347A3"/>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104</TotalTime>
  <ScaleCrop>false</ScaleCrop>
  <LinksUpToDate>false</LinksUpToDate>
  <CharactersWithSpaces>26786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2020-08-20T08:04:29Z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2052-11.1.0.9912</vt:lpwstr>
  </property>
</Properties>
</file>