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1C2D4D">
      <w:pPr>
        <w:spacing w:line="400" w:lineRule="exact"/>
        <w:rPr>
          <w:rFonts w:cs="Times New Roman"/>
        </w:rPr>
      </w:pPr>
      <w:bookmarkStart w:id="0" w:name="_Toc485828985"/>
      <w:r w:rsidRPr="001C2D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1C2D4D">
      <w:pPr>
        <w:spacing w:line="400" w:lineRule="exact"/>
        <w:rPr>
          <w:rFonts w:cs="Times New Roman"/>
        </w:rPr>
      </w:pPr>
      <w:r w:rsidRPr="001C2D4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1" filled="f" stroked="f">
            <v:textbox>
              <w:txbxContent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1C2D4D">
        <w:pict>
          <v:shape id="文本框 3" o:spid="_x0000_s1029" type="#_x0000_t202" style="position:absolute;left:0;text-align:left;margin-left:175.45pt;margin-top:490.7pt;width:126.6pt;height:54.1pt;z-index:2" filled="f" stroked="f">
            <v:textbox>
              <w:txbxContent>
                <w:p w:rsidR="00581D0F" w:rsidRDefault="00890D02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705AF2">
                    <w:rPr>
                      <w:rFonts w:hint="eastAsia"/>
                      <w:kern w:val="2"/>
                    </w:rPr>
                    <w:t>8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6C3F16">
                    <w:rPr>
                      <w:rFonts w:hint="eastAsia"/>
                      <w:kern w:val="2"/>
                    </w:rPr>
                    <w:t>21</w:t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1C2D4D">
        <w:lastRenderedPageBreak/>
        <w:pict>
          <v:shape id="_x0000_s1030" type="#_x0000_t202" style="position:absolute;left:0;text-align:left;margin-left:-.9pt;margin-top:34.7pt;width:492pt;height:565.3pt;z-index:3" filled="f" stroked="f">
            <v:textbox>
              <w:txbxContent>
                <w:p w:rsidR="00581D0F" w:rsidRDefault="00890D02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1C2D4D">
                  <w:pPr>
                    <w:pStyle w:val="10"/>
                    <w:rPr>
                      <w:color w:val="0000FF"/>
                      <w:u w:val="single"/>
                    </w:rPr>
                  </w:pPr>
                  <w:r w:rsidRPr="001C2D4D">
                    <w:fldChar w:fldCharType="begin"/>
                  </w:r>
                  <w:r w:rsidR="00890D02">
                    <w:instrText xml:space="preserve"> TOC \o "1-3" \h \z \u </w:instrText>
                  </w:r>
                  <w:r w:rsidRPr="001C2D4D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705AF2">
                      <w:rPr>
                        <w:rStyle w:val="aa"/>
                        <w:rFonts w:hint="eastAsia"/>
                      </w:rPr>
                      <w:t>8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6C3F16">
                      <w:rPr>
                        <w:rStyle w:val="aa"/>
                        <w:rFonts w:hint="eastAsia"/>
                      </w:rPr>
                      <w:t>21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1C2D4D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</w:t>
                    </w:r>
                    <w:r w:rsidR="00890D02">
                      <w:rPr>
                        <w:rFonts w:ascii="Calibri" w:hAnsi="Calibri" w:cs="Calibri"/>
                        <w:b w:val="0"/>
                        <w:bCs w:val="0"/>
                        <w:smallCaps w:val="0"/>
                        <w:color w:val="auto"/>
                        <w:sz w:val="21"/>
                        <w:szCs w:val="21"/>
                      </w:rPr>
                      <w:tab/>
                    </w:r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1C2D4D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1C2D4D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1C2D4D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Default="00890D02">
      <w:pPr>
        <w:pStyle w:val="1"/>
        <w:spacing w:line="400" w:lineRule="exact"/>
        <w:jc w:val="center"/>
        <w:rPr>
          <w:rStyle w:val="txt4"/>
          <w:rFonts w:ascii="黑体"/>
          <w:sz w:val="30"/>
          <w:szCs w:val="30"/>
        </w:rPr>
      </w:pPr>
      <w:r>
        <w:rPr>
          <w:rFonts w:cs="黑体" w:hint="eastAsia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802025" w:rsidRPr="00802025" w:rsidRDefault="00802025" w:rsidP="0080202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02025">
        <w:rPr>
          <w:rFonts w:ascii="仿宋" w:eastAsia="仿宋" w:hAnsi="仿宋" w:cs="仿宋"/>
          <w:kern w:val="2"/>
          <w:sz w:val="28"/>
          <w:szCs w:val="28"/>
        </w:rPr>
        <w:t>本周纯碱现货市场持续以低价拉涨，行情整理表现运行为主。周内期间，青海发投、盐湖碱业、四川和邦、山东海化、山东海天等工厂装置均有减产、检修等方面影响，供应方面持续以降低库存表现为主;下游用户需求来看，受现货价格拉涨影响，加之部分上游纯碱企业有限制签单及封单表现，进一步拉动市场交投氛围升温向好。本周了解，轻质纯碱用户签单量及走货量表现尚可，重质纯碱用户仍有僵持观望未积极拿货情绪。</w:t>
      </w:r>
    </w:p>
    <w:p w:rsidR="00802025" w:rsidRPr="00802025" w:rsidRDefault="00802025" w:rsidP="0080202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02025">
        <w:rPr>
          <w:rFonts w:ascii="仿宋" w:eastAsia="仿宋" w:hAnsi="仿宋" w:cs="仿宋"/>
          <w:kern w:val="2"/>
          <w:sz w:val="28"/>
          <w:szCs w:val="28"/>
        </w:rPr>
        <w:t>供应端：截止2020年34周，纯碱总产能为3307万吨;其中涉及25家联碱工厂，产能共计1210万吨;12家氨碱工厂，产能共计1045万吨;以及2家天然碱工厂，产能共计160万吨。截止8月20日，纯碱运行产能共计2415万吨，开工率73%，较8月13日开工率74.5%↓1.5个百分点。受个别厂家检修与降负荷的影响，纯碱整体行业库存下滑。截止8月20日，纯碱企业库存总量为92.3万吨，较8月13日下降8.7%。</w:t>
      </w:r>
    </w:p>
    <w:p w:rsidR="00802025" w:rsidRPr="00802025" w:rsidRDefault="00802025" w:rsidP="0080202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02025">
        <w:rPr>
          <w:rFonts w:ascii="仿宋" w:eastAsia="仿宋" w:hAnsi="仿宋" w:cs="仿宋"/>
          <w:kern w:val="2"/>
          <w:sz w:val="28"/>
          <w:szCs w:val="28"/>
        </w:rPr>
        <w:t>需求端：平板玻璃企业现货行情迎来旺季，原片低库存促进后续涨情升温，且工厂生产积极性不断调动，进一步拉涨玻璃企业对纯碱</w:t>
      </w:r>
      <w:r w:rsidRPr="00802025">
        <w:rPr>
          <w:rFonts w:ascii="仿宋" w:eastAsia="仿宋" w:hAnsi="仿宋" w:cs="仿宋"/>
          <w:kern w:val="2"/>
          <w:sz w:val="28"/>
          <w:szCs w:val="28"/>
        </w:rPr>
        <w:lastRenderedPageBreak/>
        <w:t>采购积极性;另外日用玻璃、焦亚硫酸、泡花碱、两钠、冶金、印染、水处理等多行业应用需求刚需相对。在纯碱现货供应过剩因素减缓影响下，终端采购情绪转变，大大提振需求情绪升温，进一步对价格形成积极意义。</w:t>
      </w:r>
    </w:p>
    <w:p w:rsidR="00581D0F" w:rsidRPr="00705AF2" w:rsidRDefault="00890D02" w:rsidP="00705AF2">
      <w:pPr>
        <w:pStyle w:val="a8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 w:hint="eastAsia"/>
          <w:kern w:val="2"/>
          <w:sz w:val="28"/>
          <w:szCs w:val="28"/>
        </w:rPr>
        <w:t>三、供应端：</w:t>
      </w:r>
    </w:p>
    <w:p w:rsidR="00802025" w:rsidRPr="00802025" w:rsidRDefault="00802025" w:rsidP="0080202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802025">
        <w:rPr>
          <w:rFonts w:ascii="仿宋" w:eastAsia="仿宋" w:hAnsi="仿宋" w:cs="仿宋"/>
          <w:kern w:val="2"/>
          <w:sz w:val="28"/>
          <w:szCs w:val="28"/>
        </w:rPr>
        <w:t>轻碱主流含税出厂价格：东北地区含税出厂价在1350-1400元/吨;河北地区含税出厂价1280-1320元/吨;山东地区含税出厂价1300-1350元/吨;江苏地区主流含税出厂价1250-1350元/吨;杭州地区含税出厂价1380-1400元/吨;福建地区含税出厂价1300-1350元/吨;广东地区含税出厂价1300-1400元/吨;华中地区主流含税出价1280-1330元/吨;西北地区含税出厂价1150-1250元/吨，其中青海区域含税出厂价1100-1150元/吨;川渝区域含税出价1300-1350元/吨;云贵地区含税出价1300-1350元/吨;江西区域含税出价1300-1350元/吨。</w:t>
      </w:r>
    </w:p>
    <w:p w:rsidR="00802025" w:rsidRPr="00802025" w:rsidRDefault="00802025" w:rsidP="0080202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02025">
        <w:rPr>
          <w:rFonts w:ascii="仿宋" w:eastAsia="仿宋" w:hAnsi="仿宋" w:cs="仿宋"/>
          <w:kern w:val="2"/>
          <w:sz w:val="28"/>
          <w:szCs w:val="28"/>
        </w:rPr>
        <w:t>重碱主流含税送到价格：东北地区含税价在1400-1500元/吨;河北地区含税价1250-1520元/吨;山东地区含税价1350-1500元/吨;江苏地区主流含税价1380-1500元/吨;杭州地区含税价1450-1500元/吨;福建地区含税价1300-1400元/吨;广东地区含税价1400-1580元/吨;华中地区主流含税价1350-1450元/吨;西北地区含税出厂价1100-1300元/吨，其中青海区域含税出厂价1100-1150元/吨;川渝区</w:t>
      </w:r>
      <w:r w:rsidRPr="00802025">
        <w:rPr>
          <w:rFonts w:ascii="仿宋" w:eastAsia="仿宋" w:hAnsi="仿宋" w:cs="仿宋"/>
          <w:kern w:val="2"/>
          <w:sz w:val="28"/>
          <w:szCs w:val="28"/>
        </w:rPr>
        <w:lastRenderedPageBreak/>
        <w:t>域含税价1350-1500元/吨;云贵地区含税价1350-1500元/吨;江西区域含税价1350-1500元/吨。</w:t>
      </w:r>
    </w:p>
    <w:p w:rsidR="00581D0F" w:rsidRDefault="00890D02" w:rsidP="00802025">
      <w:pPr>
        <w:pStyle w:val="a8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802025" w:rsidRPr="00802025" w:rsidRDefault="00802025" w:rsidP="00802025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802025">
        <w:rPr>
          <w:rFonts w:ascii="仿宋" w:eastAsia="仿宋" w:hAnsi="仿宋" w:cs="仿宋"/>
          <w:kern w:val="2"/>
          <w:sz w:val="28"/>
          <w:szCs w:val="28"/>
        </w:rPr>
        <w:t>供应来讲，一、四川和邦装置停车对西南供应造成较大影响，加之西北区域工厂检修影响，去往西南货源有限的情况下，西南区域用户买涨情绪有望大幅提振;二、西北、西南供应趋紧将对外输送减量，国内纯碱供应或呈连锁趋紧影响，价格提振影响加大，涨价概率大大增强。用户需求来讲，虽部分用户有前期储备货源可僵持拿货，但由于多个下游用户尚处稳健生产状态，耗用纯碱能力尚足，对纯碱刚需有稳定支撑，且光伏玻璃新点火产线需求增量提涨需求。综合来看，供需表现将进一步加大价格提涨可能，预计下周纯碱涨幅将逐步明朗。</w:t>
      </w:r>
    </w:p>
    <w:p w:rsidR="00581D0F" w:rsidRDefault="00890D02" w:rsidP="00802025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720" w:type="dxa"/>
        <w:tblInd w:w="-106" w:type="dxa"/>
        <w:tblLayout w:type="fixed"/>
        <w:tblLook w:val="04A0"/>
      </w:tblPr>
      <w:tblGrid>
        <w:gridCol w:w="1490"/>
        <w:gridCol w:w="1454"/>
        <w:gridCol w:w="1444"/>
        <w:gridCol w:w="1444"/>
        <w:gridCol w:w="1444"/>
        <w:gridCol w:w="1444"/>
      </w:tblGrid>
      <w:tr w:rsidR="00581D0F" w:rsidTr="00140B0E">
        <w:trPr>
          <w:trHeight w:val="285"/>
        </w:trPr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Default="00890D02" w:rsidP="005F54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5F54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8020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  <w:r w:rsidR="00705AF2"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192E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  <w:r w:rsidR="00705AF2"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705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192E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802025" w:rsidTr="00140B0E">
        <w:trPr>
          <w:trHeight w:val="9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Default="00802025" w:rsidP="00802025">
            <w:pPr>
              <w:jc w:val="center"/>
            </w:pP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Default="008020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Pr="00F26A57" w:rsidRDefault="00802025" w:rsidP="00192EA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Pr="00F26A57" w:rsidRDefault="00802025" w:rsidP="00192EA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Pr="00F26A57" w:rsidRDefault="0080202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202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Default="00802025" w:rsidP="00802025">
            <w:pPr>
              <w:jc w:val="center"/>
            </w:pP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Default="008020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1E1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1E1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  <w:r w:rsidR="00802025"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1E117C" w:rsidP="003C1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802025"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1E1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  <w:r w:rsidR="00802025"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202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Default="00802025" w:rsidP="00802025">
            <w:pPr>
              <w:jc w:val="center"/>
            </w:pP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Default="008020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802025" w:rsidTr="00140B0E">
        <w:trPr>
          <w:trHeight w:val="330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Default="00802025" w:rsidP="00802025">
            <w:pPr>
              <w:jc w:val="center"/>
            </w:pP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Default="008020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202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Default="00802025" w:rsidP="00802025">
            <w:pPr>
              <w:jc w:val="center"/>
            </w:pP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Default="008020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2025" w:rsidTr="00140B0E">
        <w:trPr>
          <w:trHeight w:val="285"/>
        </w:trPr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2025" w:rsidRDefault="00802025" w:rsidP="00802025">
            <w:pPr>
              <w:jc w:val="center"/>
            </w:pP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D4D0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D4D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Default="008020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02025" w:rsidRPr="00F26A57" w:rsidRDefault="00802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</w:tbl>
    <w:p w:rsidR="00581D0F" w:rsidRDefault="00890D02">
      <w:pPr>
        <w:pStyle w:val="1"/>
        <w:spacing w:line="400" w:lineRule="exact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lastRenderedPageBreak/>
        <w:br/>
      </w:r>
      <w:r>
        <w:br/>
      </w:r>
      <w:r>
        <w:br/>
      </w:r>
      <w:r>
        <w:br/>
      </w:r>
      <w:r>
        <w:rPr>
          <w:rFonts w:cs="黑体" w:hint="eastAsia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rFonts w:ascii="黑体"/>
          <w:sz w:val="30"/>
          <w:szCs w:val="30"/>
        </w:rPr>
        <w:br/>
      </w:r>
      <w:r>
        <w:rPr>
          <w:rFonts w:ascii="黑体"/>
          <w:sz w:val="30"/>
          <w:szCs w:val="30"/>
        </w:rPr>
        <w:br/>
      </w:r>
    </w:p>
    <w:p w:rsidR="00581D0F" w:rsidRDefault="00890D02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581D0F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本周中国液碱市场整体走势下行为主，局部地区小幅上扬。</w:t>
      </w:r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华北地区本周成交重心下行。山东省内高浓碱普降20元/吨，省内高浓度液碱供应恢复正常，整体供应较为充裕，发往华南订单签订不佳，液碱多滞留场内消耗。低浓度碱方面表现一般，鲁西化工现已恢复开车，山东省内低浓碱发货情况不佳，目前价格弱势持稳。天津、河北地区市场价格暂稳，天津LG渤海8.22日起全停检修15天，液碱供应方面将减量。但近期天津地区港口出货不佳，场内液碱消耗能力有限，下游采购心态多保持谨慎。河北冀衡化学正在检修中，市场需求尚未恢复，检修弱势支撑。</w:t>
      </w:r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华东地区本周液碱价格涨跌互现。浙江地区液碱价格走高，目前场内企业推涨10-20元/吨不等，浙江省内近期接华南订单较多，企业出货状况尚可，厂家库存偏低，本周液氯价格走低，厂家为维持综合利润就势上调。安徽、江苏地区成交重心下行20-30元/吨，市场成交低迷，下游需求情况一般，区域内接单</w:t>
      </w:r>
      <w:r w:rsidRPr="001E117C">
        <w:rPr>
          <w:rFonts w:ascii="仿宋" w:eastAsia="仿宋" w:hAnsi="仿宋" w:cs="仿宋"/>
          <w:sz w:val="28"/>
          <w:szCs w:val="28"/>
        </w:rPr>
        <w:lastRenderedPageBreak/>
        <w:t>情况不甚理想，厂家下调价格以促进走货。但近期安徽、江苏地区有碱厂有检修安排，华东地区整体开工不高，下游耗碱厂家多持观望心态，刚需提货为主。</w:t>
      </w:r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西南地区本周受洪水影响较为严重，液碱供应减量，部分氯碱厂家降负或停车应对，此外受积水影响，省内部分地区开始交通管制，企业出货受到很大影响，目前液碱价格弱势持稳。重庆地区虽然受到洪水波及，但对氯碱厂家影响不大。</w:t>
      </w:r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华南广东地区液碱市场价格小幅下调，当地氯碱负荷正常，船碱到货相比前期有所增加，码头库存升温，液碱整体供应稍显充裕，但下游需求无明显提振，企业出货承压，液碱价格灵活下调。</w:t>
      </w:r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跟踪数据，8月20日中国32%离子膜液碱市场价格指数518.98，较8月13日数据相比↓0.29%;中国50%离子膜液碱市场平均出厂价格在986.3元/吨，较8月13日数据相比↓0.43%。</w:t>
      </w:r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据统计目前全国氯碱总产能为4341.4万吨，截至8月20日，氯碱开工产能3475.5万吨，开工率80.05%。</w:t>
      </w:r>
    </w:p>
    <w:p w:rsidR="001E117C" w:rsidRPr="001E117C" w:rsidRDefault="001E117C" w:rsidP="001E117C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据统计目前全国氧化铝总产能为8784万吨，截至8月20日，氧化铝开工产能6970万吨，开工率79.35%。</w:t>
      </w:r>
    </w:p>
    <w:p w:rsidR="00581D0F" w:rsidRPr="001E117C" w:rsidRDefault="00581D0F" w:rsidP="00A909B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>
        <w:rPr>
          <w:rFonts w:hint="eastAsia"/>
          <w:b/>
          <w:bCs/>
          <w:sz w:val="30"/>
          <w:szCs w:val="30"/>
        </w:rPr>
        <w:lastRenderedPageBreak/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Default="00581D0F">
      <w:pPr>
        <w:pStyle w:val="a8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 w:rsidR="001E117C" w:rsidRPr="001E117C" w:rsidRDefault="001E117C" w:rsidP="001E117C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截止8月20日各地区液碱价格(文中价格为现汇，承兑低浓度水碱加15元/吨，高浓度碱加30元/吨)</w:t>
      </w:r>
    </w:p>
    <w:p w:rsidR="001E117C" w:rsidRPr="001E117C" w:rsidRDefault="001E117C" w:rsidP="001E117C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32%离子膜液碱主流出厂价格：自山东氧化铝行业用32%离子膜液碱价格自7月30日执行现汇出厂410元/吨，供其他客户主流现汇出厂价格420-480元/吨;河北450-540元/吨;天津1500-1600元/吨(折百);浙江送到萧绍经销商590-630元/吨;江苏510-580元/吨;安徽530-560元/吨;江西地区570-660元/吨;广西700-730元/吨;河南1750-1800元/吨(折百);内蒙古1200-1500元/吨(折百);辽宁630-650元/吨，个别企业价格略高;四川2150-2300元/吨(折百);福建地区32%离子膜烧碱送到价格在740-850元/吨(因距离不同，运费存有差距)，个别厂家价格略高。</w:t>
      </w:r>
    </w:p>
    <w:p w:rsidR="001E117C" w:rsidRPr="001E117C" w:rsidRDefault="001E117C" w:rsidP="001E117C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E117C">
        <w:rPr>
          <w:rFonts w:ascii="仿宋" w:eastAsia="仿宋" w:hAnsi="仿宋" w:cs="仿宋"/>
          <w:sz w:val="28"/>
          <w:szCs w:val="28"/>
        </w:rPr>
        <w:t>高浓碱主流出厂价格：山东48%离子膜液碱出厂670-710元/吨，50%离子膜液碱出厂680-710元/吨。天津49%离子膜碱出厂价格1550-1650元/吨(折百)，广西50%离子膜液碱出厂价格1100-1150元/吨;内蒙古48-50%离子膜液碱出厂价格1300-1450元/吨(折百)左右;江苏地区48%离子膜液碱出厂价格900-950元/吨;辽宁地区45-50%离子膜液碱出厂报价在940-960元/吨;四川地区50%离子膜液碱主流出厂价格2200-2300元/吨(折百)。福建省50%离子膜烧碱送到价格在1250-1350元/吨。(因距离不同，运费存有差距)。</w:t>
      </w:r>
    </w:p>
    <w:p w:rsidR="00581D0F" w:rsidRPr="001E117C" w:rsidRDefault="00581D0F" w:rsidP="0042596D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56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1E117C" w:rsidRPr="001E117C" w:rsidRDefault="001E117C" w:rsidP="001E117C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1E117C">
        <w:rPr>
          <w:rFonts w:ascii="仿宋" w:eastAsia="仿宋" w:hAnsi="仿宋" w:cs="仿宋"/>
          <w:sz w:val="28"/>
          <w:szCs w:val="28"/>
        </w:rPr>
        <w:t>本周中国液碱市场整体走势偏弱，液碱市场整体供应较为充裕，下游需求缺乏有力支撑。华北地区现阶段厂家出货压力较大，下游需求依旧疲软，预计后市多以弱稳运行为主;华东地区本周虽有部分地区小幅提涨，但市场成交状况并不理想，近期安徽、江苏地区有碱厂有检修安排，或将缓解区域内出货压力，预计下周市场弱势整理运行;西南地区受本次洪水影响多有停产或减产表现，后市需多关注企业开工及出货情况。预计下周价格调整幅度在10-20元/吨。</w:t>
      </w:r>
    </w:p>
    <w:p w:rsidR="00581D0F" w:rsidRPr="00BF4934" w:rsidRDefault="00581D0F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="2166" w:tblpY="434"/>
        <w:tblOverlap w:val="never"/>
        <w:tblW w:w="7881" w:type="dxa"/>
        <w:tblLayout w:type="fixed"/>
        <w:tblLook w:val="04A0"/>
      </w:tblPr>
      <w:tblGrid>
        <w:gridCol w:w="1440"/>
        <w:gridCol w:w="2180"/>
        <w:gridCol w:w="1003"/>
        <w:gridCol w:w="1629"/>
        <w:gridCol w:w="1629"/>
      </w:tblGrid>
      <w:tr w:rsidR="00581D0F">
        <w:trPr>
          <w:trHeight w:val="42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>
        <w:trPr>
          <w:trHeight w:val="450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81D0F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D0F" w:rsidRDefault="00890D02" w:rsidP="001E117C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1E11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1E117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AB7BFE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  <w:r w:rsidR="004455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 w:rsidP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1E117C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117C" w:rsidRDefault="001E117C" w:rsidP="001E117C">
            <w:pPr>
              <w:jc w:val="center"/>
            </w:pP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ED666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D66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17C" w:rsidRDefault="001E117C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>
      <w:pPr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>
      <w:pPr>
        <w:rPr>
          <w:rFonts w:cs="Times New Roman"/>
        </w:rPr>
      </w:pPr>
    </w:p>
    <w:p w:rsidR="00581D0F" w:rsidRDefault="00890D02">
      <w:pPr>
        <w:pStyle w:val="1"/>
        <w:spacing w:line="400" w:lineRule="exact"/>
        <w:ind w:leftChars="1368" w:left="3837" w:hangingChars="300" w:hanging="964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>
      <w:pPr>
        <w:spacing w:line="400" w:lineRule="exact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6048F9" w:rsidRPr="006048F9" w:rsidRDefault="006048F9" w:rsidP="006048F9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6048F9">
        <w:rPr>
          <w:rFonts w:ascii="仿宋" w:eastAsia="仿宋" w:hAnsi="仿宋" w:cs="仿宋"/>
          <w:sz w:val="28"/>
          <w:szCs w:val="28"/>
        </w:rPr>
        <w:t>本周北方液氯市场价格反弹，南方需求多地价格下滑。</w:t>
      </w:r>
    </w:p>
    <w:p w:rsidR="006048F9" w:rsidRPr="006048F9" w:rsidRDefault="006048F9" w:rsidP="006048F9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48F9">
        <w:rPr>
          <w:rFonts w:ascii="仿宋" w:eastAsia="仿宋" w:hAnsi="仿宋" w:cs="仿宋"/>
          <w:sz w:val="28"/>
          <w:szCs w:val="28"/>
        </w:rPr>
        <w:t>山东地区液氯出货价格反弹，涨幅300元/吨，上涨主要因前期液氯价格过低，部分高成本碱厂压低负荷(个别厂家生产故障)，减少液氯供应量初见成效，价格连涨三日;但随着价格的上调，部分氯碱企业开工恢复，供应量增加至9050吨/天。并且本周聊城甲烷氯化物企业外采液氯不稳定，淄博氯化亚砜企业8.10-8.14停车检修，液氯需求面减少。本周山东地区降雨天气较多，液氯危化车运输受此影响，</w:t>
      </w:r>
      <w:r w:rsidRPr="006048F9">
        <w:rPr>
          <w:rFonts w:ascii="仿宋" w:eastAsia="仿宋" w:hAnsi="仿宋" w:cs="仿宋"/>
          <w:sz w:val="28"/>
          <w:szCs w:val="28"/>
        </w:rPr>
        <w:lastRenderedPageBreak/>
        <w:t>高速禁行，对碱厂发货影响较大。河北地区本周需求面无改善，甘氨酸企业本周尚未恢复开工，氯化石蜡企业多半负荷运行，需求情况不理想，制约上游发货，并且山西、山东、辽宁地区低价货源不断流入，河北地区市场整体运行情况不佳。山西地区目前供应充裕，本地消化有限，多发外围为主。辽宁地区本周液氯供应偏高，辽宁省内日商品量供应为700吨/天，远大于辽宁地区本地市场容量。</w:t>
      </w:r>
    </w:p>
    <w:p w:rsidR="006048F9" w:rsidRPr="006048F9" w:rsidRDefault="006048F9" w:rsidP="006048F9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48F9">
        <w:rPr>
          <w:rFonts w:ascii="仿宋" w:eastAsia="仿宋" w:hAnsi="仿宋" w:cs="仿宋"/>
          <w:sz w:val="28"/>
          <w:szCs w:val="28"/>
        </w:rPr>
        <w:t>华东地区本周价格大幅下调，上周苏北一带园区有检查，苏北一带发货较差，本周检查结束，下游企业开工恢复正常。苏南地区目前下游需求疲软，上周有一定的库存积压，本周加上安徽广信停车检修，江苏、安徽市场价格开始走跌。江西地区本周耗氯大户氯化石蜡企业停车检修，液氯需求回落，本周价格小幅回落。浙江地区本周浙江闰土检修，价格暂稳，但后期液氯供应增多，走势并不乐观。</w:t>
      </w:r>
    </w:p>
    <w:p w:rsidR="006048F9" w:rsidRPr="006048F9" w:rsidRDefault="006048F9" w:rsidP="006048F9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48F9">
        <w:rPr>
          <w:rFonts w:ascii="仿宋" w:eastAsia="仿宋" w:hAnsi="仿宋" w:cs="仿宋"/>
          <w:sz w:val="28"/>
          <w:szCs w:val="28"/>
        </w:rPr>
        <w:t>华中地区本周表现不温不火，河南地区少数企业价格上调，实际需求面一般。两湖地区走货情况一般，夏季下游开工不高。西北地区本周高价回落200元/吨，周边价格下滑较多，西北供应有限，价格随行就市为主。西南地区液氯发货情况不温不火，当地下游采购积极性不高。重庆一带MDI负荷较高，液氯需求良好。</w:t>
      </w:r>
    </w:p>
    <w:p w:rsidR="00581D0F" w:rsidRDefault="00890D02" w:rsidP="002935B1">
      <w:pPr>
        <w:widowControl/>
        <w:spacing w:line="239" w:lineRule="atLeast"/>
        <w:ind w:leftChars="133" w:left="279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6048F9" w:rsidRPr="006048F9" w:rsidRDefault="006048F9" w:rsidP="006048F9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048F9">
        <w:rPr>
          <w:rFonts w:ascii="仿宋" w:eastAsia="仿宋" w:hAnsi="仿宋" w:cs="仿宋"/>
          <w:sz w:val="28"/>
          <w:szCs w:val="28"/>
        </w:rPr>
        <w:t>截止到8月13日发稿，各地区液氯槽车主流出厂价格：</w:t>
      </w:r>
    </w:p>
    <w:p w:rsidR="006048F9" w:rsidRDefault="006048F9" w:rsidP="006048F9">
      <w:pPr>
        <w:pStyle w:val="a8"/>
        <w:spacing w:line="360" w:lineRule="auto"/>
        <w:ind w:firstLineChars="200" w:firstLine="560"/>
        <w:rPr>
          <w:sz w:val="21"/>
          <w:szCs w:val="21"/>
        </w:rPr>
      </w:pPr>
      <w:r w:rsidRPr="006048F9">
        <w:rPr>
          <w:rFonts w:ascii="仿宋" w:eastAsia="仿宋" w:hAnsi="仿宋" w:cs="仿宋"/>
          <w:sz w:val="28"/>
          <w:szCs w:val="28"/>
        </w:rPr>
        <w:lastRenderedPageBreak/>
        <w:t>山东省内主流槽车600-650元/吨，河北省内主流槽车执行600-700元/吨;河南省槽车主流出货价格在550-850元/吨均有，钢瓶槽车同价;山西地区槽车出货主流在300-400元/吨;浙江地区当前槽车出货价格为700-750元/吨均有;安徽、江苏地区槽车出厂400-600元/吨;江西地区价格600-650元/吨;辽宁地区槽车出厂270-400元/吨;内蒙古液氯槽车1000元/吨;湖北地区少量槽车出厂价格在750元/吨;四川地区550-850元/吨，当地高价成交有</w:t>
      </w:r>
      <w:r>
        <w:rPr>
          <w:sz w:val="21"/>
          <w:szCs w:val="21"/>
        </w:rPr>
        <w:t>限。</w:t>
      </w:r>
    </w:p>
    <w:p w:rsidR="00581D0F" w:rsidRPr="006048F9" w:rsidRDefault="00581D0F" w:rsidP="0015137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6048F9" w:rsidRPr="006048F9" w:rsidRDefault="006048F9" w:rsidP="006048F9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6048F9">
        <w:rPr>
          <w:rFonts w:ascii="仿宋" w:eastAsia="仿宋" w:hAnsi="仿宋" w:cs="仿宋"/>
          <w:sz w:val="28"/>
          <w:szCs w:val="28"/>
        </w:rPr>
        <w:t>山东地区液氯出货价格反弹，涨幅300元/吨，上涨主要因前期液氯价格过低，部分高成本碱厂压低负荷(个别厂家生产故障)，减少液氯供应量初见成效，价格连涨三日;但随着价格的上调，部分氯碱企业开工恢复，供应量增加至9050吨/天。并且本周聊城甲烷氯化物企业外采液氯不稳定，淄博氯化亚砜企业8.10-8.14停车检修，液氯需求面减少。本周山东地区降雨天气较多，液氯危化车运输受此影响，高速禁行，对碱厂发货影响较大。河北地区本周需求面无改善，甘氨酸企业本周尚未恢复开工，氯化石蜡企业多半负荷运行，需求情况不理想，制约上游发货，并且山西、山东、辽宁地区低价货源不断流入，河北地区市场整体运行情况不佳。山西地区目前供应充裕，本地消化有限，多发外围为主。辽宁地区本周液氯供应偏高，辽宁省内日商品量供应为700吨/天，远大于辽宁地区本地市场容量。</w:t>
      </w:r>
    </w:p>
    <w:p w:rsidR="00581D0F" w:rsidRDefault="00890D02">
      <w:pPr>
        <w:widowControl/>
        <w:spacing w:line="239" w:lineRule="atLeas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br/>
      </w:r>
    </w:p>
    <w:p w:rsidR="006048F9" w:rsidRPr="006048F9" w:rsidRDefault="00890D02" w:rsidP="006048F9">
      <w:pPr>
        <w:pStyle w:val="a8"/>
        <w:spacing w:line="360" w:lineRule="auto"/>
        <w:ind w:leftChars="171" w:left="359" w:firstLineChars="50" w:firstLine="120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r w:rsidRPr="006D0085">
        <w:rPr>
          <w:rFonts w:ascii="仿宋" w:eastAsia="仿宋" w:hAnsi="仿宋" w:cs="仿宋"/>
          <w:sz w:val="28"/>
          <w:szCs w:val="28"/>
        </w:rPr>
        <w:t> </w:t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6048F9" w:rsidRPr="006048F9">
        <w:rPr>
          <w:rFonts w:ascii="仿宋" w:eastAsia="仿宋" w:hAnsi="仿宋" w:cs="仿宋"/>
          <w:sz w:val="28"/>
          <w:szCs w:val="28"/>
        </w:rPr>
        <w:t>下周预计河北、山东省内需求面将有所恢复，并且河北冀衡下周检修，预计北方液氯市场稍有好转，而华东地区下周来看暂无好转的可能，部分耗氯企业仍处在停车阶段，但碱厂成本支撑，预计下周华东地区价格持稳为主。预测下周山东地区液氯槽车出货价格维持在500-750元/吨之间波动，南方液氯市场在350-650元/吨之间波动。</w:t>
      </w:r>
    </w:p>
    <w:p w:rsidR="00581D0F" w:rsidRDefault="00890D02" w:rsidP="006048F9">
      <w:pPr>
        <w:pStyle w:val="a8"/>
        <w:spacing w:line="360" w:lineRule="auto"/>
        <w:ind w:firstLineChars="200"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DA05D3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3E28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B808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BF49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BF49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3E2858"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B8082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825" w:rsidRDefault="00B80825" w:rsidP="00B80825">
            <w:pPr>
              <w:jc w:val="center"/>
            </w:pP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450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450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B80825"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B8082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825" w:rsidRDefault="00B80825" w:rsidP="00B80825">
            <w:pPr>
              <w:jc w:val="center"/>
            </w:pP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450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450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 w:rsidR="00B808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8082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825" w:rsidRDefault="00B80825" w:rsidP="00B80825">
            <w:pPr>
              <w:jc w:val="center"/>
            </w:pP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4503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B80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B8082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825" w:rsidRDefault="00B80825" w:rsidP="00B80825">
            <w:pPr>
              <w:jc w:val="center"/>
            </w:pP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B80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Pr="00151371" w:rsidRDefault="00B80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80825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825" w:rsidRDefault="00B80825" w:rsidP="00B80825">
            <w:pPr>
              <w:jc w:val="center"/>
            </w:pP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8082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825" w:rsidRDefault="00B80825" w:rsidP="00B80825">
            <w:pPr>
              <w:jc w:val="center"/>
            </w:pP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510DE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0D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45030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="00B8082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825" w:rsidRDefault="00B8082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</w:tbl>
    <w:p w:rsidR="00581D0F" w:rsidRDefault="00581D0F">
      <w:pPr>
        <w:spacing w:line="400" w:lineRule="exact"/>
        <w:rPr>
          <w:rFonts w:cs="Times New Roman"/>
        </w:rPr>
      </w:pPr>
    </w:p>
    <w:p w:rsidR="00581D0F" w:rsidRDefault="00581D0F">
      <w:pPr>
        <w:spacing w:line="400" w:lineRule="exact"/>
        <w:rPr>
          <w:rFonts w:ascii="Arial" w:hAnsi="Arial" w:cs="Arial"/>
          <w:kern w:val="0"/>
        </w:rPr>
      </w:pPr>
    </w:p>
    <w:p w:rsidR="00581D0F" w:rsidRDefault="00890D02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E9A" w:rsidRDefault="00E34E9A" w:rsidP="00581D0F">
      <w:r>
        <w:separator/>
      </w:r>
    </w:p>
  </w:endnote>
  <w:endnote w:type="continuationSeparator" w:id="1">
    <w:p w:rsidR="00E34E9A" w:rsidRDefault="00E34E9A" w:rsidP="0058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1C2D4D">
    <w:pPr>
      <w:pStyle w:val="a5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450306">
      <w:rPr>
        <w:b/>
        <w:bCs/>
        <w:noProof/>
      </w:rPr>
      <w:t>12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450306">
      <w:rPr>
        <w:b/>
        <w:bCs/>
        <w:noProof/>
      </w:rPr>
      <w:t>13</w:t>
    </w:r>
    <w:r>
      <w:rPr>
        <w:b/>
        <w:bCs/>
      </w:rPr>
      <w:fldChar w:fldCharType="end"/>
    </w:r>
  </w:p>
  <w:p w:rsidR="00581D0F" w:rsidRDefault="00581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E9A" w:rsidRDefault="00E34E9A" w:rsidP="00581D0F">
      <w:r>
        <w:separator/>
      </w:r>
    </w:p>
  </w:footnote>
  <w:footnote w:type="continuationSeparator" w:id="1">
    <w:p w:rsidR="00E34E9A" w:rsidRDefault="00E34E9A" w:rsidP="0058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1C2D4D">
    <w:pPr>
      <w:pStyle w:val="a6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>
    <w:pPr>
      <w:pStyle w:val="a6"/>
      <w:pBdr>
        <w:bottom w:val="none" w:sz="0" w:space="0" w:color="auto"/>
      </w:pBdr>
    </w:pPr>
  </w:p>
  <w:p w:rsidR="00581D0F" w:rsidRDefault="00581D0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0F7599"/>
    <w:rsid w:val="001007EB"/>
    <w:rsid w:val="001055DB"/>
    <w:rsid w:val="00105BD3"/>
    <w:rsid w:val="00105C40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644F"/>
    <w:rsid w:val="00277D27"/>
    <w:rsid w:val="00277D2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061D"/>
    <w:rsid w:val="003B15E0"/>
    <w:rsid w:val="003B58B8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AD"/>
    <w:rsid w:val="003F5A2E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596D"/>
    <w:rsid w:val="00427C92"/>
    <w:rsid w:val="00433B13"/>
    <w:rsid w:val="00433DB4"/>
    <w:rsid w:val="004379B7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1E50"/>
    <w:rsid w:val="004667F7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D003B"/>
    <w:rsid w:val="006D0085"/>
    <w:rsid w:val="006D1855"/>
    <w:rsid w:val="006D37BF"/>
    <w:rsid w:val="006D6B32"/>
    <w:rsid w:val="006E0A38"/>
    <w:rsid w:val="006E0B28"/>
    <w:rsid w:val="006E6D87"/>
    <w:rsid w:val="006E7CAC"/>
    <w:rsid w:val="006F134F"/>
    <w:rsid w:val="00700544"/>
    <w:rsid w:val="00702144"/>
    <w:rsid w:val="00702423"/>
    <w:rsid w:val="00705AF2"/>
    <w:rsid w:val="007135D7"/>
    <w:rsid w:val="0071409C"/>
    <w:rsid w:val="007151B5"/>
    <w:rsid w:val="007154FE"/>
    <w:rsid w:val="007172B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3FAD"/>
    <w:rsid w:val="008074F4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4B42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Chars="200"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65F111-4FA1-466F-9054-FAEF458E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872</Words>
  <Characters>4975</Characters>
  <Application>Microsoft Office Word</Application>
  <DocSecurity>0</DocSecurity>
  <Lines>41</Lines>
  <Paragraphs>11</Paragraphs>
  <ScaleCrop>false</ScaleCrop>
  <Company>china</Company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468</cp:revision>
  <dcterms:created xsi:type="dcterms:W3CDTF">2018-07-12T05:18:00Z</dcterms:created>
  <dcterms:modified xsi:type="dcterms:W3CDTF">2020-08-21T05:46:00Z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