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95410F">
      <w:pPr>
        <w:spacing w:line="400" w:lineRule="exact"/>
        <w:rPr>
          <w:rFonts w:cs="Times New Roman"/>
        </w:rPr>
      </w:pPr>
      <w:bookmarkStart w:id="0" w:name="_Toc485828985"/>
      <w:r w:rsidRPr="009541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95410F">
      <w:pPr>
        <w:spacing w:line="400" w:lineRule="exact"/>
        <w:rPr>
          <w:rFonts w:cs="Times New Roman"/>
        </w:rPr>
      </w:pPr>
      <w:r w:rsidRPr="009541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1" filled="f" stroked="f">
            <v:textbox>
              <w:txbxContent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5410F">
        <w:pict>
          <v:shape id="文本框 3" o:spid="_x0000_s1029" type="#_x0000_t202" style="position:absolute;left:0;text-align:left;margin-left:175.45pt;margin-top:490.7pt;width:126.6pt;height:54.1pt;z-index:2" filled="f" stroked="f">
            <v:textbox>
              <w:txbxContent>
                <w:p w:rsidR="00581D0F" w:rsidRDefault="00890D02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705AF2">
                    <w:rPr>
                      <w:rFonts w:hint="eastAsia"/>
                      <w:kern w:val="2"/>
                    </w:rPr>
                    <w:t>8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323D45">
                    <w:rPr>
                      <w:rFonts w:hint="eastAsia"/>
                      <w:kern w:val="2"/>
                    </w:rPr>
                    <w:t>28</w:t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95410F">
        <w:lastRenderedPageBreak/>
        <w:pict>
          <v:shape id="_x0000_s1030" type="#_x0000_t202" style="position:absolute;left:0;text-align:left;margin-left:-.9pt;margin-top:34.7pt;width:492pt;height:565.3pt;z-index:3" filled="f" stroked="f">
            <v:textbox>
              <w:txbxContent>
                <w:p w:rsidR="00581D0F" w:rsidRDefault="00890D02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95410F">
                  <w:pPr>
                    <w:pStyle w:val="10"/>
                    <w:rPr>
                      <w:color w:val="0000FF"/>
                      <w:u w:val="single"/>
                    </w:rPr>
                  </w:pPr>
                  <w:r w:rsidRPr="0095410F">
                    <w:fldChar w:fldCharType="begin"/>
                  </w:r>
                  <w:r w:rsidR="00890D02">
                    <w:instrText xml:space="preserve"> TOC \o "1-3" \h \z \u </w:instrText>
                  </w:r>
                  <w:r w:rsidRPr="0095410F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705AF2">
                      <w:rPr>
                        <w:rStyle w:val="aa"/>
                        <w:rFonts w:hint="eastAsia"/>
                      </w:rPr>
                      <w:t>8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323D45">
                      <w:rPr>
                        <w:rStyle w:val="aa"/>
                        <w:rFonts w:hint="eastAsia"/>
                      </w:rPr>
                      <w:t>28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95410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95410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95410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95410F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>
      <w:pPr>
        <w:pStyle w:val="1"/>
        <w:spacing w:line="400" w:lineRule="exact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3D45">
        <w:rPr>
          <w:rFonts w:ascii="仿宋" w:eastAsia="仿宋" w:hAnsi="仿宋" w:cs="仿宋"/>
          <w:kern w:val="2"/>
          <w:sz w:val="28"/>
          <w:szCs w:val="28"/>
        </w:rPr>
        <w:t>本周纯碱现货报价普遍拉涨，轻质纯碱主流涨幅在150-200元/吨，重质纯碱涨幅参考400元/吨，部分工厂以封单运行为主。本周四川和邦装置较大产能仍处停机状态，另云南云维进入检修期，不少企业处于低产状态，行业开产水平运行偏低，工厂方面现货走量较畅，市场供应局势仍向紧平衡运行;下游用户刚需稳定，月底结算后上月买单价格均有明显涨幅，本周工厂调价上移，新单采购尚有观望情绪，部分用户受刚需持续有买涨表现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3D45">
        <w:rPr>
          <w:rFonts w:ascii="仿宋" w:eastAsia="仿宋" w:hAnsi="仿宋" w:cs="仿宋"/>
          <w:kern w:val="2"/>
          <w:sz w:val="28"/>
          <w:szCs w:val="28"/>
        </w:rPr>
        <w:t>供应端：截止2020年35周，国内纯碱行业总产能为3307万吨;其中涉及25家联碱工厂，产能共计1190万吨;12家氨碱工厂，产能共计1076万吨;以及2家天然碱工厂，产能共计160万吨。截止8月27日，纯碱运行产能共计2427万吨，开工率73.4%，较8月20日开工率73%↑0.4个百分点。受个别厂家停机或降负荷生产，以及近期需求好转的利好支撑下，纯碱整体行业库存继续下滑。截止8月27日，纯碱企业库存总量为91万吨，较8月20日下降1.3%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3D45">
        <w:rPr>
          <w:rFonts w:ascii="仿宋" w:eastAsia="仿宋" w:hAnsi="仿宋" w:cs="仿宋"/>
          <w:kern w:val="2"/>
          <w:sz w:val="28"/>
          <w:szCs w:val="28"/>
        </w:rPr>
        <w:t>需求端：平板玻璃企业现货行情迎来旺季，原片低库存促进后续涨情升温，且工厂生产积极性不断调动，进一步拉涨玻璃企业对纯碱</w:t>
      </w:r>
      <w:r w:rsidRPr="00323D45">
        <w:rPr>
          <w:rFonts w:ascii="仿宋" w:eastAsia="仿宋" w:hAnsi="仿宋" w:cs="仿宋"/>
          <w:kern w:val="2"/>
          <w:sz w:val="28"/>
          <w:szCs w:val="28"/>
        </w:rPr>
        <w:lastRenderedPageBreak/>
        <w:t>采购积极性;另外日用玻璃、焦亚硫酸、泡花碱、两钠、冶金、印染、水处理等多行业应用需求刚需相对。在纯碱现货供应过剩因素减缓影响下，终端采购情绪转变，大大提振需求情绪升温，进一步对价格形成积极意义。</w:t>
      </w:r>
    </w:p>
    <w:p w:rsidR="00581D0F" w:rsidRPr="00705AF2" w:rsidRDefault="00890D02" w:rsidP="00705AF2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323D45">
        <w:rPr>
          <w:rFonts w:ascii="仿宋" w:eastAsia="仿宋" w:hAnsi="仿宋" w:cs="仿宋"/>
          <w:kern w:val="2"/>
          <w:sz w:val="28"/>
          <w:szCs w:val="28"/>
        </w:rPr>
        <w:t>轻碱主流含税出厂价格：东北地区含税出厂价在1500-1550元/吨;河北地区含税出厂价1450-1500元/吨;山东地区含税出厂价1450-1550元/吨;江苏地区主流含税出厂价1450-1550元/吨;杭州地区含税出厂价1450-1550元/吨;福建地区含税出厂价1400-1450元/吨;广东地区含税出厂价1450-1550元/吨;华中地区主流含税出价1450-1550元/吨;西北地区含税出厂价1300-1450元/吨，其中青海区域含税出厂价1250-1350元/吨;川渝区域含税出价1400-1500元/吨;云贵地区含税出价1380-1450元/吨;江西区域含税出价1400-1450元/吨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3D45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价在1500-1700元/吨;河北地区含税价1500-1600元/吨;山东地区含税价1500-1650元/吨;江苏地区主流含税价1500-1600元/吨;杭州地区含税价1550-1650元/吨;福建地区含税价1450-1550元/吨;广东地区含税价1550-1700元/吨;华中地区主流含税价1500-1650元/吨;西北地区含税出厂价1350-1500元/吨，其中青海区域含税出厂价1350-1450元/吨;川渝区</w:t>
      </w:r>
      <w:r w:rsidRPr="00323D45">
        <w:rPr>
          <w:rFonts w:ascii="仿宋" w:eastAsia="仿宋" w:hAnsi="仿宋" w:cs="仿宋"/>
          <w:kern w:val="2"/>
          <w:sz w:val="28"/>
          <w:szCs w:val="28"/>
        </w:rPr>
        <w:lastRenderedPageBreak/>
        <w:t>域含税价1450-1550元/吨;云贵地区含税价1450-1550元/吨;江西区域含税价1450-1500元/吨。</w:t>
      </w:r>
    </w:p>
    <w:p w:rsidR="00581D0F" w:rsidRDefault="00890D02" w:rsidP="00802025">
      <w:pPr>
        <w:pStyle w:val="a8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323D45">
        <w:rPr>
          <w:rFonts w:ascii="仿宋" w:eastAsia="仿宋" w:hAnsi="仿宋" w:cs="仿宋"/>
          <w:kern w:val="2"/>
          <w:sz w:val="28"/>
          <w:szCs w:val="28"/>
        </w:rPr>
        <w:t>后市预测：纯碱企业在8月底对9月进行报价期间，整体行业普遍执行轻碱涨200元/吨、重碱涨 400元/吨。根据开工预期变化，全国纯碱开工率或在多种因素影响下维持较长周期的低开表现，加上多数企业低库现状，供应显弱;“金九银十”周期或在平板玻璃行业中以增线开产表现为主，促进刚需稳增，加上轻碱用户稳产支撑刚需，纯碱现货价格拉涨将有望逐步落实。</w:t>
      </w:r>
    </w:p>
    <w:p w:rsidR="00581D0F" w:rsidRDefault="00890D02" w:rsidP="00802025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490"/>
        <w:gridCol w:w="1454"/>
        <w:gridCol w:w="1444"/>
        <w:gridCol w:w="1444"/>
        <w:gridCol w:w="1444"/>
        <w:gridCol w:w="1444"/>
      </w:tblGrid>
      <w:tr w:rsidR="00581D0F" w:rsidTr="00140B0E">
        <w:trPr>
          <w:trHeight w:val="28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 w:rsidP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5F54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8020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32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="00705AF2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  <w:r w:rsidR="00192E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3D45" w:rsidTr="00140B0E">
        <w:trPr>
          <w:trHeight w:val="9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Pr="00F26A57" w:rsidRDefault="00323D45" w:rsidP="00192EA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Pr="00F26A57" w:rsidRDefault="00323D45" w:rsidP="00192EA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Pr="00F26A57" w:rsidRDefault="00323D4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3D4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 w:rsidP="003C1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3D4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323D45" w:rsidTr="00140B0E">
        <w:trPr>
          <w:trHeight w:val="33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3D4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3D4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D45" w:rsidRDefault="00323D45" w:rsidP="00323D45">
            <w:pPr>
              <w:jc w:val="center"/>
            </w:pP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E0A7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E0A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Default="00323D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D45" w:rsidRPr="00F26A57" w:rsidRDefault="00323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890D02">
      <w:pPr>
        <w:pStyle w:val="1"/>
        <w:spacing w:line="400" w:lineRule="exact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lastRenderedPageBreak/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本周中国西南液碱市场价格领涨全国。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华北地区本周市场弱稳运行。华北山东地区本周液碱市场成交低迷，上周高浓碱普降后走货一般，主流用碱行业氧化铝企业来看，本周用碱量有增加，但整体来看液碱供应偏多，其他用碱行业下游需求仍然平淡，且缺少省外分流，液碱消耗能力有限，下游观望心态明显，多以刚需提货为主。河北地区整体供应偏低，当地碱厂库存偏低。天津LG渤海8.22日起全停检修15天，液碱供应方面有减量趋势。河南、山西地区9月份用碱长单进入商议阶段，目前下游氧化铝厂家存有压价意愿，商定表现僵持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华东局部地区成交重心小幅上行。浙江地区部分厂家本周液碱价格提涨10元/吨，现阶段现有需求淡稳，当地企业根据自身库存调整价格。安徽地区本周华星、芜湖融开工恢复，省内用碱大户恢复开车。江苏新地区新浦化学已于8.25开始检修，省内氯碱厂开工不高，液碱供应量减少，但本周出口订单签订欠佳，液碱报价弱势持稳。福建</w:t>
      </w:r>
      <w:r w:rsidRPr="00323D45">
        <w:rPr>
          <w:rFonts w:ascii="仿宋" w:eastAsia="仿宋" w:hAnsi="仿宋" w:cs="仿宋"/>
          <w:sz w:val="28"/>
          <w:szCs w:val="28"/>
        </w:rPr>
        <w:lastRenderedPageBreak/>
        <w:t>地区低浓液碱价格窄幅下调。本地有外来液碱流入，且价格偏低，对省内市场产生一定冲击，企业竞价销售，低浓液碱小幅下调。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西南地区液碱价格上行。川渝地区8月份已累计提涨300元/吨(折百)，四川地区洪涝灾害影响，省内氯碱开工率下降至45%，且停产的氯碱装置复工预期时间较长，区域内液碱供应紧张。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跟踪数据，8月27日中国32%离子膜液碱市场价格指数518.48，较8月20日数据相比↓0.1%;中国50%离子膜液碱市场平均出厂价格在989.9元/吨，较8月20日数据相比↑0.29%。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据统计目前全国氯碱总产能为4341.4万吨，截至8月27日，氯碱开工产能3472.5万吨，开工率79.99%。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据统计目前全国氧化铝总产能为8784万吨，截至8月27日，氧化铝开工产能7170万吨，开工率81.63%。</w:t>
      </w:r>
    </w:p>
    <w:p w:rsidR="00581D0F" w:rsidRPr="00323D45" w:rsidRDefault="00581D0F" w:rsidP="00A909B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>
      <w:pPr>
        <w:pStyle w:val="a8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截止8月27日各地区液碱价格(文中价格为现汇，承兑低浓度水碱加15元/吨，高浓度碱加30元/吨)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32%离子膜液碱主流出厂价格：自山东氧化铝行业用32%离子膜液碱价格自7月30日执行现汇出厂410元/吨，供其他客户主流现汇出厂价格420-480元/吨;河北450-510元/吨;天津1500-1600元/</w:t>
      </w:r>
      <w:r w:rsidRPr="00323D45">
        <w:rPr>
          <w:rFonts w:ascii="仿宋" w:eastAsia="仿宋" w:hAnsi="仿宋" w:cs="仿宋"/>
          <w:sz w:val="28"/>
          <w:szCs w:val="28"/>
        </w:rPr>
        <w:lastRenderedPageBreak/>
        <w:t>吨(折百);浙江送到萧绍经销商610-650元/吨;江苏510-580元/吨;安徽530-560元/吨;江西地区570-620元/吨;广西700-730元/吨;河南1500-1550元/吨(折百);内蒙古1200-1500元/吨(折百);辽宁560-590元/吨，个别企业价格略高;四川2350-2500元/吨(折百);福建地区32%离子膜烧碱送到价格在740-840元/吨(因距离不同，运费存有差距)，个别厂家价格略高。</w:t>
      </w:r>
    </w:p>
    <w:p w:rsidR="00323D45" w:rsidRPr="00323D45" w:rsidRDefault="00323D45" w:rsidP="00323D45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23D45">
        <w:rPr>
          <w:rFonts w:ascii="仿宋" w:eastAsia="仿宋" w:hAnsi="仿宋" w:cs="仿宋"/>
          <w:sz w:val="28"/>
          <w:szCs w:val="28"/>
        </w:rPr>
        <w:t>高浓碱主流出厂价格：山东48%离子膜液碱出厂670-710元/吨，50%离子膜液碱出厂680-710元/吨。天津49%离子膜碱出厂价格1550-1650元/吨(折百)，广西50%离子膜液碱出厂价格1100-1150元/吨;内蒙古48-50%离子膜液碱出厂价格1300-1450元/吨(折百)左右;江苏地区48%离子膜液碱出厂价格900-950元/吨;辽宁地区45-50%离子膜液碱出厂报价在850-950元/吨;四川地区50%离子膜液碱主流出厂价格2300-2400元/吨(折百)。福建省50%离子膜烧碱送到价格在1250-1350元/吨。(因距离不同，运费存有差距)。</w:t>
      </w:r>
    </w:p>
    <w:p w:rsidR="00581D0F" w:rsidRPr="00323D45" w:rsidRDefault="00581D0F" w:rsidP="0042596D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7160AF" w:rsidRPr="007160AF" w:rsidRDefault="007160AF" w:rsidP="007160AF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7160AF">
        <w:rPr>
          <w:rFonts w:ascii="仿宋" w:eastAsia="仿宋" w:hAnsi="仿宋" w:cs="仿宋"/>
          <w:sz w:val="28"/>
          <w:szCs w:val="28"/>
        </w:rPr>
        <w:t>本周中国液碱市场整体走势仍然偏弱，西南地区有回暖趋势。北方地区来看，现阶段下游需求仍未见改善，厂家出货存有一定压力，预计下周弱稳运行为主。华东地区氯碱装置开工不高，虽浙江地区本周有小幅拉涨表现，但整体提涨仍然无力，主要原因是下游需求薄弱，</w:t>
      </w:r>
      <w:r w:rsidRPr="007160AF">
        <w:rPr>
          <w:rFonts w:ascii="仿宋" w:eastAsia="仿宋" w:hAnsi="仿宋" w:cs="仿宋"/>
          <w:sz w:val="28"/>
          <w:szCs w:val="28"/>
        </w:rPr>
        <w:lastRenderedPageBreak/>
        <w:t>液碱出口订单签订不佳，现阶段新浦轮流检修已经开始，预计下周多弱势盘整。西南地区受本次洪水影响多有停产或减产表现，区域内供货紧张导致液碱价格上行，短期内氯碱厂家开工恢复困难，后市液碱价格不乏继续上涨可能。预计下周价格调整幅度在20-50元/吨。</w:t>
      </w:r>
    </w:p>
    <w:p w:rsidR="00581D0F" w:rsidRPr="00BF4934" w:rsidRDefault="00581D0F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 w:rsidP="001E117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1E11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590C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1E117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  <w:r w:rsidR="004455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 w:rsidP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590C7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C7A" w:rsidRDefault="00590C7A" w:rsidP="00590C7A">
            <w:pPr>
              <w:jc w:val="center"/>
            </w:pP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6145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145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7A" w:rsidRDefault="00590C7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>
      <w:pPr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>
      <w:pPr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lastRenderedPageBreak/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>
      <w:pPr>
        <w:spacing w:line="400" w:lineRule="exact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83646C" w:rsidRPr="0083646C" w:rsidRDefault="0083646C" w:rsidP="0083646C">
      <w:pPr>
        <w:pStyle w:val="a8"/>
        <w:spacing w:line="360" w:lineRule="auto"/>
        <w:ind w:left="561" w:firstLineChars="200" w:firstLine="56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83646C">
        <w:rPr>
          <w:rFonts w:ascii="仿宋" w:eastAsia="仿宋" w:hAnsi="仿宋" w:cs="仿宋"/>
          <w:sz w:val="28"/>
          <w:szCs w:val="28"/>
        </w:rPr>
        <w:t>本周北方液氯市场逐步上涨，南方地区控量发货。</w:t>
      </w:r>
    </w:p>
    <w:p w:rsidR="0083646C" w:rsidRPr="0083646C" w:rsidRDefault="0083646C" w:rsidP="0083646C">
      <w:pPr>
        <w:pStyle w:val="a8"/>
        <w:spacing w:line="360" w:lineRule="auto"/>
        <w:ind w:left="561"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山东地区本周出货价格累计上涨250元/吨，本次上涨节奏较缓慢，上下游基本同步上涨。具体来看本周供应方面存在一定利好：烟台地区液氯出货减少，周边供应为主;外省河北冀衡化学复工延迟。下游需求面来看本周聊城甲烷氯化物厂家开工较好，支撑市场上涨。整体来看目前山东西部地区液氯需求较差，当地甘氨酸以及消毒剂企业停车，当地出货价格和中东部地区有一定价差。河北地区目前供需两端变化不大，市场需求面改善不足;辽宁地区虽稍有降量，但需求仍然低迷。山西地区本周发货价格微降，近期发货情况一般。</w:t>
      </w:r>
    </w:p>
    <w:p w:rsidR="0083646C" w:rsidRPr="0083646C" w:rsidRDefault="0083646C" w:rsidP="0083646C">
      <w:pPr>
        <w:pStyle w:val="a8"/>
        <w:spacing w:line="360" w:lineRule="auto"/>
        <w:ind w:left="561"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华东地区本周液氯弱势维稳，本周江苏需求面仍未恢复正常，本周苏北一带检查结束，苏北地区液氯走货比上周稍有转好，省内碱厂开工多维持在7-8成之间，减少液氯供应，避免液氯出货难的局面，但下游需求不佳，液氯走货压力犹存。安徽地区本</w:t>
      </w:r>
      <w:r w:rsidRPr="0083646C">
        <w:rPr>
          <w:rFonts w:ascii="仿宋" w:eastAsia="仿宋" w:hAnsi="仿宋" w:cs="仿宋"/>
          <w:sz w:val="28"/>
          <w:szCs w:val="28"/>
        </w:rPr>
        <w:lastRenderedPageBreak/>
        <w:t>周虽然融汇与华星恢复开工，但当地碱厂开工不满，液氯出货不多。浙江、江西地区本周弱势维稳，当地出货价格暂稳。</w:t>
      </w:r>
    </w:p>
    <w:p w:rsidR="0083646C" w:rsidRPr="0083646C" w:rsidRDefault="0083646C" w:rsidP="0083646C">
      <w:pPr>
        <w:pStyle w:val="a8"/>
        <w:spacing w:line="360" w:lineRule="auto"/>
        <w:ind w:left="561"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华中地区来看，两湖地区液氯发货较差，外围货源流入较多，冲击当地市场，并且两湖地区危化品运输管理严格，对走货节奏有一定影响。河南地区本周供应略有减少，下游需求始终不温不火。</w:t>
      </w:r>
    </w:p>
    <w:p w:rsidR="0083646C" w:rsidRPr="0083646C" w:rsidRDefault="0083646C" w:rsidP="0083646C">
      <w:pPr>
        <w:pStyle w:val="a8"/>
        <w:spacing w:line="360" w:lineRule="auto"/>
        <w:ind w:left="561"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西南地区目前乐山主流耗氯下游停车，小型耗氯企业亦受此影响，当地液氯交投氛围冷清，川渝碱厂负荷走低。内蒙地区本周乌海化工检修，液氯供应减少，货源紧张。</w:t>
      </w:r>
    </w:p>
    <w:p w:rsidR="00581D0F" w:rsidRDefault="00890D02" w:rsidP="002935B1">
      <w:pPr>
        <w:widowControl/>
        <w:spacing w:line="239" w:lineRule="atLeast"/>
        <w:ind w:leftChars="133" w:left="279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83646C" w:rsidRPr="0083646C" w:rsidRDefault="0083646C" w:rsidP="0083646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截止到8月27日发稿，各地区液氯槽车主流出厂价格：</w:t>
      </w:r>
    </w:p>
    <w:p w:rsidR="0083646C" w:rsidRPr="0083646C" w:rsidRDefault="0083646C" w:rsidP="0083646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3646C">
        <w:rPr>
          <w:rFonts w:ascii="仿宋" w:eastAsia="仿宋" w:hAnsi="仿宋" w:cs="仿宋"/>
          <w:sz w:val="28"/>
          <w:szCs w:val="28"/>
        </w:rPr>
        <w:t>山东省内主流槽车700-800元/吨，河北省内主流槽车执行750-850元/吨;河南省槽车主流出货价格在550-750元/吨均有，钢瓶槽车同价;山西地区槽车出货主流在300-400元/吨;浙江地区当前槽车出货价格为500-600元/吨均有;安徽、江苏地区槽车出厂300-550元/吨;江西地区价格600-650元/吨;辽宁地区槽车出厂270-400元/吨;内蒙古液氯槽车1200元/吨;湖北地区少量槽车出厂价格在750元/吨;四川地区550-850元/吨，当地高价成交有限。</w:t>
      </w:r>
    </w:p>
    <w:p w:rsidR="00581D0F" w:rsidRPr="0083646C" w:rsidRDefault="00581D0F" w:rsidP="0015137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83646C" w:rsidRPr="0083646C" w:rsidRDefault="0083646C" w:rsidP="0083646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83646C">
        <w:rPr>
          <w:rFonts w:ascii="仿宋" w:eastAsia="仿宋" w:hAnsi="仿宋" w:cs="仿宋"/>
          <w:sz w:val="28"/>
          <w:szCs w:val="28"/>
        </w:rPr>
        <w:t>山东地区本周出货价格累计上涨250元/吨，本次上涨节奏较缓慢，上下游基本同步上涨。具体来看本周供应方面存在一定利好：烟台地区液氯出货减少，周边供应为主;外省河北冀衡化学复工延迟。下游需求面来看本周聊城甲烷氯化物厂家开工较好，支撑市场上涨。整体来看目前山东西部地区液氯需求较差，当地甘氨酸以及消毒剂企业停车，当地出货价格和中东部地区有一定价差。河北地区目前供需两端变化不大，市场需求面改善不足;辽宁地区虽稍有降量，但需求仍然低迷。山西地区本周发货价格微降，近期发货情况一般。</w:t>
      </w:r>
    </w:p>
    <w:p w:rsidR="00581D0F" w:rsidRDefault="00890D02">
      <w:pPr>
        <w:widowControl/>
        <w:spacing w:line="239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</w:p>
    <w:p w:rsidR="0083646C" w:rsidRDefault="00890D02" w:rsidP="0083646C">
      <w:pPr>
        <w:pStyle w:val="a8"/>
        <w:spacing w:line="360" w:lineRule="auto"/>
        <w:ind w:firstLineChars="200" w:firstLine="480"/>
        <w:rPr>
          <w:sz w:val="21"/>
          <w:szCs w:val="21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r w:rsidRPr="006D0085">
        <w:rPr>
          <w:rFonts w:ascii="仿宋" w:eastAsia="仿宋" w:hAnsi="仿宋" w:cs="仿宋"/>
          <w:sz w:val="28"/>
          <w:szCs w:val="28"/>
        </w:rPr>
        <w:t> </w:t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83646C" w:rsidRPr="0083646C">
        <w:rPr>
          <w:rFonts w:ascii="仿宋" w:eastAsia="仿宋" w:hAnsi="仿宋" w:cs="仿宋"/>
          <w:sz w:val="28"/>
          <w:szCs w:val="28"/>
        </w:rPr>
        <w:t>目前山东、河北地区液氯市场价格暂处平衡状态，下周山东有寿光新龙停车检修利好，预计检修期间价格有上调的可能，并且烟台TDI装置计划开工，对市场利好明显。华东地区安徽主力下游恢复开工，当地液氯需求提升，预计价格缓涨为主。预测下周山东地区液氯槽车出货价格维持在650-900元/吨之间波动，南方液氯市场在500-700元/吨之间波动。</w:t>
      </w:r>
    </w:p>
    <w:p w:rsidR="00581D0F" w:rsidRDefault="00890D02" w:rsidP="0083646C">
      <w:pPr>
        <w:pStyle w:val="a8"/>
        <w:spacing w:line="360" w:lineRule="auto"/>
        <w:ind w:leftChars="171" w:left="359" w:firstLineChars="50" w:firstLine="151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DA05D3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="003E28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B808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364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  <w:r w:rsidR="003E2858"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646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646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83646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83646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Pr="00151371" w:rsidRDefault="00836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646C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646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46C" w:rsidRDefault="0083646C" w:rsidP="0083646C">
            <w:pPr>
              <w:jc w:val="center"/>
            </w:pP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715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A7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46C" w:rsidRDefault="008364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581D0F" w:rsidRDefault="00581D0F">
      <w:pPr>
        <w:spacing w:line="400" w:lineRule="exact"/>
        <w:rPr>
          <w:rFonts w:cs="Times New Roman"/>
        </w:rPr>
      </w:pPr>
    </w:p>
    <w:p w:rsidR="00581D0F" w:rsidRDefault="00581D0F">
      <w:pPr>
        <w:spacing w:line="400" w:lineRule="exact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9C" w:rsidRDefault="00B0739C" w:rsidP="00581D0F">
      <w:r>
        <w:separator/>
      </w:r>
    </w:p>
  </w:endnote>
  <w:endnote w:type="continuationSeparator" w:id="1">
    <w:p w:rsidR="00B0739C" w:rsidRDefault="00B0739C" w:rsidP="005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95410F">
    <w:pPr>
      <w:pStyle w:val="a5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590C7A">
      <w:rPr>
        <w:b/>
        <w:bCs/>
        <w:noProof/>
      </w:rPr>
      <w:t>10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590C7A">
      <w:rPr>
        <w:b/>
        <w:bCs/>
        <w:noProof/>
      </w:rPr>
      <w:t>13</w:t>
    </w:r>
    <w:r>
      <w:rPr>
        <w:b/>
        <w:bCs/>
      </w:rPr>
      <w:fldChar w:fldCharType="end"/>
    </w:r>
  </w:p>
  <w:p w:rsidR="00581D0F" w:rsidRDefault="00581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9C" w:rsidRDefault="00B0739C" w:rsidP="00581D0F">
      <w:r>
        <w:separator/>
      </w:r>
    </w:p>
  </w:footnote>
  <w:footnote w:type="continuationSeparator" w:id="1">
    <w:p w:rsidR="00B0739C" w:rsidRDefault="00B0739C" w:rsidP="0058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95410F">
    <w:pPr>
      <w:pStyle w:val="a6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>
    <w:pPr>
      <w:pStyle w:val="a6"/>
      <w:pBdr>
        <w:bottom w:val="none" w:sz="0" w:space="0" w:color="auto"/>
      </w:pBdr>
    </w:pPr>
  </w:p>
  <w:p w:rsidR="00581D0F" w:rsidRDefault="00581D0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EB"/>
    <w:rsid w:val="001055DB"/>
    <w:rsid w:val="00105BD3"/>
    <w:rsid w:val="00105C40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061D"/>
    <w:rsid w:val="003B15E0"/>
    <w:rsid w:val="003B58B8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1E5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D003B"/>
    <w:rsid w:val="006D0085"/>
    <w:rsid w:val="006D1855"/>
    <w:rsid w:val="006D37BF"/>
    <w:rsid w:val="006D6B32"/>
    <w:rsid w:val="006E0A38"/>
    <w:rsid w:val="006E0B28"/>
    <w:rsid w:val="006E6D87"/>
    <w:rsid w:val="006E7CAC"/>
    <w:rsid w:val="006F134F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Chars="200"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5565F111-4FA1-466F-9054-FAEF458EF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818</Words>
  <Characters>4669</Characters>
  <Application>Microsoft Office Word</Application>
  <DocSecurity>0</DocSecurity>
  <Lines>38</Lines>
  <Paragraphs>10</Paragraphs>
  <ScaleCrop>false</ScaleCrop>
  <Company>china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496</cp:revision>
  <dcterms:created xsi:type="dcterms:W3CDTF">2018-07-12T05:18:00Z</dcterms:created>
  <dcterms:modified xsi:type="dcterms:W3CDTF">2020-08-28T05:53:00Z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