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-890270</wp:posOffset>
            </wp:positionH>
            <wp:positionV relativeFrom="paragraph">
              <wp:posOffset>-923925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9.3</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25</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25</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28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rFonts w:hint="eastAsia"/>
          <w:color w:val="auto"/>
          <w:sz w:val="24"/>
          <w:szCs w:val="24"/>
          <w:lang w:eastAsia="zh-CN"/>
        </w:rPr>
        <w:t>成品油</w:t>
      </w:r>
      <w:r>
        <w:rPr>
          <w:rStyle w:val="31"/>
          <w:rFonts w:hint="eastAsia"/>
          <w:color w:val="auto"/>
          <w:sz w:val="24"/>
          <w:szCs w:val="24"/>
        </w:rPr>
        <w:t>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30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6</w:t>
      </w:r>
      <w:r>
        <w:rPr>
          <w:rStyle w:val="31"/>
          <w:rFonts w:hint="eastAsia" w:ascii="宋体" w:hAnsi="宋体"/>
          <w:b/>
          <w:color w:val="auto"/>
          <w:sz w:val="24"/>
          <w:szCs w:val="24"/>
        </w:rPr>
        <w:t>份全国车用汽油和航空汽油进出口统计数据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32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w:t>
      </w:r>
      <w:r>
        <w:rPr>
          <w:rStyle w:val="31"/>
          <w:rFonts w:hint="eastAsia" w:ascii="宋体" w:hAnsi="宋体"/>
          <w:b/>
          <w:color w:val="auto"/>
          <w:sz w:val="24"/>
          <w:szCs w:val="24"/>
          <w:lang w:val="en-US" w:eastAsia="zh-CN"/>
        </w:rPr>
        <w:t>8</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33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6</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34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6</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34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2020/8/27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43.04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45.09</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由于飓风劳拉进入路易斯安那州，德克萨斯州墨西哥湾沿岸地区的能源生产设施免遭重大损失，油价承压下跌。</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2020/8/28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42.97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45.05</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尽管美国墨西哥湾北部近海原油产能仍关闭84.3%，但由于飓风对美国墨西哥湾的石油生产设施造成的影响有限，企业开始评估受到的影响并准备恢复运营，油价承压下跌。</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2020/8/31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42.61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45.28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飓风影响结束后，市场关注点重新回到基本面，由于EIA数据显示美国6月原油汽油需求量持续下降，油价收盘承压下滑。</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2020/9/1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42.76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45.58</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此前美元的大幅下跌为油价提供了支撑，此外，当前市场仍在关注原油需求前景和欧佩克减产的情况。</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2020/9/2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41.51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44.43</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尽管美国EIA原油库存超预期暴跌936万桶,但由于市场预期美国炼厂很快将停止运营以进行设备维护，因此对原油的需求将在秋季下降，这一预期导致油价承压下滑。</w:t>
            </w:r>
          </w:p>
        </w:tc>
      </w:tr>
    </w:tbl>
    <w:p>
      <w:pPr>
        <w:rPr>
          <w:rFonts w:hint="eastAsia"/>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pPr>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104765" cy="3323590"/>
            <wp:effectExtent l="0" t="0" r="635" b="1016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104765" cy="3323590"/>
                    </a:xfrm>
                    <a:prstGeom prst="rect">
                      <a:avLst/>
                    </a:prstGeom>
                    <a:noFill/>
                    <a:ln>
                      <a:noFill/>
                    </a:ln>
                  </pic:spPr>
                </pic:pic>
              </a:graphicData>
            </a:graphic>
          </wp:inline>
        </w:drawing>
      </w:r>
    </w:p>
    <w:p>
      <w:pPr>
        <w:pStyle w:val="2"/>
        <w:numPr>
          <w:ilvl w:val="0"/>
          <w:numId w:val="1"/>
        </w:numPr>
        <w:spacing w:before="120" w:after="0" w:line="240" w:lineRule="auto"/>
      </w:pPr>
      <w:bookmarkStart w:id="3" w:name="_Toc533771864"/>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411" w:firstLineChars="196"/>
        <w:outlineLvl w:val="1"/>
        <w:rPr>
          <w:rFonts w:hint="eastAsia" w:ascii="黑体" w:hAnsi="宋体" w:eastAsia="黑体"/>
          <w:b/>
          <w:color w:val="000000"/>
          <w:sz w:val="28"/>
          <w:szCs w:val="28"/>
        </w:rPr>
      </w:pPr>
      <w:r>
        <w:rPr>
          <w:rFonts w:hint="eastAsia"/>
          <w:lang w:val="en-US" w:eastAsia="zh-CN"/>
        </w:rPr>
        <w:t xml:space="preserve"> </w:t>
      </w:r>
      <w:bookmarkStart w:id="5" w:name="_Toc5001527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rPr>
          <w:rFonts w:hint="eastAsia" w:eastAsia="宋体"/>
          <w:lang w:val="en-US" w:eastAsia="zh-CN"/>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能源信息署(EIA)周三(8月26日)公布报告显示，截至8月21日当周美国除却战略储备的商业原油库存降幅超预期，精炼油库存略超预期，汽油库存降幅超预期。具体数据显示，美国截至8月21日当周EIA原油库存变动实际公布减少468.90万桶，预期减少258.7万桶，前值减少163.2万桶。此外，美国截至8月21日当周EIA汽油库存实际公布减少458.30万桶，预期减少175万桶，前值减少332.2万桶;美国截至8月21日当周EIA精炼油库存实际公布增加138.80万桶，预期减少5万桶，前值增加15.2万桶。EIA报告显示，美国上周原油库存降至4月份以来的最低水平。美国汽油库存变化值连续3周录得下滑，且创7月10日当周(7周)以来新低。美国原油库存变化值连续5周录得下滑。东部海岸汽油库存降幅为2017年以来最大。美国石油协会(API)公布的数据显示，美国截至8月21日当周API原油库存减少452.4万桶，预期减少350万桶;汽油库存减少639.2万桶;精炼油库存增加225.9万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2" w:firstLineChars="200"/>
        <w:rPr>
          <w:rFonts w:hint="eastAsia" w:ascii="黑体" w:hAnsi="宋体" w:eastAsia="黑体" w:cs="Times New Roman"/>
          <w:b/>
          <w:color w:val="000000"/>
          <w:kern w:val="2"/>
          <w:sz w:val="28"/>
          <w:szCs w:val="28"/>
          <w:lang w:val="en-US" w:eastAsia="zh-CN" w:bidi="ar-SA"/>
        </w:rPr>
      </w:pPr>
      <w:bookmarkStart w:id="6" w:name="_Toc50015272"/>
      <w:r>
        <w:rPr>
          <w:rFonts w:hint="eastAsia" w:ascii="黑体" w:hAnsi="宋体" w:eastAsia="黑体" w:cs="Times New Roman"/>
          <w:b/>
          <w:color w:val="000000"/>
          <w:kern w:val="2"/>
          <w:sz w:val="28"/>
          <w:szCs w:val="28"/>
          <w:lang w:val="en-US" w:eastAsia="zh-CN" w:bidi="ar-SA"/>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3日凌晨，美股周三收高。道指收复29000点关口。纳指史上首次站上12000点，携手标普500指数共创历史新高。美国8月ADP就业人数增加42.8万远逊预期。美国财长姆努钦呼吁国会采取更多刺激措施。美联储褐皮书认为经济增幅远低于疫情爆发前水平。美国国会预算办公室称今年预算赤字将达到创纪录的3.3万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道指收盘上涨454.84点，或1.59%，报29100.50点;纳指涨116.78点，或0.98%，报12056.44点;标普500指数涨54.19点，或1.54%，报3580.84点。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今日标普500指数录得7月6日以来最大单日涨幅，道指录得7月14日以来最大单日涨幅。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周三纳指最高上涨至12074.06点，史上首次突破12000点关口，创盘中历史新高。标普500指数最高上涨至3588.11点，亦创盘中新高。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美股在8月份收获了数十年来的最佳月份表现。投资者现在希望美联储的宽松货币政策、冠状病毒疫苗研发进展、美国政府的财政刺激计划能继续支持经济增长和美股涨势。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从历史上看，9月往往是股市表现疲软的月份。实际上，根据LPL Financial的数据，自1950年以来，9月是一年中股市平均表现最差的月份，自1950年以来，标准普尔500指数在9月份平均下跌了约1%。</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美联储褐皮书：经济活动增长幅度仍远低于疫情爆发前水平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美联储的经济景气状况褐皮书报告显示，大多数地方联储辖区的经济活动在最近一个月都有所增加，但增长幅度仍远低于冠状病毒疫情爆发前的水平。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美联储周三发布的褐皮书调查报告，多数辖区的经济活动有所增加，制造业的增长最为普遍，这与众多港口、交通运输、以及分销公司的活动增加保持一致。此外，受车辆销售强劲、旅游与零售在一定程度上改善的影响，消费者开支继续回暖。然而，大多数地区称其经济增速放缓，总体开支仍然远低于疫情前的水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报告称，众多辖区的就业人口整体上有所增长，制造业领域的就业表现被提到的次数最多。但一些辖区也报告了就业增长放缓和招聘波动加剧的情况，特别是在服务行业。由于需求保持疲软，被迫休假的工人长期失业的情况不断增加。持续的不确定性和波动性将是广泛的主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此外，物价压力虽然较7月15日褐皮书报告的水平有所上扬，但增幅仍然温和。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美国8月ADP就业人数增加42.8万 远逊预期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美国ADP就业机构报告称，8月ADP就业人数增加42.8万，创有记录以来第三大增幅，但仍远低于预期的95万人。此外，7月ADP就业人数上修至21.2万人。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具体来看：8月专业/商业服务就业人数增加6.6万人，7月为减少5.8万人;8月金融服务业就业人数增加1.1万人，7月为减少1.8万人;8月贸易/运输/公用事业就业人数增加5.8万人，7月为增加4.1万人;8月制造业就业人数增加0.9万人，7月为增加1万人;8月建筑业就业人数增加2.8万人，7月为减少0.8万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新增就业岗位主要集中在服务业，新增38.9万个，而商品制造业新增就业岗位为4万个。</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大企业在创造就业岗位方面占主导地位，员工超过500人的企业增加了29.8万人。紧随其后的是中型企业，员工数量增加了7.9万人，而员工数量不足50人的企业增长了5.2万人。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最新数据显示，与几个月前解除企业封锁后的情况相比，企业继续以更温和的速度招聘。在普遍失业的情况下，需要持续的增长才能使劳动力市场恢复到疫情爆发前的水平。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然而，不利因素依然存在。最近几个月帮助支持就业的工资保障计划已于8月到期，美国国会议员们还没有通过另一个全面的刺激计划。与此同时，在疫情封锁的六个月后，一些企业仍在继续宣布裁员。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ADP就业数据公司副总裁表示，8月份的招聘信息显示出经济复苏放缓，就业岗位的增长微乎其微，各种规模和行业的就业增长还没有接近疫情前的就业水平。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自冠状病毒疫情爆发以来，ADP的数据一直落后于政府的统计数据。7月非农就业人数修正后高于最初估计的16.7万人，但仍远低于美国劳工部公布的176万人。6月份ADP最初报告增长240万，后修正为近450万。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最近公布的美国经济数据继续显示出韧性，7月建筑支出几乎持平，但6月数据获大幅上调。同时，制造业继续反弹，ISM制造业指数创下了自2018年8月以来的最高水平。8月新订单激增，但就业部分仍处于衰退领域，这与仍然脆弱的劳动力市场状况相符。</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德银首席国际策略师Alan Ruskin周二表示：“全球各国8月份的制造业数据略有不同，但按地区分，这些数据完全符合经济持续复苏的趋势。”他补充说，随着夏季初开始逐步解除隔离措施，该行业“正在适应新的异常情况”。</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美国周五将公布重要的非农就业报告。因临近美国大选，这份报告显得尤为重要。如果就业数据大幅向好，将有利于特朗普的胜选。</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美国国会预算办公室：今年预算赤字料增逾两倍至3.3万亿美元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根据美国国会预算办公室(CBO)的最新统计数据，在冠状病毒疫情给经济造成冲击后，美国政府为缓解经济损失而实施的大规模刺激措施将令本财年联邦预算赤字飙升至创纪录的3.3万亿美元。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即便如此，这一赤字额仍小于该机构4月时预期的3.7万亿美元。2019年美国联邦政府的赤字额为9840亿美元。新报告纳入了截至8月4日的立法措施。报告显示，美国在2021财年的预算赤字总额将达到1.8万亿美元。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今年的预期赤字额将相当于国内生产总值的16%，高于2019年的4.6%，为第二次世界大战以来最大。CBO估计，本财年美国政府支出将跃升至6.6万亿美元。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CBO预计，今年预算收入将从2019年的近3.5万亿美元降至3.3万亿美元。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美国财长姆努钦敦促国会批准新刺激措施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美国财政部长姆努钦(Steven Mnuchin)周二在关于冠状病毒危机的精选小组委员会(Select Subcommittee on the Coronavirus Crisis)的国会听证会上表示，他认为“仍应达成”有关进一步财政刺激措施的两党协议。</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姆努钦敦促国会批准新的刺激措施，以应对冠状病毒大流行对经济的影响。关于直接向个人和企业提供更多支持的希望提振了美股市场。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姆努钦还表示，他愿意考虑民主党提出的为州和地方政府提供更多资金的建议，这表明特朗普政府可能愿意支持一项高达1.5万亿美元(1.1万亿英镑)的一揽子计划。</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尽管双方周二仍处于僵持状态，但这笔资金一直是民主党和共和党旷日持久的僵局中的关键障碍之一。</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德银CEO警告：今明两年经济不会恢复正常水平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德意志银行首席执行官Christian Sewing警告，经济回到疫情发生前的水平所花费的时间将比大众设想的要久。他预测，今年或明年经济将不会恢复正常水平，许多行业将以70%-90%的产能运行，这将造成严重后果。当前，欧洲和其他地区的感染人数不断上升，相关政府仍在艰难应对这一问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个股消息</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特斯拉上海工厂新车型项目先期启动，将于2021年3月竣工。特斯拉上海超级工厂公布新车型先期启动项目的环评报告，这意味着上海超级工厂将启动Model Y的前期生产准备工作。</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埃克森美孚发言人称，公司正评估在全球进行裁员的可能性，此前该公司刚刚宣布向澳大利亚员工提供自愿离职计划。</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AT&amp;T有意扭转从无线运营商向媒体和广告巨头转型的计划，准备出售旗下年广告部门Xandr。目前该公司CEO John Stankey正在评估公司资产，以期减少近1520亿美元净债务。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英伟达最新游戏显卡备受瞩目。英伟达周三举办线上发布会公开全新产品，使用全新Ampere架构的GeForce RTX 30 系列显卡。英伟达创始人兼首席执行官黄仁勋(Jensen Huang)在发布会上称，今日发布的英伟达Ampere GPU是迈向未来的一步。受此消息影响，美国银行将英伟达目标价从600美元上调至650美元，维持对该股的“买入”评级。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梅西百货第二季度调整后净亏损小于市场预期。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理想汽车公布8月交付数据：理想ONE在8月交付2711辆，创单月交付量新高。2020年1-8月，理想ONE总计交付14656辆。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跟谁学Q2营收为16.503亿元人民币，同比增长367%;净利润为7271 万元人民币，同比增长133%。</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周三欧股集体上涨，德国DAX指数涨2.07%，报13243.43点，法国CAC40指数涨1.9%，报5031.74点，英国富时100指数涨1.35%，报5940.95点。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原油期货价格周三收跌，美国WTI原油期货收于近一个月来的最低水平。数据显示美国国内原油库存与生产均出现暂时大幅下降。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美国能源信息署(EIA)周三报告称，截止8月28日当周，美国原油库存下降940万桶，为连续第六周下降。此前接受标普全球普氏能源资讯调查的分析师平均预期该数字下降120万桶。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另一份数据表明，美国上周原油日产量减少110万桶，降至970万桶/日。原油产量的下降与袭击美国海湾地区的飓风劳拉有关。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周三，纽约商品交易所10月交割的西德州中质原油(WTI)期货价格下降1.25美元，跌幅2.9%，收于每桶41.51美元，为8月7日以来最低收盘价。</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伦敦洲际交易所11月布伦特原油期货价格下跌1.15美元，跌幅为2.5%，收于每桶44.43美元。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2" w:firstLineChars="200"/>
        <w:rPr>
          <w:rFonts w:hint="eastAsia" w:ascii="黑体" w:hAnsi="宋体" w:eastAsia="黑体" w:cs="Times New Roman"/>
          <w:b/>
          <w:color w:val="000000"/>
          <w:kern w:val="2"/>
          <w:sz w:val="28"/>
          <w:szCs w:val="28"/>
          <w:lang w:val="en-US" w:eastAsia="zh-CN" w:bidi="ar-SA"/>
        </w:rPr>
      </w:pPr>
      <w:bookmarkStart w:id="7" w:name="_Toc50015273"/>
      <w:r>
        <w:rPr>
          <w:rFonts w:hint="eastAsia" w:ascii="黑体" w:hAnsi="宋体" w:eastAsia="黑体" w:cs="Times New Roman"/>
          <w:b/>
          <w:color w:val="000000"/>
          <w:kern w:val="2"/>
          <w:sz w:val="28"/>
          <w:szCs w:val="28"/>
          <w:lang w:val="en-US" w:eastAsia="zh-CN" w:bidi="ar-SA"/>
        </w:rPr>
        <w:t>3.世界经济形势</w:t>
      </w:r>
      <w:bookmarkEnd w:id="7"/>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德意志银行首席执行官泽温(Christian Sewing)周三警告称，经济回到疫情发生前的水平所花费的时间将比大众设想的要久。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德国最大银行首席执行官发表悲观看法之际，许多欧洲及欧洲以外国家的新冠病毒感染病例数回升，各国政府正苦于应对。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欧元区的商业活动在3月份实施严格的封锁措施后急剧下降，但在最近几个月放松某些限制后有所反弹。美国也经历过类似的情况。</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然而，有人担心，如果再次实施新的封锁和社会限制措施，或者更简单地说，如果没有疫苗或重大治疗措施到位，经济活动的轻微反弹将不会持续下去。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在新增感染病例大幅上升且被迫重新实施疫情限制措施的一些国家，工厂产出也遭受挫折。这些国家包括西班牙、越南和菲律宾。</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随着封锁措施的解除，美国和欧洲等主要市场的零售额5、6月份强劲反弹，但7月份有所放缓。与此同时，投资支出一直低迷，商业信心仍弱于大流行前的水平。IHS Markit表示，设备和工具制造商的反弹尤其疲弱。</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IHS Markit首席商业经济学家Chris Williamson表示：“工厂和机械等投资品生产商报告了最疲软的订单增长，工作岗位流失仍是全球金融危机以来最严重的。”</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欧盟统计机构周二公布的数据显示，7月份欧元区有34.4万人失业，失业率从6月份的7.7%升至7.9%。这是4月份以来的最大升幅，当时欧元区还在实施严格的封锁措施。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泽温预估，经济将无法在今年或明年回归正常，许多行业的产能利用率将介于70%-90%，这将产生“严重后果”。</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“许多公司将被迫为此作出调整，并力图在中长期营收下滑的情形下实现获利，”泽温在一场银行业会议上表示。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疫情对旅游业造成了严重破坏。一些分析人士质疑，持续的夏季是否只是为一些酒店和其他旅游相关行业提供了一条临时的生命线。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此外，各国政府正计划减少自疫情首次爆发以来提供的部分刺激措施，这对许多公司和工人来说意味着越来越大的风险。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泽温补充说，由于卫生紧急状况，其他经济挑战还没有被讨论。他提到了“无序脱欧的危险”、“低利率”的影响以及贸易冲突。</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“女士们，先生们，我不想太悲观，我只是在描述当前的环境，”泽温在法兰克福告诉观众。</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numPr>
          <w:ilvl w:val="0"/>
          <w:numId w:val="0"/>
        </w:numPr>
        <w:rPr>
          <w:rFonts w:hint="eastAsia" w:ascii="黑体" w:eastAsia="黑体"/>
          <w:b/>
          <w:sz w:val="28"/>
          <w:szCs w:val="28"/>
        </w:rPr>
      </w:pPr>
      <w:r>
        <w:rPr>
          <w:rFonts w:hint="eastAsia" w:ascii="黑体" w:eastAsia="黑体"/>
          <w:b/>
          <w:sz w:val="28"/>
          <w:szCs w:val="28"/>
          <w:lang w:val="en-US" w:eastAsia="zh-CN"/>
        </w:rPr>
        <w:t>4、</w:t>
      </w:r>
      <w:r>
        <w:rPr>
          <w:rFonts w:hint="eastAsia" w:ascii="黑体" w:eastAsia="黑体"/>
          <w:b/>
          <w:sz w:val="28"/>
          <w:szCs w:val="28"/>
        </w:rPr>
        <w:t>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本周美国WTI原油原油价格在41.51-43.04美元/桶。布伦特原油价格在44. 43-45.58美元/桶震荡。周内国际油价小幅震荡。尽管美国能源信息署公布的数据显示，上周美国原油库存变化值连续6周录得下滑，降幅创7月24日当周以来最大，但在俄罗斯反对派人士纳瓦利内被检核出“诺维乔克”中毒、及欧佩克关键盟友上个月也提高石油产量的报道的影响下，油价周三(9月2日)大幅下挫：美国WTI原油10月期货收盘下跌1.25美元，跌幅2.92%，报41.51美元/桶;布伦特原油11月期货下跌1.15美元，跌幅2.52%，报44.43美元/桶。基本面利好因素：1.北京时间周三，美国能源信息署(EIA)公布的数据显示，截至8月28日当周，EIA原油库存减少936.2万桶至4.984亿桶，减少1.8%，预期减少188.7万桶，前值减少468.9万桶;精炼油库存减少167.6万桶，预期减少135.7万桶，前值减少138.8万桶;汽油库存减少432万桶，预期减少303.6万桶，前值减少458.3万桶;美国国内原油产量减少110万桶至970万桶/日;原油出口减少36.1万桶/日至300.2万桶/日。2.北京时间周三，美国石油协会(API)公布的数据显示，截至8月28日当周，API原油库存减少636万桶至5.012亿桶，此前预期减少200万桶，前值为减少452.4万桶;汽油库存减少576.1万桶，此前预期减少365万桶，前值为减少639.2万桶;精炼油库存减少142.4万桶，此前预期减少140万桶，前值为减少225.9万;美国上周原油进口减少80.3万桶/日。3.高盛预计石油市场复苏将在2021年加速，将2020年WTI原油价格预期从36.88美元/桶上调至40.26美元/桶，2021年预测从51.38美元/桶上调至55.88美元/桶。将2020年布油价格预测从40.51美元/桶上调至43.63美元/桶，2021年预测从55.63美元/桶上调至59.38美元/桶。4.阿联酋最大石油产地阿布扎比发出了可能在10月大幅减产的信号，以达成其在全球减产协议中的目标。官方生产商阿布扎比国家石油公司周一表示将减少10月出口量，比长期采购协议的合同数额减少30%。该公司7月、8月和9月出货量仅减少了5%。阿联酋是石油输出国组织(OPEC)第三大产油国，其中阿布扎比拥有该国最多的原油储量。阿布扎比国家石油公司生产四个等级的原油，主要销往亚洲炼油厂。基本面利空因素：1.北京时间周三，美国能源信息署(EIA)公布的数据显示，截至8月28日当周，EIA俄克拉荷马州库欣原油库存增加11万桶，前值减少27.9万桶;蒸馏燃油产量引伸需求增加518.43万桶，前值为505.27万桶。2.北京时间周三，美国石油协会(API)公布的数据显示，截至8月28日当周，库欣原油库存减少23.7万桶，前值为减少64.6万桶。3.咨询公司Energy Aspects在一份报告中表示，阿联酋可能会提高产量计划，这将大大高于其欧佩克配额。由于阿联酋无视其欧佩克+承诺，导致了旗舰品种穆尔班原油出口的大幅增长，而亚洲原油购买量的减少给石油多头带来了双重打击。自7月份以来，阿联酋的现货原油出口已有实质性增长，部分原因是四月份产量激增期间已装满的储罐库存减少和国内炼油厂运行减少。我们的消息来源暗示，阿联酋10月份的产量计划将比配额高出90万桶/日。4.美国产量下降情况，受油价冲击，今年美国页岩油生产资本开支大幅下滑，降幅达到36%，而近期其钻机与压裂机组数量虽然企稳，但比今年峰值时期下降近70%。而页岩油的生产特点就是一旦新井投产不足，老井产量衰减的问题就会拖累整体产量下降，因此四季度美国原油产量是否会出现超预期下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预测下周WTI油价将触及40-43美元/桶，布油在之后几个月触及43-46美元/桶。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numPr>
          <w:ilvl w:val="0"/>
          <w:numId w:val="0"/>
        </w:numPr>
        <w:spacing w:line="360" w:lineRule="auto"/>
        <w:jc w:val="both"/>
        <w:rPr>
          <w:rFonts w:hint="eastAsia" w:ascii="黑体" w:eastAsia="黑体"/>
          <w:b/>
          <w:sz w:val="28"/>
          <w:szCs w:val="28"/>
          <w:lang w:eastAsia="zh-CN"/>
        </w:rPr>
      </w:pPr>
    </w:p>
    <w:p>
      <w:pPr>
        <w:pStyle w:val="3"/>
        <w:spacing w:before="120" w:after="120" w:line="240" w:lineRule="auto"/>
        <w:rPr>
          <w:rFonts w:hint="eastAsia" w:ascii="宋体" w:hAnsi="宋体"/>
          <w:b/>
          <w:sz w:val="30"/>
          <w:szCs w:val="30"/>
          <w:highlight w:val="none"/>
        </w:rPr>
      </w:pPr>
      <w:bookmarkStart w:id="8" w:name="_Toc533771866"/>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412.40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115.48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467.75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9月1日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414.40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117.75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478.50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8月31日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428.50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115.37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8月28日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424.00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116.71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477.75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8月27日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441.00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113.61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467.75 </w:t>
            </w:r>
          </w:p>
        </w:tc>
      </w:tr>
    </w:tbl>
    <w:p>
      <w:pPr>
        <w:pStyle w:val="2"/>
        <w:spacing w:before="120" w:after="0" w:line="240" w:lineRule="auto"/>
        <w:rPr>
          <w:rFonts w:hint="eastAsia"/>
        </w:rPr>
      </w:pPr>
    </w:p>
    <w:p>
      <w:pPr>
        <w:pStyle w:val="2"/>
        <w:numPr>
          <w:ilvl w:val="0"/>
          <w:numId w:val="2"/>
        </w:numPr>
        <w:spacing w:before="120" w:after="0" w:line="240" w:lineRule="auto"/>
        <w:rPr>
          <w:rFonts w:hint="eastAsia"/>
          <w:b/>
        </w:rPr>
      </w:pPr>
      <w:r>
        <w:rPr>
          <w:rFonts w:hint="eastAsia"/>
          <w:b/>
        </w:rPr>
        <w:t>本周国内市场</w:t>
      </w:r>
      <w:bookmarkEnd w:id="9"/>
    </w:p>
    <w:p>
      <w:pPr>
        <w:numPr>
          <w:ilvl w:val="0"/>
          <w:numId w:val="0"/>
        </w:numPr>
      </w:pPr>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7"/>
        <w:gridCol w:w="1699"/>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49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69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w:t>
            </w:r>
            <w:r>
              <w:rPr>
                <w:rFonts w:hint="eastAsia" w:ascii="宋体" w:hAnsi="宋体" w:cs="宋体"/>
                <w:i w:val="0"/>
                <w:color w:val="000000"/>
                <w:kern w:val="0"/>
                <w:sz w:val="21"/>
                <w:szCs w:val="21"/>
                <w:u w:val="none"/>
                <w:lang w:val="en-US" w:eastAsia="zh-CN" w:bidi="ar"/>
              </w:rPr>
              <w:t>炼化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w:t>
            </w:r>
            <w:r>
              <w:rPr>
                <w:rFonts w:hint="eastAsia" w:ascii="宋体" w:hAnsi="宋体" w:cs="宋体"/>
                <w:i w:val="0"/>
                <w:color w:val="000000"/>
                <w:kern w:val="0"/>
                <w:sz w:val="21"/>
                <w:szCs w:val="21"/>
                <w:u w:val="none"/>
                <w:lang w:val="en-US" w:eastAsia="zh-CN" w:bidi="ar"/>
              </w:rPr>
              <w:t>炼化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茂名石化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北海</w:t>
            </w:r>
            <w:r>
              <w:rPr>
                <w:rFonts w:hint="eastAsia" w:ascii="宋体" w:hAnsi="宋体" w:cs="宋体"/>
                <w:i w:val="0"/>
                <w:color w:val="000000"/>
                <w:kern w:val="0"/>
                <w:sz w:val="21"/>
                <w:szCs w:val="21"/>
                <w:u w:val="none"/>
                <w:lang w:val="en-US" w:eastAsia="zh-CN" w:bidi="ar"/>
              </w:rPr>
              <w:t>炼</w:t>
            </w:r>
            <w:r>
              <w:rPr>
                <w:rFonts w:hint="eastAsia" w:ascii="宋体" w:hAnsi="宋体" w:eastAsia="宋体" w:cs="宋体"/>
                <w:i w:val="0"/>
                <w:color w:val="000000"/>
                <w:kern w:val="0"/>
                <w:sz w:val="21"/>
                <w:szCs w:val="21"/>
                <w:u w:val="none"/>
                <w:lang w:val="en-US" w:eastAsia="zh-CN" w:bidi="ar"/>
              </w:rPr>
              <w:t>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天津石化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茂名石化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大连石化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w:t>
            </w:r>
            <w:r>
              <w:rPr>
                <w:rFonts w:hint="eastAsia" w:ascii="宋体" w:hAnsi="宋体" w:cs="宋体"/>
                <w:i w:val="0"/>
                <w:color w:val="000000"/>
                <w:kern w:val="0"/>
                <w:sz w:val="21"/>
                <w:szCs w:val="21"/>
                <w:u w:val="none"/>
                <w:lang w:val="en-US" w:eastAsia="zh-CN" w:bidi="ar"/>
              </w:rPr>
              <w:t>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宁夏石化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锦西石化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w:t>
            </w:r>
            <w:r>
              <w:rPr>
                <w:rFonts w:hint="eastAsia" w:ascii="宋体" w:hAnsi="宋体" w:cs="宋体"/>
                <w:i w:val="0"/>
                <w:color w:val="000000"/>
                <w:kern w:val="0"/>
                <w:sz w:val="21"/>
                <w:szCs w:val="21"/>
                <w:u w:val="none"/>
                <w:lang w:val="en-US" w:eastAsia="zh-CN" w:bidi="ar"/>
              </w:rPr>
              <w:t>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惠州炼厂</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2020年10月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中海油气(泰州)</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4月下旬</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405"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计划2020年8月底</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计划2020年8月底</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计划2020年8月底</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计划2020年8月底</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bl>
    <w:p>
      <w:pPr>
        <w:numPr>
          <w:ilvl w:val="0"/>
          <w:numId w:val="0"/>
        </w:numPr>
        <w:jc w:val="center"/>
        <w:rPr>
          <w:rFonts w:hint="eastAsia" w:ascii="宋体" w:hAnsi="宋体"/>
          <w:sz w:val="28"/>
          <w:szCs w:val="28"/>
          <w:highlight w:val="none"/>
        </w:rPr>
      </w:pPr>
    </w:p>
    <w:p>
      <w:pPr>
        <w:rPr>
          <w:rFonts w:hint="eastAsia"/>
        </w:rPr>
      </w:pPr>
      <w:bookmarkStart w:id="11" w:name="_Toc533771869"/>
    </w:p>
    <w:bookmarkEnd w:id="11"/>
    <w:p>
      <w:pPr>
        <w:pStyle w:val="3"/>
        <w:spacing w:before="120" w:after="120" w:line="240" w:lineRule="auto"/>
        <w:rPr>
          <w:rFonts w:hint="eastAsia" w:ascii="宋体" w:hAnsi="宋体"/>
          <w:b/>
          <w:sz w:val="30"/>
          <w:szCs w:val="30"/>
          <w:highlight w:val="none"/>
        </w:rPr>
      </w:pPr>
      <w:bookmarkStart w:id="12" w:name="_Toc533771870"/>
      <w:r>
        <w:rPr>
          <w:rFonts w:hint="eastAsia" w:ascii="宋体" w:hAnsi="宋体"/>
          <w:b/>
          <w:sz w:val="30"/>
          <w:szCs w:val="30"/>
          <w:highlight w:val="none"/>
        </w:rPr>
        <w:t>3.2本周成品油市场行情</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国际原油期货震荡下行，据测算第九个工作日参考原油变化率为0.08%。受此影响，国内成品油市场购销氛围清淡，各地主营单位汽柴油销售执行优惠政策。与此同时，山东地炼成品油行情波动不大，部分炼厂报价涨跌不一，且成交保持100元/吨左右优惠。具体来看出货方面：汽油方面，受下游散户周期性补货以及主营外采支撑，区内炼厂整体出货表现顺畅，多数炼厂基本达到产销平衡;柴油方面，因终端消费量尚未明显提升，社会单位库存消化缓慢，中下游商家购进操作甚少，因此地炼整体出货表现不佳，产销比平均在90%偏下。</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(8月28日-9月3日)华中区内主营价格零星波动，市场购销持淡。具体分析如下，周内，国际原油震荡回落，变化率0附近窄幅波动，消息面对市场指引十分有限。区内汽柴油终端消耗提量有限，业者仍以消化自身库存为主，入市采购操作谨慎。本周恰逢销售周期新旧交替，加之主营目前消库压力不减，各主营单位挺价意向较高，在无明显利好因素支撑下多数维持稳价政策。个别单位根据自身情况灵活调整报价，成交基本均存较大商谈空间。后市而言，国际原油或趋弱震荡，本轮零售价搁浅基本坐实，消息面短期难寻支撑。预计近期华中地区汽柴油行情或维持窄幅整理走势运行。</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本周(8月28日-9月3日)，搁浅预期笼罩市场</w:t>
      </w:r>
      <w:r>
        <w:rPr>
          <w:rFonts w:hint="eastAsia" w:asciiTheme="minorEastAsia" w:hAnsiTheme="minorEastAsia" w:eastAsiaTheme="minorEastAsia" w:cstheme="minorEastAsia"/>
          <w:color w:val="333335"/>
          <w:kern w:val="2"/>
          <w:sz w:val="28"/>
          <w:szCs w:val="28"/>
          <w:shd w:val="clear" w:color="auto" w:fill="FFFFFF"/>
          <w:lang w:eastAsia="zh-CN"/>
        </w:rPr>
        <w:t>，华北</w:t>
      </w:r>
      <w:r>
        <w:rPr>
          <w:rFonts w:hint="default" w:asciiTheme="minorEastAsia" w:hAnsiTheme="minorEastAsia" w:eastAsiaTheme="minorEastAsia" w:cstheme="minorEastAsia"/>
          <w:color w:val="333335"/>
          <w:kern w:val="2"/>
          <w:sz w:val="28"/>
          <w:szCs w:val="28"/>
          <w:shd w:val="clear" w:color="auto" w:fill="FFFFFF"/>
        </w:rPr>
        <w:t>区内汽柴趋稳趋弱。国际油价走势震荡下行，调价预期维持搁浅，消息面支撑受限，区内主营单位报价波动有限。周初适逢月底，主营单位调</w:t>
      </w:r>
      <w:bookmarkStart w:id="22" w:name="_GoBack"/>
      <w:bookmarkEnd w:id="22"/>
      <w:r>
        <w:rPr>
          <w:rFonts w:hint="default" w:asciiTheme="minorEastAsia" w:hAnsiTheme="minorEastAsia" w:eastAsiaTheme="minorEastAsia" w:cstheme="minorEastAsia"/>
          <w:color w:val="333335"/>
          <w:kern w:val="2"/>
          <w:sz w:val="28"/>
          <w:szCs w:val="28"/>
          <w:shd w:val="clear" w:color="auto" w:fill="FFFFFF"/>
        </w:rPr>
        <w:t>价意向不高，个别单位小幅推涨刺激出库，本周末适逢月初，主营单位挺价心态依旧较重，但原油走势低迷，部分商家报价小幅回落，优惠幅度适度拉宽，其中柴油跌幅多在30-50元/吨，汽油下调空间受限，因消息面暂无明显利好，下游入市心态不高，成交气氛整体清淡。后市而言，国际油市暂无有力支撑，原油供需基本面继续保持拉锯，整体供应的减少有助于支撑油价，而疫情导致的需求萎缩依旧打压油价，短期内原油走势仍有回落可能。本轮调价搁浅预期基本落定，目前下轮调价预期仍难言乐观，从而国内市场消息面短期内支撑受限，而区内市场来看，目前进入金九银十的销售旺季，下游需求渐起，主营单位为积极抢占市场，预期价格走势易跌难涨，下周价格走势或继续稳中下行。</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(8月28日-9月3日)，华东地区成品油行情窄幅整理，市场整体成交清淡。具体来看，周内国际油震荡下跌，消息面利空打压油市。与此同时，山东地炼汽油均价震荡上涨，令主营外采成本随之走高。区内进入新一轮销售周期，各大主营优惠政策保持宽松，随着部分主营上月客存量基本完成，本月销售任务正常开展，但各主营硬性要求当月销售当月提完，大力压减已售未提，且区内沿海地区已进入开渔期，汽柴油终端消耗与需求有所提振，下游商家入市补货按需操作，多以散户小单为主，市场整体成交仍持清淡。综上所述，市场观望情绪缓和，业者入市补货按需，市场整体成交平平。后期来看，国际原油或保持窄幅震荡，消息面或难寻有力支撑。故预计下周华东地区成品油行情或窄幅盘整为主。</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(8月27日-9月3日)，华南地区成品油市场整体呈现平稳走势，交投气氛清淡。具体来看，周内国际原油市场整体呈现下滑走势，对国内油价难以形成利好提振，广东主营单位多稳价应市为主，进入9月份，但终端市场需求情况暂无明显转好迹象，贸易商操作较为谨慎，市场多按需定进为主，大单成交稀少。福建地区汽柴油市场延续稳价走势，市场需求情况欠佳，购销两淡，主营多保持两大优惠政策。成品油调价窗口呈现搁浅预期，距离调价窗口仅剩一个工作日，本轮搁浅的概率较大，市场缺乏消息面指导，短期内库存压力仍存，整体行情将延续震荡盘整走势。</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(8月28日-9月3日)，西北地炼汽柴行情维持平稳运行，市场成交气氛平平。分析来看：国际原油期价震荡下行，变化率窄幅波动，本轮调价面临搁浅，消息面对市场影响有限。永坪炼厂检修结束，汽油目前仍未正常发货，上月底柴油恢复出货，市场供应略有增量。虽然进入“金九”传统旺季，但目前需求面恢复程度有限，加之，业者对后市行仍持谨慎观望态度，入市补货有限，市场成交气氛难有提升。销售公司出货一般，近期稳价待市为主。就后市而言，本周五成品油零售价将搁浅，但原油弱势震荡，新一轮变化率或转为负向，消息面利空难以消除。下游需求逐步恢复，但业者补货心态仍谨慎，市场成交提升有限。预计短线西北地炼汽柴行情或继续走稳。</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(8月28日-9月3日)，西南地区汽柴行情稳中有跌，市场成交提升有限。分析来看：国际原油期价震荡下行，变化率0附近波动，本轮调价面临搁浅，消息面对市场难有指引。此外，进入新的销售周期，主营单位侧重于追量，部分单位价格略有松动，且暗中增加优惠力度。部分地区天气好转，业者入市补货略有增加，但整体来看，区内多雨天气仍为常态，下游需求恢复缓慢，整体交投氛围仍显平淡。就后市而言，本周五成品油零售价或将搁浅，后期原油仍震荡下行为主，新一轮变化率或转为负向，消息面利空市场心态。此外，下游需求仍处于缓慢阶段，业者消库之余逢低采购，市场成交难见活跃。市场缺乏推价动力，预计短线西南地区汽柴行情仍窄幅震荡为主。</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后市前瞻：进入下周，国际原油期货弱势运行。以WTI为例，主流运行区间在40-43(均值41.5)美元/桶之间，环比下跌1.08美元/桶或2.54%。在消息面利空打压下，山东地区成品油行情涨势难起，建议中下游商家近期可逢跌分批买进，切忌一次性采购满仓。综上所述，预计山东地炼汽柴油价格稳中个别涨跌微调，调整幅度在50元/吨左右。</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W w:w="9615" w:type="dxa"/>
        <w:tblInd w:w="0" w:type="dxa"/>
        <w:shd w:val="clear"/>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2020/9/3</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2020/8/27</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6630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bl>
    <w:p>
      <w:pPr>
        <w:rPr>
          <w:rFonts w:hint="eastAsia"/>
        </w:rPr>
      </w:pPr>
    </w:p>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W w:w="9675" w:type="dxa"/>
        <w:tblInd w:w="0" w:type="dxa"/>
        <w:shd w:val="clear"/>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4" w:name="_Toc533771872"/>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2020/9/3</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2020/8/27</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5784</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5784</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bl>
    <w:p>
      <w:pPr>
        <w:pStyle w:val="3"/>
        <w:spacing w:before="120" w:after="120" w:line="240" w:lineRule="auto"/>
        <w:rPr>
          <w:rFonts w:hint="eastAsia" w:ascii="宋体" w:hAnsi="宋体"/>
          <w:b/>
          <w:sz w:val="30"/>
          <w:szCs w:val="30"/>
          <w:lang w:val="en-US" w:eastAsia="zh-CN"/>
        </w:rPr>
      </w:pPr>
    </w:p>
    <w:p>
      <w:pPr>
        <w:rPr>
          <w:rFonts w:hint="eastAsia"/>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W w:w="9705" w:type="dxa"/>
        <w:tblInd w:w="0" w:type="dxa"/>
        <w:shd w:val="clear"/>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2020/9/3</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2020/8/27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5674</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5627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5912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5867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p>
      <w:pPr>
        <w:rPr>
          <w:rFonts w:hint="eastAsia"/>
          <w:bCs/>
          <w:szCs w:val="21"/>
          <w:lang w:val="en-US" w:eastAsia="zh-CN"/>
        </w:rPr>
      </w:pPr>
    </w:p>
    <w:tbl>
      <w:tblPr>
        <w:tblW w:w="8625" w:type="dxa"/>
        <w:tblInd w:w="0" w:type="dxa"/>
        <w:shd w:val="clear"/>
        <w:tblLayout w:type="autofit"/>
        <w:tblCellMar>
          <w:top w:w="0" w:type="dxa"/>
          <w:left w:w="0" w:type="dxa"/>
          <w:bottom w:w="0" w:type="dxa"/>
          <w:right w:w="0" w:type="dxa"/>
        </w:tblCellMar>
      </w:tblPr>
      <w:tblGrid>
        <w:gridCol w:w="1875"/>
        <w:gridCol w:w="1080"/>
        <w:gridCol w:w="1080"/>
        <w:gridCol w:w="1080"/>
        <w:gridCol w:w="1080"/>
        <w:gridCol w:w="1215"/>
        <w:gridCol w:w="1215"/>
      </w:tblGrid>
      <w:tr>
        <w:tblPrEx>
          <w:shd w:val="clear"/>
          <w:tblCellMar>
            <w:top w:w="0" w:type="dxa"/>
            <w:left w:w="0" w:type="dxa"/>
            <w:bottom w:w="0" w:type="dxa"/>
            <w:right w:w="0" w:type="dxa"/>
          </w:tblCellMar>
        </w:tblPrEx>
        <w:trPr>
          <w:trHeight w:val="52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6" w:name="_Toc533771874"/>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2020/9/3</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2020/8/27</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4680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4880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4880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170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4860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4690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5040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5040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bl>
    <w:p>
      <w:pPr>
        <w:pStyle w:val="3"/>
        <w:spacing w:before="120" w:after="120" w:line="240" w:lineRule="auto"/>
        <w:rPr>
          <w:rFonts w:hint="eastAsia" w:ascii="宋体" w:hAnsi="宋体"/>
          <w:b/>
          <w:sz w:val="10"/>
          <w:szCs w:val="10"/>
          <w:lang w:val="en-US" w:eastAsia="zh-CN"/>
        </w:rPr>
      </w:pPr>
    </w:p>
    <w:p>
      <w:pPr>
        <w:rPr>
          <w:rFonts w:hint="eastAsia"/>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四、2020年7月份进出口统计数据</w:t>
      </w:r>
      <w:bookmarkEnd w:id="16"/>
      <w:bookmarkStart w:id="17" w:name="_Toc533771875"/>
    </w:p>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420" w:type="dxa"/>
        <w:tblInd w:w="0" w:type="dxa"/>
        <w:shd w:val="clear" w:color="auto" w:fill="auto"/>
        <w:tblLayout w:type="autofit"/>
        <w:tblCellMar>
          <w:top w:w="0" w:type="dxa"/>
          <w:left w:w="0" w:type="dxa"/>
          <w:bottom w:w="0" w:type="dxa"/>
          <w:right w:w="0" w:type="dxa"/>
        </w:tblCellMar>
      </w:tblPr>
      <w:tblGrid>
        <w:gridCol w:w="2595"/>
        <w:gridCol w:w="2190"/>
        <w:gridCol w:w="2370"/>
        <w:gridCol w:w="2265"/>
      </w:tblGrid>
      <w:tr>
        <w:tblPrEx>
          <w:shd w:val="clear" w:color="auto" w:fill="auto"/>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18" w:name="_Toc533771876"/>
            <w:r>
              <w:rPr>
                <w:rFonts w:hint="default" w:ascii="Segoe UI" w:hAnsi="Segoe UI" w:eastAsia="Segoe UI" w:cs="Segoe UI"/>
                <w:i w:val="0"/>
                <w:color w:val="000000"/>
                <w:kern w:val="0"/>
                <w:sz w:val="22"/>
                <w:szCs w:val="22"/>
                <w:u w:val="none"/>
                <w:lang w:val="en-US" w:eastAsia="zh-CN" w:bidi="ar"/>
              </w:rPr>
              <w:t>出口目的地</w:t>
            </w:r>
          </w:p>
        </w:tc>
        <w:tc>
          <w:tcPr>
            <w:tcW w:w="2190"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数量（吨）</w:t>
            </w:r>
          </w:p>
        </w:tc>
        <w:tc>
          <w:tcPr>
            <w:tcW w:w="2370"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出口金额（元）</w:t>
            </w:r>
          </w:p>
        </w:tc>
        <w:tc>
          <w:tcPr>
            <w:tcW w:w="2265"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出口均价（元/吨）</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缅甸</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6878.506</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17435735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2534.81</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印度</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71926.937</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174227116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2422.28</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日本</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105003.774</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262569473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2500.57</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中国澳门</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7864.414</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16957644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2156.25</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马来西亚</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105781.677</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241786087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2285.71</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蒙古</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3690.424</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10390048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2815.41</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菲律宾</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201867.8</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499716311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2475.46</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新加坡</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559363.602</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1251619569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2237.58</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泰国</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11872.06</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31052902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Segoe UI" w:hAnsi="Segoe UI" w:eastAsia="Segoe UI" w:cs="Segoe UI"/>
                <w:i w:val="0"/>
                <w:color w:val="000000"/>
                <w:kern w:val="0"/>
                <w:sz w:val="22"/>
                <w:szCs w:val="22"/>
                <w:u w:val="none"/>
                <w:lang w:val="en-US" w:eastAsia="zh-CN" w:bidi="ar"/>
              </w:rPr>
              <w:t>2615.63</w:t>
            </w:r>
          </w:p>
        </w:tc>
      </w:tr>
    </w:tbl>
    <w:p>
      <w:pPr>
        <w:rPr>
          <w:rFonts w:hint="eastAsia"/>
        </w:rPr>
      </w:pPr>
    </w:p>
    <w:p>
      <w:pPr>
        <w:rPr>
          <w:rFonts w:hint="eastAsia"/>
        </w:rPr>
      </w:pPr>
    </w:p>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7"/>
      <w:bookmarkStart w:id="20" w:name="_Toc533771879"/>
    </w:p>
    <w:bookmarkEnd w:id="19"/>
    <w:p>
      <w:pPr>
        <w:pStyle w:val="3"/>
        <w:spacing w:before="120" w:after="120" w:line="240" w:lineRule="auto"/>
        <w:rPr>
          <w:rFonts w:hint="eastAsia" w:ascii="宋体" w:hAnsi="宋体"/>
          <w:b/>
          <w:sz w:val="30"/>
          <w:szCs w:val="30"/>
        </w:rPr>
      </w:pPr>
      <w:bookmarkStart w:id="21" w:name="_Toc533771878"/>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月份全国原油进出口统计数据</w:t>
      </w:r>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5053" w:type="pct"/>
        <w:tblInd w:w="0" w:type="dxa"/>
        <w:tblLayout w:type="fixed"/>
        <w:tblCellMar>
          <w:top w:w="0" w:type="dxa"/>
          <w:left w:w="108" w:type="dxa"/>
          <w:bottom w:w="0" w:type="dxa"/>
          <w:right w:w="108" w:type="dxa"/>
        </w:tblCellMar>
      </w:tblPr>
      <w:tblGrid>
        <w:gridCol w:w="1665"/>
        <w:gridCol w:w="1980"/>
        <w:gridCol w:w="1980"/>
        <w:gridCol w:w="1545"/>
        <w:gridCol w:w="2789"/>
      </w:tblGrid>
      <w:tr>
        <w:tblPrEx>
          <w:tblCellMar>
            <w:top w:w="0" w:type="dxa"/>
            <w:left w:w="108" w:type="dxa"/>
            <w:bottom w:w="0" w:type="dxa"/>
            <w:right w:w="108" w:type="dxa"/>
          </w:tblCellMar>
        </w:tblPrEx>
        <w:trPr>
          <w:trHeight w:val="1230" w:hRule="atLeast"/>
        </w:trPr>
        <w:tc>
          <w:tcPr>
            <w:tcW w:w="83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lang w:val="en-US" w:eastAsia="zh-CN"/>
              </w:rPr>
            </w:pPr>
            <w:r>
              <w:rPr>
                <w:rFonts w:hint="eastAsia" w:ascii="宋体" w:hAnsi="宋体" w:eastAsia="宋体" w:cs="宋体"/>
                <w:b/>
                <w:i w:val="0"/>
                <w:color w:val="191919"/>
                <w:sz w:val="22"/>
                <w:szCs w:val="22"/>
                <w:u w:val="none"/>
                <w:lang w:val="en-US" w:eastAsia="zh-CN"/>
              </w:rPr>
              <w:t>产销国</w:t>
            </w:r>
          </w:p>
        </w:tc>
        <w:tc>
          <w:tcPr>
            <w:tcW w:w="99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lang w:val="en-US" w:eastAsia="zh-CN"/>
              </w:rPr>
            </w:pPr>
            <w:r>
              <w:rPr>
                <w:rFonts w:hint="eastAsia" w:ascii="宋体" w:hAnsi="宋体" w:eastAsia="宋体" w:cs="宋体"/>
                <w:b/>
                <w:i w:val="0"/>
                <w:color w:val="191919"/>
                <w:sz w:val="22"/>
                <w:szCs w:val="22"/>
                <w:u w:val="none"/>
                <w:lang w:val="en-US" w:eastAsia="zh-CN"/>
              </w:rPr>
              <w:t>进口数量/吨</w:t>
            </w:r>
          </w:p>
        </w:tc>
        <w:tc>
          <w:tcPr>
            <w:tcW w:w="99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lang w:val="en-US" w:eastAsia="zh-CN"/>
              </w:rPr>
            </w:pPr>
            <w:r>
              <w:rPr>
                <w:rFonts w:hint="eastAsia" w:ascii="宋体" w:hAnsi="宋体" w:eastAsia="宋体" w:cs="宋体"/>
                <w:b/>
                <w:i w:val="0"/>
                <w:color w:val="191919"/>
                <w:sz w:val="22"/>
                <w:szCs w:val="22"/>
                <w:u w:val="none"/>
                <w:lang w:val="en-US" w:eastAsia="zh-CN"/>
              </w:rPr>
              <w:t>进口金额/美元</w:t>
            </w:r>
          </w:p>
        </w:tc>
        <w:tc>
          <w:tcPr>
            <w:tcW w:w="77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lang w:val="en-US" w:eastAsia="zh-CN"/>
              </w:rPr>
            </w:pPr>
            <w:r>
              <w:rPr>
                <w:rFonts w:hint="eastAsia" w:ascii="宋体" w:hAnsi="宋体" w:eastAsia="宋体" w:cs="宋体"/>
                <w:b/>
                <w:i w:val="0"/>
                <w:color w:val="191919"/>
                <w:sz w:val="22"/>
                <w:szCs w:val="22"/>
                <w:u w:val="none"/>
                <w:lang w:val="en-US" w:eastAsia="zh-CN"/>
              </w:rPr>
              <w:t>出口数量/吨</w:t>
            </w:r>
          </w:p>
        </w:tc>
        <w:tc>
          <w:tcPr>
            <w:tcW w:w="1400"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lang w:val="en-US" w:eastAsia="zh-CN"/>
              </w:rPr>
            </w:pPr>
            <w:r>
              <w:rPr>
                <w:rFonts w:hint="eastAsia" w:ascii="宋体" w:hAnsi="宋体" w:eastAsia="宋体" w:cs="宋体"/>
                <w:b/>
                <w:i w:val="0"/>
                <w:color w:val="191919"/>
                <w:sz w:val="22"/>
                <w:szCs w:val="22"/>
                <w:u w:val="none"/>
                <w:lang w:val="en-US" w:eastAsia="zh-CN"/>
              </w:rPr>
              <w:t>出口金额/美元</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阿联酋</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3534699.70 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1029590153.00 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阿曼</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3441612.52 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922576676.00 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安哥拉</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3602084.01 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1047634040.00 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澳大利亚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339272.32 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90896718.00 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巴西</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4594977.86 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1256047368.00 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赤道几内亚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318086.80 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111885537.00 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俄罗斯联邦</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7381559.93 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2170635046.00 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厄瓜多尔</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506676.67 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127952294.00 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菲律宾</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28772.22 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7983475.00 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刚果(布)</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1155411.13 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334699162.00 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哥伦比亚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1372205.59 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335119639.00 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哈萨克斯坦</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98935.60 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25098838.00 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加拿大</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968039.52 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225328377.00 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加纳</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524514.71 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172549236.00 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加蓬</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788002.67 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252035789.00 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喀麦隆</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133741.10 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38236488.00 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卡塔尔</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560007.02 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164980343.00 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科威特</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2161530.93 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580754648.00 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利比亚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115956.90 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35588191.00 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马来西亚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387791.66 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96742387.00 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29366.15 </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8098560.00 </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美国</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3665838.11 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1036797134.00 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蒙古</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61070.55 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13233075.00 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南苏丹共和国</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422278.31 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131782540.00 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尼日利亚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1096632.97 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298412041.00 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挪威</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1267005.59 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376245748.00 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沙特阿拉伯</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5359704.71 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1429314337.00 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泰国</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38247.92 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8163330.00 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伊拉克</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5788136.36 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1545813264.00 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伊朗</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498026.00 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133924675.00 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印度尼西亚</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81061.00 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20345940.00 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58396.80 </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19250000.00 </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英国</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614918.15 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193766389.00 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5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越南</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252067.66 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84890244.00 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390"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乍得</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131812.00 </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42328598.00 </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r>
      <w:tr>
        <w:tblPrEx>
          <w:tblCellMar>
            <w:top w:w="0" w:type="dxa"/>
            <w:left w:w="108" w:type="dxa"/>
            <w:bottom w:w="0" w:type="dxa"/>
            <w:right w:w="108" w:type="dxa"/>
          </w:tblCellMar>
        </w:tblPrEx>
        <w:trPr>
          <w:trHeight w:val="447"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日本</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99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87962.55 </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28996092.00 </w:t>
            </w:r>
          </w:p>
        </w:tc>
      </w:tr>
      <w:tr>
        <w:tblPrEx>
          <w:tblCellMar>
            <w:top w:w="0" w:type="dxa"/>
            <w:left w:w="108" w:type="dxa"/>
            <w:bottom w:w="0" w:type="dxa"/>
            <w:right w:w="108" w:type="dxa"/>
          </w:tblCellMar>
        </w:tblPrEx>
        <w:trPr>
          <w:trHeight w:val="509" w:hRule="atLeast"/>
        </w:trPr>
        <w:tc>
          <w:tcPr>
            <w:tcW w:w="83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ind w:firstLine="442" w:firstLineChars="200"/>
              <w:jc w:val="both"/>
              <w:textAlignment w:val="center"/>
              <w:rPr>
                <w:rFonts w:hint="eastAsia" w:ascii="宋体" w:hAnsi="宋体" w:eastAsia="宋体" w:cs="宋体"/>
                <w:b/>
                <w:i w:val="0"/>
                <w:color w:val="191919"/>
                <w:sz w:val="22"/>
                <w:szCs w:val="22"/>
                <w:u w:val="none"/>
                <w:lang w:eastAsia="zh-CN"/>
              </w:rPr>
            </w:pPr>
            <w:r>
              <w:rPr>
                <w:rFonts w:hint="eastAsia" w:ascii="宋体" w:hAnsi="宋体" w:cs="宋体"/>
                <w:b/>
                <w:i w:val="0"/>
                <w:color w:val="191919"/>
                <w:sz w:val="22"/>
                <w:szCs w:val="22"/>
                <w:u w:val="none"/>
                <w:lang w:eastAsia="zh-CN"/>
              </w:rPr>
              <w:t>合计</w:t>
            </w:r>
          </w:p>
        </w:tc>
        <w:tc>
          <w:tcPr>
            <w:tcW w:w="994" w:type="pct"/>
            <w:tcBorders>
              <w:top w:val="nil"/>
              <w:left w:val="nil"/>
              <w:bottom w:val="single" w:color="333333" w:sz="8" w:space="0"/>
              <w:right w:val="single" w:color="auto" w:sz="4"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51290678.18</w:t>
            </w:r>
          </w:p>
        </w:tc>
        <w:tc>
          <w:tcPr>
            <w:tcW w:w="994" w:type="pct"/>
            <w:tcBorders>
              <w:top w:val="nil"/>
              <w:left w:val="single" w:color="auto" w:sz="4" w:space="0"/>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14341351720.00</w:t>
            </w:r>
          </w:p>
        </w:tc>
        <w:tc>
          <w:tcPr>
            <w:tcW w:w="7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175725.50</w:t>
            </w:r>
          </w:p>
        </w:tc>
        <w:tc>
          <w:tcPr>
            <w:tcW w:w="1400"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sz w:val="22"/>
                <w:szCs w:val="22"/>
                <w:u w:val="none"/>
              </w:rPr>
              <w:t>56344652.00</w:t>
            </w:r>
          </w:p>
        </w:tc>
      </w:tr>
    </w:tbl>
    <w:p>
      <w:pPr>
        <w:rPr>
          <w:rFonts w:hint="eastAsia"/>
          <w:bCs/>
          <w:szCs w:val="21"/>
        </w:rPr>
      </w:pPr>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7</w:t>
      </w:r>
      <w:r>
        <w:rPr>
          <w:rFonts w:hint="eastAsia" w:ascii="宋体" w:hAnsi="宋体"/>
          <w:b/>
          <w:sz w:val="30"/>
          <w:szCs w:val="30"/>
        </w:rPr>
        <w:t>月份全国航空煤油进出口统计数据</w:t>
      </w:r>
      <w:bookmarkEnd w:id="21"/>
    </w:p>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p>
      <w:pPr>
        <w:pStyle w:val="3"/>
        <w:spacing w:before="120" w:after="120" w:line="240" w:lineRule="auto"/>
        <w:rPr>
          <w:rFonts w:hint="eastAsia" w:ascii="宋体" w:hAnsi="宋体"/>
          <w:b/>
          <w:sz w:val="30"/>
          <w:szCs w:val="30"/>
        </w:rPr>
      </w:pPr>
    </w:p>
    <w:bookmarkEnd w:id="20"/>
    <w:tbl>
      <w:tblPr>
        <w:tblStyle w:val="24"/>
        <w:tblW w:w="9882" w:type="dxa"/>
        <w:tblInd w:w="0" w:type="dxa"/>
        <w:shd w:val="clear" w:color="auto" w:fill="auto"/>
        <w:tblLayout w:type="autofit"/>
        <w:tblCellMar>
          <w:top w:w="0" w:type="dxa"/>
          <w:left w:w="0" w:type="dxa"/>
          <w:bottom w:w="0" w:type="dxa"/>
          <w:right w:w="0" w:type="dxa"/>
        </w:tblCellMar>
      </w:tblPr>
      <w:tblGrid>
        <w:gridCol w:w="1815"/>
        <w:gridCol w:w="1860"/>
        <w:gridCol w:w="1977"/>
        <w:gridCol w:w="1995"/>
        <w:gridCol w:w="2235"/>
      </w:tblGrid>
      <w:tr>
        <w:tblPrEx>
          <w:shd w:val="clear" w:color="auto" w:fill="auto"/>
          <w:tblCellMar>
            <w:top w:w="0" w:type="dxa"/>
            <w:left w:w="0" w:type="dxa"/>
            <w:bottom w:w="0" w:type="dxa"/>
            <w:right w:w="0" w:type="dxa"/>
          </w:tblCellMar>
        </w:tblPrEx>
        <w:trPr>
          <w:trHeight w:val="475" w:hRule="atLeast"/>
        </w:trPr>
        <w:tc>
          <w:tcPr>
            <w:tcW w:w="181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国家</w:t>
            </w:r>
          </w:p>
        </w:tc>
        <w:tc>
          <w:tcPr>
            <w:tcW w:w="186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进口数量/吨</w:t>
            </w:r>
          </w:p>
        </w:tc>
        <w:tc>
          <w:tcPr>
            <w:tcW w:w="1977"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进口金额/美元</w:t>
            </w:r>
          </w:p>
        </w:tc>
        <w:tc>
          <w:tcPr>
            <w:tcW w:w="199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出口数量/吨</w:t>
            </w:r>
          </w:p>
        </w:tc>
        <w:tc>
          <w:tcPr>
            <w:tcW w:w="223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出口金额/美元</w:t>
            </w:r>
          </w:p>
        </w:tc>
      </w:tr>
      <w:tr>
        <w:tblPrEx>
          <w:tblCellMar>
            <w:top w:w="0" w:type="dxa"/>
            <w:left w:w="0" w:type="dxa"/>
            <w:bottom w:w="0" w:type="dxa"/>
            <w:right w:w="0" w:type="dxa"/>
          </w:tblCellMar>
        </w:tblPrEx>
        <w:trPr>
          <w:trHeight w:val="375"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阿联酋</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11839.565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2599954</w:t>
            </w:r>
          </w:p>
        </w:tc>
      </w:tr>
      <w:tr>
        <w:tblPrEx>
          <w:tblCellMar>
            <w:top w:w="0" w:type="dxa"/>
            <w:left w:w="0" w:type="dxa"/>
            <w:bottom w:w="0" w:type="dxa"/>
            <w:right w:w="0" w:type="dxa"/>
          </w:tblCellMar>
        </w:tblPrEx>
        <w:trPr>
          <w:trHeight w:val="345"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阿塞拜疆</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4158.278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1443177</w:t>
            </w:r>
          </w:p>
        </w:tc>
      </w:tr>
      <w:tr>
        <w:tblPrEx>
          <w:tblCellMar>
            <w:top w:w="0" w:type="dxa"/>
            <w:left w:w="0" w:type="dxa"/>
            <w:bottom w:w="0" w:type="dxa"/>
            <w:right w:w="0" w:type="dxa"/>
          </w:tblCellMar>
        </w:tblPrEx>
        <w:trPr>
          <w:trHeight w:val="30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埃塞俄比亚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5098.282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1760685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爱沙尼亚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62.909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22647</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奥地利</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486.634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162239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澳大利亚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1464.434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501554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巴基斯坦</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251.88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88997</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白俄罗斯</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57.255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20612</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比利时</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4866.411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1702847</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冰岛</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432.476</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156928</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波兰</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129.955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44924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德国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1538.338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519329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俄罗斯联邦</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7037.551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2439994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法国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5218.828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1773579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菲律宾</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14584.498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4669248</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芬兰</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3931.403</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806410</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哈萨克斯坦</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923.41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329001</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韩国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59038.714</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17248248</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5797.959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1986147</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荷兰</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4862.002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1638833</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加拿大</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35606.15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6855385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柬埔寨</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97.789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37476</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卡塔尔</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3888.617</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1342572</w:t>
            </w:r>
          </w:p>
        </w:tc>
      </w:tr>
      <w:tr>
        <w:tblPrEx>
          <w:tblCellMar>
            <w:top w:w="0" w:type="dxa"/>
            <w:left w:w="0" w:type="dxa"/>
            <w:bottom w:w="0" w:type="dxa"/>
            <w:right w:w="0" w:type="dxa"/>
          </w:tblCellMar>
        </w:tblPrEx>
        <w:trPr>
          <w:trHeight w:val="30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科威特</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106.029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38474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肯尼亚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76.488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27754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拉脱维亚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98.982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35633</w:t>
            </w:r>
          </w:p>
        </w:tc>
      </w:tr>
      <w:tr>
        <w:tblPrEx>
          <w:tblCellMar>
            <w:top w:w="0" w:type="dxa"/>
            <w:left w:w="0" w:type="dxa"/>
            <w:bottom w:w="0" w:type="dxa"/>
            <w:right w:w="0" w:type="dxa"/>
          </w:tblCellMar>
        </w:tblPrEx>
        <w:trPr>
          <w:trHeight w:val="285"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立陶宛</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50.411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18148</w:t>
            </w:r>
          </w:p>
        </w:tc>
      </w:tr>
      <w:tr>
        <w:tblPrEx>
          <w:tblCellMar>
            <w:top w:w="0" w:type="dxa"/>
            <w:left w:w="0" w:type="dxa"/>
            <w:bottom w:w="0" w:type="dxa"/>
            <w:right w:w="0" w:type="dxa"/>
          </w:tblCellMar>
        </w:tblPrEx>
        <w:trPr>
          <w:trHeight w:val="30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卢森堡</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19742.303</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7297678</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马来西亚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100612.927</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35435714</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598.988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206191</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美国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24564.724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8403988</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蒙古</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14.984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5105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孟加拉国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10.727</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3892</w:t>
            </w:r>
          </w:p>
        </w:tc>
      </w:tr>
      <w:tr>
        <w:tblPrEx>
          <w:tblCellMar>
            <w:top w:w="0" w:type="dxa"/>
            <w:left w:w="0" w:type="dxa"/>
            <w:bottom w:w="0" w:type="dxa"/>
            <w:right w:w="0" w:type="dxa"/>
          </w:tblCellMar>
        </w:tblPrEx>
        <w:trPr>
          <w:trHeight w:val="525"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尼泊尔联邦民主共和国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29.208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9654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葡萄牙</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63.262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22955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日本</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12769.973</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3414740</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瑞典</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544.394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184925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瑞士</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2511.893</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836375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沙特阿拉伯</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35.826</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13000</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斯里兰卡</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5454.956</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1020233</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斯洛伐克</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17.211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6196</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泰国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1144.754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390579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土耳其</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2347.529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803392</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文莱</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2.211</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774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乌克兰</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58.45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21209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乌兹别克斯坦</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833.62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290812</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西班牙</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676.074</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228609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新加坡</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83636.334</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29227365</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2430.585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826235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新西兰</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1197.583</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410999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伊朗</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d</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661.647</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226740</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以色列</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2305.492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786134</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意大利</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497.955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177839</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33.217</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10365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印度尼西亚</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66.498</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20932</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英国</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40305.562</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11856642</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越南</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27079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8669557</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中国澳门</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7112.709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3661734</w:t>
            </w:r>
          </w:p>
        </w:tc>
      </w:tr>
      <w:tr>
        <w:tblPrEx>
          <w:tblCellMar>
            <w:top w:w="0" w:type="dxa"/>
            <w:left w:w="0" w:type="dxa"/>
            <w:bottom w:w="0" w:type="dxa"/>
            <w:right w:w="0" w:type="dxa"/>
          </w:tblCellMar>
        </w:tblPrEx>
        <w:trPr>
          <w:trHeight w:val="285"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中国台湾</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833.029</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284515</w:t>
            </w:r>
          </w:p>
        </w:tc>
      </w:tr>
      <w:tr>
        <w:tblPrEx>
          <w:tblCellMar>
            <w:top w:w="0" w:type="dxa"/>
            <w:left w:w="0" w:type="dxa"/>
            <w:bottom w:w="0" w:type="dxa"/>
            <w:right w:w="0" w:type="dxa"/>
          </w:tblCellMar>
        </w:tblPrEx>
        <w:trPr>
          <w:trHeight w:val="270" w:hRule="atLeast"/>
        </w:trPr>
        <w:tc>
          <w:tcPr>
            <w:tcW w:w="181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中国香港</w:t>
            </w:r>
          </w:p>
        </w:tc>
        <w:tc>
          <w:tcPr>
            <w:tcW w:w="186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7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9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50335.375</w:t>
            </w:r>
          </w:p>
        </w:tc>
        <w:tc>
          <w:tcPr>
            <w:tcW w:w="223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12213577</w:t>
            </w:r>
          </w:p>
        </w:tc>
      </w:tr>
      <w:tr>
        <w:tblPrEx>
          <w:tblCellMar>
            <w:top w:w="0" w:type="dxa"/>
            <w:left w:w="0" w:type="dxa"/>
            <w:bottom w:w="0" w:type="dxa"/>
            <w:right w:w="0" w:type="dxa"/>
          </w:tblCellMar>
        </w:tblPrEx>
        <w:trPr>
          <w:trHeight w:val="315" w:hRule="atLeast"/>
        </w:trPr>
        <w:tc>
          <w:tcPr>
            <w:tcW w:w="1815" w:type="dxa"/>
            <w:tcBorders>
              <w:top w:val="single" w:color="333333" w:sz="8" w:space="0"/>
              <w:left w:val="single" w:color="333333" w:sz="8" w:space="0"/>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合计</w:t>
            </w:r>
          </w:p>
        </w:tc>
        <w:tc>
          <w:tcPr>
            <w:tcW w:w="186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243287.975</w:t>
            </w:r>
          </w:p>
        </w:tc>
        <w:tc>
          <w:tcPr>
            <w:tcW w:w="1977"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81911327</w:t>
            </w:r>
          </w:p>
        </w:tc>
        <w:tc>
          <w:tcPr>
            <w:tcW w:w="199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316946.273</w:t>
            </w:r>
          </w:p>
        </w:tc>
        <w:tc>
          <w:tcPr>
            <w:tcW w:w="2235"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93328123</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2263F9C1"/>
    <w:multiLevelType w:val="singleLevel"/>
    <w:tmpl w:val="2263F9C1"/>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E2CFE"/>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684ED7"/>
    <w:rsid w:val="048101D3"/>
    <w:rsid w:val="048C7CAA"/>
    <w:rsid w:val="04987F00"/>
    <w:rsid w:val="04A45D71"/>
    <w:rsid w:val="04BF7371"/>
    <w:rsid w:val="04C829A7"/>
    <w:rsid w:val="04E22C17"/>
    <w:rsid w:val="04F36106"/>
    <w:rsid w:val="04F4133B"/>
    <w:rsid w:val="05292B71"/>
    <w:rsid w:val="05314FD7"/>
    <w:rsid w:val="053B1A3D"/>
    <w:rsid w:val="0558720E"/>
    <w:rsid w:val="057F2A2A"/>
    <w:rsid w:val="05894C8A"/>
    <w:rsid w:val="05993019"/>
    <w:rsid w:val="05C01E8E"/>
    <w:rsid w:val="05D708A6"/>
    <w:rsid w:val="06002DF6"/>
    <w:rsid w:val="06153E6E"/>
    <w:rsid w:val="0618444D"/>
    <w:rsid w:val="062A6CB4"/>
    <w:rsid w:val="06300679"/>
    <w:rsid w:val="067746D4"/>
    <w:rsid w:val="069C6A8D"/>
    <w:rsid w:val="06B9287B"/>
    <w:rsid w:val="06DA3028"/>
    <w:rsid w:val="06E3294D"/>
    <w:rsid w:val="06F31CB3"/>
    <w:rsid w:val="06F93008"/>
    <w:rsid w:val="0718687A"/>
    <w:rsid w:val="071A60E7"/>
    <w:rsid w:val="07252677"/>
    <w:rsid w:val="076C6634"/>
    <w:rsid w:val="07820AB4"/>
    <w:rsid w:val="079B346A"/>
    <w:rsid w:val="07CC2D78"/>
    <w:rsid w:val="07CC4016"/>
    <w:rsid w:val="07D15C8A"/>
    <w:rsid w:val="07E76A1F"/>
    <w:rsid w:val="0809715C"/>
    <w:rsid w:val="080A4814"/>
    <w:rsid w:val="0820276D"/>
    <w:rsid w:val="082F1BCD"/>
    <w:rsid w:val="08573B5A"/>
    <w:rsid w:val="086F6B65"/>
    <w:rsid w:val="08A4401C"/>
    <w:rsid w:val="08A55AD2"/>
    <w:rsid w:val="08CD17C0"/>
    <w:rsid w:val="0918731F"/>
    <w:rsid w:val="09223CDC"/>
    <w:rsid w:val="09371EEF"/>
    <w:rsid w:val="093F6B95"/>
    <w:rsid w:val="09524755"/>
    <w:rsid w:val="095B63CA"/>
    <w:rsid w:val="09701692"/>
    <w:rsid w:val="09717916"/>
    <w:rsid w:val="098251C0"/>
    <w:rsid w:val="0984738F"/>
    <w:rsid w:val="098C4592"/>
    <w:rsid w:val="09915D75"/>
    <w:rsid w:val="0996332C"/>
    <w:rsid w:val="09BE1AF4"/>
    <w:rsid w:val="09E0028A"/>
    <w:rsid w:val="09F11ACB"/>
    <w:rsid w:val="09FB6243"/>
    <w:rsid w:val="0A06506B"/>
    <w:rsid w:val="0A0A6618"/>
    <w:rsid w:val="0A29795D"/>
    <w:rsid w:val="0A2D68BE"/>
    <w:rsid w:val="0A3C22BA"/>
    <w:rsid w:val="0A557C07"/>
    <w:rsid w:val="0A5B4AF5"/>
    <w:rsid w:val="0A75433E"/>
    <w:rsid w:val="0A796F7C"/>
    <w:rsid w:val="0A7B7455"/>
    <w:rsid w:val="0AA33DAF"/>
    <w:rsid w:val="0AB608CB"/>
    <w:rsid w:val="0AC60296"/>
    <w:rsid w:val="0AD32487"/>
    <w:rsid w:val="0AE31AD5"/>
    <w:rsid w:val="0B017D09"/>
    <w:rsid w:val="0B0715B1"/>
    <w:rsid w:val="0B0F0B26"/>
    <w:rsid w:val="0B400CB2"/>
    <w:rsid w:val="0B421176"/>
    <w:rsid w:val="0B721C38"/>
    <w:rsid w:val="0B860805"/>
    <w:rsid w:val="0B945C54"/>
    <w:rsid w:val="0BB16187"/>
    <w:rsid w:val="0BCE6861"/>
    <w:rsid w:val="0BDC4FBC"/>
    <w:rsid w:val="0BDF0A5F"/>
    <w:rsid w:val="0C08318F"/>
    <w:rsid w:val="0C1E7ABD"/>
    <w:rsid w:val="0C270CC3"/>
    <w:rsid w:val="0C586B50"/>
    <w:rsid w:val="0C586E44"/>
    <w:rsid w:val="0C7F402D"/>
    <w:rsid w:val="0C822A19"/>
    <w:rsid w:val="0C930A24"/>
    <w:rsid w:val="0CB81916"/>
    <w:rsid w:val="0CD123E3"/>
    <w:rsid w:val="0CE32FB8"/>
    <w:rsid w:val="0CE44838"/>
    <w:rsid w:val="0D206C21"/>
    <w:rsid w:val="0D731CA1"/>
    <w:rsid w:val="0D775B07"/>
    <w:rsid w:val="0D893BAC"/>
    <w:rsid w:val="0D952410"/>
    <w:rsid w:val="0DA370DA"/>
    <w:rsid w:val="0DA7099A"/>
    <w:rsid w:val="0DB01CE1"/>
    <w:rsid w:val="0DBA1705"/>
    <w:rsid w:val="0DC46B30"/>
    <w:rsid w:val="0DC9706D"/>
    <w:rsid w:val="0DD115AA"/>
    <w:rsid w:val="0DEA06F6"/>
    <w:rsid w:val="0E01030B"/>
    <w:rsid w:val="0E04318C"/>
    <w:rsid w:val="0E274301"/>
    <w:rsid w:val="0E31785B"/>
    <w:rsid w:val="0E5C0982"/>
    <w:rsid w:val="0E730195"/>
    <w:rsid w:val="0E803657"/>
    <w:rsid w:val="0E8B35C9"/>
    <w:rsid w:val="0EAF107B"/>
    <w:rsid w:val="0EB4347F"/>
    <w:rsid w:val="0EBE27AA"/>
    <w:rsid w:val="0EC1627E"/>
    <w:rsid w:val="0ED36950"/>
    <w:rsid w:val="0EED0FC5"/>
    <w:rsid w:val="0EF07619"/>
    <w:rsid w:val="0EF248CA"/>
    <w:rsid w:val="0EFB4176"/>
    <w:rsid w:val="0F034AA6"/>
    <w:rsid w:val="0F08360E"/>
    <w:rsid w:val="0F125E7D"/>
    <w:rsid w:val="0F26373F"/>
    <w:rsid w:val="0F446A41"/>
    <w:rsid w:val="0F5808CC"/>
    <w:rsid w:val="0F666559"/>
    <w:rsid w:val="0F790BDF"/>
    <w:rsid w:val="0F7D42FE"/>
    <w:rsid w:val="0F820E85"/>
    <w:rsid w:val="0F8A41FA"/>
    <w:rsid w:val="0F9B4E2A"/>
    <w:rsid w:val="0FB045CC"/>
    <w:rsid w:val="0FC910AB"/>
    <w:rsid w:val="0FD23F99"/>
    <w:rsid w:val="0FEF79AA"/>
    <w:rsid w:val="101C7D06"/>
    <w:rsid w:val="1024515A"/>
    <w:rsid w:val="1046198D"/>
    <w:rsid w:val="105F3A71"/>
    <w:rsid w:val="106D475B"/>
    <w:rsid w:val="10BA0A0E"/>
    <w:rsid w:val="10CE39DE"/>
    <w:rsid w:val="10FA6B68"/>
    <w:rsid w:val="11422692"/>
    <w:rsid w:val="11590029"/>
    <w:rsid w:val="117F7F48"/>
    <w:rsid w:val="1265739D"/>
    <w:rsid w:val="12662947"/>
    <w:rsid w:val="12BE2ADE"/>
    <w:rsid w:val="12D8263D"/>
    <w:rsid w:val="130B16E4"/>
    <w:rsid w:val="13267B35"/>
    <w:rsid w:val="134A6D86"/>
    <w:rsid w:val="13594CF7"/>
    <w:rsid w:val="135A728A"/>
    <w:rsid w:val="13772D89"/>
    <w:rsid w:val="138744BB"/>
    <w:rsid w:val="13B45FC3"/>
    <w:rsid w:val="13E7373B"/>
    <w:rsid w:val="13FE142E"/>
    <w:rsid w:val="14176463"/>
    <w:rsid w:val="144B6D3F"/>
    <w:rsid w:val="14546EAA"/>
    <w:rsid w:val="147759A4"/>
    <w:rsid w:val="147A75E5"/>
    <w:rsid w:val="149C7CF0"/>
    <w:rsid w:val="14BC21CE"/>
    <w:rsid w:val="14BE2339"/>
    <w:rsid w:val="14D56BF6"/>
    <w:rsid w:val="14F32D76"/>
    <w:rsid w:val="14F5216B"/>
    <w:rsid w:val="151B73F8"/>
    <w:rsid w:val="15211EFF"/>
    <w:rsid w:val="15353F74"/>
    <w:rsid w:val="154F205D"/>
    <w:rsid w:val="15615E0F"/>
    <w:rsid w:val="156D2843"/>
    <w:rsid w:val="15701AB8"/>
    <w:rsid w:val="159001BC"/>
    <w:rsid w:val="15B939D5"/>
    <w:rsid w:val="15D83B2E"/>
    <w:rsid w:val="15DD70EA"/>
    <w:rsid w:val="15E11AB3"/>
    <w:rsid w:val="15E25134"/>
    <w:rsid w:val="15E8785D"/>
    <w:rsid w:val="16116F4B"/>
    <w:rsid w:val="164206BE"/>
    <w:rsid w:val="16600954"/>
    <w:rsid w:val="16734EEE"/>
    <w:rsid w:val="16D82413"/>
    <w:rsid w:val="16E22B33"/>
    <w:rsid w:val="16F85570"/>
    <w:rsid w:val="17116BE2"/>
    <w:rsid w:val="17194D7A"/>
    <w:rsid w:val="172078E9"/>
    <w:rsid w:val="172D12A6"/>
    <w:rsid w:val="173C1948"/>
    <w:rsid w:val="17464B66"/>
    <w:rsid w:val="175B5D81"/>
    <w:rsid w:val="17652D76"/>
    <w:rsid w:val="177742FF"/>
    <w:rsid w:val="177778D5"/>
    <w:rsid w:val="177C4324"/>
    <w:rsid w:val="17BD7A6D"/>
    <w:rsid w:val="182A5943"/>
    <w:rsid w:val="18704C74"/>
    <w:rsid w:val="18CA4E8D"/>
    <w:rsid w:val="18FC46F8"/>
    <w:rsid w:val="191B1724"/>
    <w:rsid w:val="194573ED"/>
    <w:rsid w:val="195D29F2"/>
    <w:rsid w:val="196465FF"/>
    <w:rsid w:val="196B6E10"/>
    <w:rsid w:val="198154A5"/>
    <w:rsid w:val="19850C75"/>
    <w:rsid w:val="198A3D94"/>
    <w:rsid w:val="198F27F8"/>
    <w:rsid w:val="199C5ECD"/>
    <w:rsid w:val="19B1121F"/>
    <w:rsid w:val="19E14ABD"/>
    <w:rsid w:val="19F07148"/>
    <w:rsid w:val="1A031971"/>
    <w:rsid w:val="1A051BC1"/>
    <w:rsid w:val="1A110D84"/>
    <w:rsid w:val="1A2B0F11"/>
    <w:rsid w:val="1A555BDB"/>
    <w:rsid w:val="1A660755"/>
    <w:rsid w:val="1A703BC4"/>
    <w:rsid w:val="1A7262E8"/>
    <w:rsid w:val="1A882B3D"/>
    <w:rsid w:val="1ABE2D20"/>
    <w:rsid w:val="1ACC4B7F"/>
    <w:rsid w:val="1AD34CD1"/>
    <w:rsid w:val="1AD417D6"/>
    <w:rsid w:val="1AE7665A"/>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DC7753"/>
    <w:rsid w:val="1CEC4A0D"/>
    <w:rsid w:val="1D1712A0"/>
    <w:rsid w:val="1D2B7B9F"/>
    <w:rsid w:val="1D305274"/>
    <w:rsid w:val="1D3F5714"/>
    <w:rsid w:val="1D466011"/>
    <w:rsid w:val="1D547E28"/>
    <w:rsid w:val="1D655DB6"/>
    <w:rsid w:val="1D980258"/>
    <w:rsid w:val="1D9C1F14"/>
    <w:rsid w:val="1DB113DA"/>
    <w:rsid w:val="1DFB4E0B"/>
    <w:rsid w:val="1E196DA1"/>
    <w:rsid w:val="1E2278F4"/>
    <w:rsid w:val="1E4062B7"/>
    <w:rsid w:val="1E5542CC"/>
    <w:rsid w:val="1E6D6ABE"/>
    <w:rsid w:val="1E755624"/>
    <w:rsid w:val="1E8C73FA"/>
    <w:rsid w:val="1EAA616E"/>
    <w:rsid w:val="1EB15364"/>
    <w:rsid w:val="1EBE2AB5"/>
    <w:rsid w:val="1EDD703F"/>
    <w:rsid w:val="1F092A2D"/>
    <w:rsid w:val="1F1162FE"/>
    <w:rsid w:val="1F1C0B32"/>
    <w:rsid w:val="1F352B32"/>
    <w:rsid w:val="1F4A096C"/>
    <w:rsid w:val="1F6B3A34"/>
    <w:rsid w:val="1F751CBE"/>
    <w:rsid w:val="1F7D6B10"/>
    <w:rsid w:val="1F963D6D"/>
    <w:rsid w:val="1F98363F"/>
    <w:rsid w:val="1FA70F8C"/>
    <w:rsid w:val="1FBF488C"/>
    <w:rsid w:val="1FCD7675"/>
    <w:rsid w:val="1FD377B1"/>
    <w:rsid w:val="1FEF77E1"/>
    <w:rsid w:val="1FFC155B"/>
    <w:rsid w:val="20010BD0"/>
    <w:rsid w:val="20137C9A"/>
    <w:rsid w:val="20261774"/>
    <w:rsid w:val="202A3AEF"/>
    <w:rsid w:val="203A4D2E"/>
    <w:rsid w:val="204030A0"/>
    <w:rsid w:val="205B78B2"/>
    <w:rsid w:val="205C4184"/>
    <w:rsid w:val="206558CE"/>
    <w:rsid w:val="206901B1"/>
    <w:rsid w:val="2078018B"/>
    <w:rsid w:val="209323D8"/>
    <w:rsid w:val="20AD55FF"/>
    <w:rsid w:val="20C12FDC"/>
    <w:rsid w:val="211001E9"/>
    <w:rsid w:val="21147D43"/>
    <w:rsid w:val="2119067D"/>
    <w:rsid w:val="21216F1B"/>
    <w:rsid w:val="215A4604"/>
    <w:rsid w:val="217C7ED4"/>
    <w:rsid w:val="21862B07"/>
    <w:rsid w:val="21973788"/>
    <w:rsid w:val="219A3406"/>
    <w:rsid w:val="21A70D61"/>
    <w:rsid w:val="21B2244C"/>
    <w:rsid w:val="21C30EF9"/>
    <w:rsid w:val="21D956E3"/>
    <w:rsid w:val="21EF7C0A"/>
    <w:rsid w:val="221551D8"/>
    <w:rsid w:val="224E7428"/>
    <w:rsid w:val="2261560B"/>
    <w:rsid w:val="227918A6"/>
    <w:rsid w:val="22944164"/>
    <w:rsid w:val="229674ED"/>
    <w:rsid w:val="22AC485D"/>
    <w:rsid w:val="22D174A6"/>
    <w:rsid w:val="22E67532"/>
    <w:rsid w:val="230F16FC"/>
    <w:rsid w:val="231C2E7E"/>
    <w:rsid w:val="232A4048"/>
    <w:rsid w:val="233344E4"/>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974A9D"/>
    <w:rsid w:val="24990AB6"/>
    <w:rsid w:val="24A21A55"/>
    <w:rsid w:val="24BC74B9"/>
    <w:rsid w:val="24BE33B8"/>
    <w:rsid w:val="250D3E66"/>
    <w:rsid w:val="252754C5"/>
    <w:rsid w:val="252D3F69"/>
    <w:rsid w:val="25585795"/>
    <w:rsid w:val="25740BBD"/>
    <w:rsid w:val="25955E96"/>
    <w:rsid w:val="259B6E31"/>
    <w:rsid w:val="25B677AD"/>
    <w:rsid w:val="25B904A8"/>
    <w:rsid w:val="261447E7"/>
    <w:rsid w:val="26162D47"/>
    <w:rsid w:val="26417898"/>
    <w:rsid w:val="26442276"/>
    <w:rsid w:val="26552532"/>
    <w:rsid w:val="26AD0D8B"/>
    <w:rsid w:val="26C17431"/>
    <w:rsid w:val="26C545A4"/>
    <w:rsid w:val="26C94300"/>
    <w:rsid w:val="26DF7D7C"/>
    <w:rsid w:val="26EE1723"/>
    <w:rsid w:val="26F154C7"/>
    <w:rsid w:val="27080E2E"/>
    <w:rsid w:val="270D21C6"/>
    <w:rsid w:val="277F5A23"/>
    <w:rsid w:val="27A7464B"/>
    <w:rsid w:val="28011EB5"/>
    <w:rsid w:val="28092464"/>
    <w:rsid w:val="282C5A3A"/>
    <w:rsid w:val="283F32F7"/>
    <w:rsid w:val="285E5BE3"/>
    <w:rsid w:val="28611CC2"/>
    <w:rsid w:val="286D2B55"/>
    <w:rsid w:val="28721E59"/>
    <w:rsid w:val="28892109"/>
    <w:rsid w:val="28A325B7"/>
    <w:rsid w:val="28B71571"/>
    <w:rsid w:val="28BA104F"/>
    <w:rsid w:val="28C132F2"/>
    <w:rsid w:val="28D37B64"/>
    <w:rsid w:val="28EF11D1"/>
    <w:rsid w:val="290566C3"/>
    <w:rsid w:val="295C2D51"/>
    <w:rsid w:val="29A81CD2"/>
    <w:rsid w:val="29A90232"/>
    <w:rsid w:val="29A92B3A"/>
    <w:rsid w:val="29C804D1"/>
    <w:rsid w:val="29CB1410"/>
    <w:rsid w:val="29D84ABC"/>
    <w:rsid w:val="29F5410D"/>
    <w:rsid w:val="2A1503FE"/>
    <w:rsid w:val="2A194990"/>
    <w:rsid w:val="2A215E5E"/>
    <w:rsid w:val="2A252C4C"/>
    <w:rsid w:val="2A3E7B5A"/>
    <w:rsid w:val="2A6B55C6"/>
    <w:rsid w:val="2A8475EE"/>
    <w:rsid w:val="2A951C8C"/>
    <w:rsid w:val="2A9B26F1"/>
    <w:rsid w:val="2AB25451"/>
    <w:rsid w:val="2AC063B7"/>
    <w:rsid w:val="2ACB5B48"/>
    <w:rsid w:val="2ACD0874"/>
    <w:rsid w:val="2AD267B8"/>
    <w:rsid w:val="2AD8059C"/>
    <w:rsid w:val="2B0D737C"/>
    <w:rsid w:val="2B0F004D"/>
    <w:rsid w:val="2B154A20"/>
    <w:rsid w:val="2B6638DE"/>
    <w:rsid w:val="2B84406F"/>
    <w:rsid w:val="2B8F58E2"/>
    <w:rsid w:val="2BA07FAD"/>
    <w:rsid w:val="2BE5055C"/>
    <w:rsid w:val="2BED5A7C"/>
    <w:rsid w:val="2BF858F4"/>
    <w:rsid w:val="2BFC6315"/>
    <w:rsid w:val="2BFD5564"/>
    <w:rsid w:val="2C4C1107"/>
    <w:rsid w:val="2C811341"/>
    <w:rsid w:val="2C823F4E"/>
    <w:rsid w:val="2CAD067B"/>
    <w:rsid w:val="2CFD0FC0"/>
    <w:rsid w:val="2D050EBF"/>
    <w:rsid w:val="2D2A25A1"/>
    <w:rsid w:val="2D4D17E5"/>
    <w:rsid w:val="2D6F58D8"/>
    <w:rsid w:val="2D892B5C"/>
    <w:rsid w:val="2DB328B9"/>
    <w:rsid w:val="2DC6450C"/>
    <w:rsid w:val="2DD85082"/>
    <w:rsid w:val="2DE11692"/>
    <w:rsid w:val="2DF5641D"/>
    <w:rsid w:val="2DF644E3"/>
    <w:rsid w:val="2E0D40F5"/>
    <w:rsid w:val="2E2F56E6"/>
    <w:rsid w:val="2E4A7323"/>
    <w:rsid w:val="2E98229F"/>
    <w:rsid w:val="2EA56E95"/>
    <w:rsid w:val="2EA673C9"/>
    <w:rsid w:val="2ECA710C"/>
    <w:rsid w:val="2ED4404D"/>
    <w:rsid w:val="2ED50475"/>
    <w:rsid w:val="2EE365C8"/>
    <w:rsid w:val="2F090AB4"/>
    <w:rsid w:val="2F13732E"/>
    <w:rsid w:val="2F336BA3"/>
    <w:rsid w:val="2F5621A6"/>
    <w:rsid w:val="2F66411F"/>
    <w:rsid w:val="2F9E2267"/>
    <w:rsid w:val="2FA5716E"/>
    <w:rsid w:val="2FBE7D06"/>
    <w:rsid w:val="2FD85581"/>
    <w:rsid w:val="2FE513F6"/>
    <w:rsid w:val="2FE91ED2"/>
    <w:rsid w:val="2FF22D62"/>
    <w:rsid w:val="30037E76"/>
    <w:rsid w:val="300B0CEC"/>
    <w:rsid w:val="301B31E2"/>
    <w:rsid w:val="302909D7"/>
    <w:rsid w:val="30320AA9"/>
    <w:rsid w:val="30664FDE"/>
    <w:rsid w:val="30A00CB5"/>
    <w:rsid w:val="30AF5F22"/>
    <w:rsid w:val="30C14186"/>
    <w:rsid w:val="30D71496"/>
    <w:rsid w:val="30E73B0D"/>
    <w:rsid w:val="30FC61C2"/>
    <w:rsid w:val="30FD55E0"/>
    <w:rsid w:val="310F6F60"/>
    <w:rsid w:val="311333E6"/>
    <w:rsid w:val="31363ABC"/>
    <w:rsid w:val="314614BA"/>
    <w:rsid w:val="31490B7D"/>
    <w:rsid w:val="3153679E"/>
    <w:rsid w:val="315F2471"/>
    <w:rsid w:val="3177458F"/>
    <w:rsid w:val="3189708E"/>
    <w:rsid w:val="318B1F3D"/>
    <w:rsid w:val="319434F7"/>
    <w:rsid w:val="31994D00"/>
    <w:rsid w:val="31A65E57"/>
    <w:rsid w:val="31AD16EF"/>
    <w:rsid w:val="31AE660C"/>
    <w:rsid w:val="31B05A1F"/>
    <w:rsid w:val="31B17EF2"/>
    <w:rsid w:val="31E155AC"/>
    <w:rsid w:val="31FC35FB"/>
    <w:rsid w:val="32010D04"/>
    <w:rsid w:val="320A7836"/>
    <w:rsid w:val="324163CA"/>
    <w:rsid w:val="32574FD8"/>
    <w:rsid w:val="325C547C"/>
    <w:rsid w:val="326C29F6"/>
    <w:rsid w:val="327C3888"/>
    <w:rsid w:val="32945DAC"/>
    <w:rsid w:val="329C631F"/>
    <w:rsid w:val="32AB0897"/>
    <w:rsid w:val="32CB3A84"/>
    <w:rsid w:val="32CE45BC"/>
    <w:rsid w:val="32D9201A"/>
    <w:rsid w:val="32E42D0F"/>
    <w:rsid w:val="32E779A4"/>
    <w:rsid w:val="330D4D94"/>
    <w:rsid w:val="33435E16"/>
    <w:rsid w:val="335F11B3"/>
    <w:rsid w:val="337B12FB"/>
    <w:rsid w:val="339C5454"/>
    <w:rsid w:val="33DD1D83"/>
    <w:rsid w:val="33FC5F9C"/>
    <w:rsid w:val="34005D95"/>
    <w:rsid w:val="34173060"/>
    <w:rsid w:val="3425323C"/>
    <w:rsid w:val="342E5EA7"/>
    <w:rsid w:val="343E0BAC"/>
    <w:rsid w:val="34474FF1"/>
    <w:rsid w:val="344B3651"/>
    <w:rsid w:val="34B63281"/>
    <w:rsid w:val="34C105B0"/>
    <w:rsid w:val="34CA39B2"/>
    <w:rsid w:val="34D564C3"/>
    <w:rsid w:val="34DC79C0"/>
    <w:rsid w:val="34EC4B86"/>
    <w:rsid w:val="3572663B"/>
    <w:rsid w:val="357D4C50"/>
    <w:rsid w:val="35925B04"/>
    <w:rsid w:val="35963717"/>
    <w:rsid w:val="35AF3549"/>
    <w:rsid w:val="35DA5213"/>
    <w:rsid w:val="35EE7B1B"/>
    <w:rsid w:val="35F65FAD"/>
    <w:rsid w:val="36202050"/>
    <w:rsid w:val="364A7C84"/>
    <w:rsid w:val="36605016"/>
    <w:rsid w:val="366B7A53"/>
    <w:rsid w:val="368259EE"/>
    <w:rsid w:val="3689301E"/>
    <w:rsid w:val="36B523AB"/>
    <w:rsid w:val="36C76D40"/>
    <w:rsid w:val="36F44E23"/>
    <w:rsid w:val="371D2966"/>
    <w:rsid w:val="373062E8"/>
    <w:rsid w:val="37785098"/>
    <w:rsid w:val="377E7331"/>
    <w:rsid w:val="37A6234C"/>
    <w:rsid w:val="37AF1535"/>
    <w:rsid w:val="37CA63F2"/>
    <w:rsid w:val="37CB57CA"/>
    <w:rsid w:val="37D337D1"/>
    <w:rsid w:val="37DD56C2"/>
    <w:rsid w:val="37F16302"/>
    <w:rsid w:val="38781C56"/>
    <w:rsid w:val="38C30240"/>
    <w:rsid w:val="38CF65F7"/>
    <w:rsid w:val="38D30895"/>
    <w:rsid w:val="38E95212"/>
    <w:rsid w:val="391C1C7A"/>
    <w:rsid w:val="39465968"/>
    <w:rsid w:val="39600E80"/>
    <w:rsid w:val="399B72BC"/>
    <w:rsid w:val="39E779C9"/>
    <w:rsid w:val="3A01261A"/>
    <w:rsid w:val="3A1A4CEB"/>
    <w:rsid w:val="3A204DEA"/>
    <w:rsid w:val="3A247020"/>
    <w:rsid w:val="3A34341C"/>
    <w:rsid w:val="3A366570"/>
    <w:rsid w:val="3A41027E"/>
    <w:rsid w:val="3A446ABC"/>
    <w:rsid w:val="3A481E25"/>
    <w:rsid w:val="3A562007"/>
    <w:rsid w:val="3A632ED3"/>
    <w:rsid w:val="3A693A23"/>
    <w:rsid w:val="3A6F255F"/>
    <w:rsid w:val="3A6F6832"/>
    <w:rsid w:val="3A90237F"/>
    <w:rsid w:val="3B0A7991"/>
    <w:rsid w:val="3B100A85"/>
    <w:rsid w:val="3B18283A"/>
    <w:rsid w:val="3B336F2F"/>
    <w:rsid w:val="3B691338"/>
    <w:rsid w:val="3BA60160"/>
    <w:rsid w:val="3BB46CD1"/>
    <w:rsid w:val="3BB6128D"/>
    <w:rsid w:val="3BD11411"/>
    <w:rsid w:val="3BD837A5"/>
    <w:rsid w:val="3BED4242"/>
    <w:rsid w:val="3C317DDD"/>
    <w:rsid w:val="3C457CDF"/>
    <w:rsid w:val="3C742BEB"/>
    <w:rsid w:val="3C857740"/>
    <w:rsid w:val="3C8E02B7"/>
    <w:rsid w:val="3CB004C5"/>
    <w:rsid w:val="3CB35047"/>
    <w:rsid w:val="3CB47F7E"/>
    <w:rsid w:val="3CB603EF"/>
    <w:rsid w:val="3CD82621"/>
    <w:rsid w:val="3CDD69B2"/>
    <w:rsid w:val="3CEA693F"/>
    <w:rsid w:val="3D0D55A5"/>
    <w:rsid w:val="3D354C10"/>
    <w:rsid w:val="3D475AFB"/>
    <w:rsid w:val="3D4C43AF"/>
    <w:rsid w:val="3D502422"/>
    <w:rsid w:val="3D5404DD"/>
    <w:rsid w:val="3D6341E4"/>
    <w:rsid w:val="3D6A48AA"/>
    <w:rsid w:val="3D7C1281"/>
    <w:rsid w:val="3D8D1DDC"/>
    <w:rsid w:val="3D995C7E"/>
    <w:rsid w:val="3DD2333F"/>
    <w:rsid w:val="3E000E38"/>
    <w:rsid w:val="3E037731"/>
    <w:rsid w:val="3E0F09D9"/>
    <w:rsid w:val="3E1646C1"/>
    <w:rsid w:val="3E247488"/>
    <w:rsid w:val="3E305EE4"/>
    <w:rsid w:val="3E3D25F5"/>
    <w:rsid w:val="3E4E6762"/>
    <w:rsid w:val="3E70166E"/>
    <w:rsid w:val="3E752011"/>
    <w:rsid w:val="3E8270FA"/>
    <w:rsid w:val="3E8E2505"/>
    <w:rsid w:val="3E9953AC"/>
    <w:rsid w:val="3E9F3605"/>
    <w:rsid w:val="3F0C0C5D"/>
    <w:rsid w:val="3F310E2B"/>
    <w:rsid w:val="3F3E5B85"/>
    <w:rsid w:val="3F4D19AF"/>
    <w:rsid w:val="3F837DDF"/>
    <w:rsid w:val="3FA21405"/>
    <w:rsid w:val="3FC04528"/>
    <w:rsid w:val="3FCB012B"/>
    <w:rsid w:val="3FEE1DE8"/>
    <w:rsid w:val="3FFE5EFF"/>
    <w:rsid w:val="40171145"/>
    <w:rsid w:val="402104DC"/>
    <w:rsid w:val="40662C29"/>
    <w:rsid w:val="40742438"/>
    <w:rsid w:val="40791098"/>
    <w:rsid w:val="40932E75"/>
    <w:rsid w:val="40A70377"/>
    <w:rsid w:val="40BC5D67"/>
    <w:rsid w:val="40D775A2"/>
    <w:rsid w:val="40F61783"/>
    <w:rsid w:val="4100601D"/>
    <w:rsid w:val="410D75D5"/>
    <w:rsid w:val="411E3000"/>
    <w:rsid w:val="41402C24"/>
    <w:rsid w:val="414E7345"/>
    <w:rsid w:val="41696F7F"/>
    <w:rsid w:val="417240B9"/>
    <w:rsid w:val="417C0D06"/>
    <w:rsid w:val="418B25AA"/>
    <w:rsid w:val="418E56CE"/>
    <w:rsid w:val="41925E9B"/>
    <w:rsid w:val="419B1BC4"/>
    <w:rsid w:val="419D7C05"/>
    <w:rsid w:val="41B3371C"/>
    <w:rsid w:val="41B4302C"/>
    <w:rsid w:val="41DA3C01"/>
    <w:rsid w:val="41E3266D"/>
    <w:rsid w:val="41F604FA"/>
    <w:rsid w:val="42013C9E"/>
    <w:rsid w:val="420F24CA"/>
    <w:rsid w:val="421C0994"/>
    <w:rsid w:val="424F02B6"/>
    <w:rsid w:val="42683145"/>
    <w:rsid w:val="427133C0"/>
    <w:rsid w:val="42715180"/>
    <w:rsid w:val="4277762F"/>
    <w:rsid w:val="429D7D7D"/>
    <w:rsid w:val="42B45768"/>
    <w:rsid w:val="42E637C3"/>
    <w:rsid w:val="42FD1410"/>
    <w:rsid w:val="43184FA0"/>
    <w:rsid w:val="431F563A"/>
    <w:rsid w:val="432D0CD2"/>
    <w:rsid w:val="4348259E"/>
    <w:rsid w:val="434C0977"/>
    <w:rsid w:val="434D5EB2"/>
    <w:rsid w:val="43705840"/>
    <w:rsid w:val="43AF6845"/>
    <w:rsid w:val="43D44FF8"/>
    <w:rsid w:val="441557E3"/>
    <w:rsid w:val="44286453"/>
    <w:rsid w:val="444B4817"/>
    <w:rsid w:val="444C54FC"/>
    <w:rsid w:val="44615639"/>
    <w:rsid w:val="44762FC6"/>
    <w:rsid w:val="4488431A"/>
    <w:rsid w:val="448F5706"/>
    <w:rsid w:val="44944331"/>
    <w:rsid w:val="449A539D"/>
    <w:rsid w:val="44A538D4"/>
    <w:rsid w:val="44B05905"/>
    <w:rsid w:val="44B67F0B"/>
    <w:rsid w:val="451317C4"/>
    <w:rsid w:val="45575AD5"/>
    <w:rsid w:val="459B774E"/>
    <w:rsid w:val="45B72AB1"/>
    <w:rsid w:val="45CF5AD4"/>
    <w:rsid w:val="45DD06D9"/>
    <w:rsid w:val="460D21F2"/>
    <w:rsid w:val="460E0469"/>
    <w:rsid w:val="460E0A15"/>
    <w:rsid w:val="4635298E"/>
    <w:rsid w:val="464050BB"/>
    <w:rsid w:val="466B6702"/>
    <w:rsid w:val="466F037A"/>
    <w:rsid w:val="467737E1"/>
    <w:rsid w:val="46A075FA"/>
    <w:rsid w:val="46D7121E"/>
    <w:rsid w:val="46E07671"/>
    <w:rsid w:val="46FF57CE"/>
    <w:rsid w:val="47154F60"/>
    <w:rsid w:val="47700BCB"/>
    <w:rsid w:val="47C254B8"/>
    <w:rsid w:val="47DF082A"/>
    <w:rsid w:val="47EB5003"/>
    <w:rsid w:val="48081128"/>
    <w:rsid w:val="483A31DC"/>
    <w:rsid w:val="484715CC"/>
    <w:rsid w:val="485D616F"/>
    <w:rsid w:val="4873370F"/>
    <w:rsid w:val="48942C25"/>
    <w:rsid w:val="4898666C"/>
    <w:rsid w:val="489B75DE"/>
    <w:rsid w:val="489F44D2"/>
    <w:rsid w:val="48B5305A"/>
    <w:rsid w:val="48B63FE7"/>
    <w:rsid w:val="48CC7D6E"/>
    <w:rsid w:val="48EB5A5C"/>
    <w:rsid w:val="490B579F"/>
    <w:rsid w:val="4920208E"/>
    <w:rsid w:val="492A1C6E"/>
    <w:rsid w:val="492C7D33"/>
    <w:rsid w:val="493A79B5"/>
    <w:rsid w:val="4969605D"/>
    <w:rsid w:val="496D1F2A"/>
    <w:rsid w:val="497C7394"/>
    <w:rsid w:val="498A3B85"/>
    <w:rsid w:val="49AE3287"/>
    <w:rsid w:val="49C65C46"/>
    <w:rsid w:val="49D021B0"/>
    <w:rsid w:val="49D61F4B"/>
    <w:rsid w:val="49D7375C"/>
    <w:rsid w:val="49EC64E1"/>
    <w:rsid w:val="4A11668C"/>
    <w:rsid w:val="4A3546EB"/>
    <w:rsid w:val="4A4A48A6"/>
    <w:rsid w:val="4A524812"/>
    <w:rsid w:val="4A526073"/>
    <w:rsid w:val="4A56215E"/>
    <w:rsid w:val="4A5D4A40"/>
    <w:rsid w:val="4A63534F"/>
    <w:rsid w:val="4A6C1B50"/>
    <w:rsid w:val="4A7E40F2"/>
    <w:rsid w:val="4A8561F1"/>
    <w:rsid w:val="4A943BC6"/>
    <w:rsid w:val="4AAF17A9"/>
    <w:rsid w:val="4AFF5CC6"/>
    <w:rsid w:val="4B1D3A51"/>
    <w:rsid w:val="4B280F1E"/>
    <w:rsid w:val="4B3D4E30"/>
    <w:rsid w:val="4B413D26"/>
    <w:rsid w:val="4B8B446D"/>
    <w:rsid w:val="4BB317A2"/>
    <w:rsid w:val="4BC27F8D"/>
    <w:rsid w:val="4BC97047"/>
    <w:rsid w:val="4BCC6CCE"/>
    <w:rsid w:val="4BE44E6C"/>
    <w:rsid w:val="4BF446B8"/>
    <w:rsid w:val="4C061338"/>
    <w:rsid w:val="4C497215"/>
    <w:rsid w:val="4C4F5F99"/>
    <w:rsid w:val="4C5D0817"/>
    <w:rsid w:val="4C5E08E0"/>
    <w:rsid w:val="4CBF4AE9"/>
    <w:rsid w:val="4D0A349B"/>
    <w:rsid w:val="4D0D2E78"/>
    <w:rsid w:val="4D0F04ED"/>
    <w:rsid w:val="4D384A7C"/>
    <w:rsid w:val="4D3A0411"/>
    <w:rsid w:val="4D427C91"/>
    <w:rsid w:val="4D7706F2"/>
    <w:rsid w:val="4DBE12C2"/>
    <w:rsid w:val="4DCE6ED3"/>
    <w:rsid w:val="4E095444"/>
    <w:rsid w:val="4E333BBB"/>
    <w:rsid w:val="4E665F7B"/>
    <w:rsid w:val="4E6A06E9"/>
    <w:rsid w:val="4EC206BE"/>
    <w:rsid w:val="4EC46EFB"/>
    <w:rsid w:val="4EC951FF"/>
    <w:rsid w:val="4ED04B02"/>
    <w:rsid w:val="4EE96853"/>
    <w:rsid w:val="4F105F02"/>
    <w:rsid w:val="4F121BEA"/>
    <w:rsid w:val="4F172396"/>
    <w:rsid w:val="4F3F03C1"/>
    <w:rsid w:val="4F4C2971"/>
    <w:rsid w:val="4F566ACF"/>
    <w:rsid w:val="4F704BBC"/>
    <w:rsid w:val="4F8028EE"/>
    <w:rsid w:val="4FAD0DF7"/>
    <w:rsid w:val="4FBC1F04"/>
    <w:rsid w:val="4FBD361C"/>
    <w:rsid w:val="4FBE1CEA"/>
    <w:rsid w:val="4FC15F00"/>
    <w:rsid w:val="4FF17370"/>
    <w:rsid w:val="50371519"/>
    <w:rsid w:val="503D6ACE"/>
    <w:rsid w:val="505A0A75"/>
    <w:rsid w:val="509E2BD3"/>
    <w:rsid w:val="50C04426"/>
    <w:rsid w:val="50C95413"/>
    <w:rsid w:val="50ED0D36"/>
    <w:rsid w:val="510B317F"/>
    <w:rsid w:val="51130AD6"/>
    <w:rsid w:val="51147068"/>
    <w:rsid w:val="511B4097"/>
    <w:rsid w:val="512452DA"/>
    <w:rsid w:val="515029F4"/>
    <w:rsid w:val="51777BA1"/>
    <w:rsid w:val="517A1ADB"/>
    <w:rsid w:val="517C1302"/>
    <w:rsid w:val="51901189"/>
    <w:rsid w:val="51952A88"/>
    <w:rsid w:val="51B661F2"/>
    <w:rsid w:val="51BB2EED"/>
    <w:rsid w:val="51EE27E3"/>
    <w:rsid w:val="52101F45"/>
    <w:rsid w:val="5213342A"/>
    <w:rsid w:val="52163344"/>
    <w:rsid w:val="52217FFE"/>
    <w:rsid w:val="5234477C"/>
    <w:rsid w:val="52515077"/>
    <w:rsid w:val="52806E8B"/>
    <w:rsid w:val="52B118DE"/>
    <w:rsid w:val="52C52078"/>
    <w:rsid w:val="52CB6EC0"/>
    <w:rsid w:val="52D061DA"/>
    <w:rsid w:val="52D211F8"/>
    <w:rsid w:val="52F26F28"/>
    <w:rsid w:val="5315442E"/>
    <w:rsid w:val="533907AA"/>
    <w:rsid w:val="5341530E"/>
    <w:rsid w:val="534326DA"/>
    <w:rsid w:val="53434396"/>
    <w:rsid w:val="534D112E"/>
    <w:rsid w:val="53761C93"/>
    <w:rsid w:val="537B0A8C"/>
    <w:rsid w:val="5393301A"/>
    <w:rsid w:val="53971518"/>
    <w:rsid w:val="5399073D"/>
    <w:rsid w:val="53AB2CD5"/>
    <w:rsid w:val="53AF23D8"/>
    <w:rsid w:val="53B31343"/>
    <w:rsid w:val="53B91D8C"/>
    <w:rsid w:val="53E56E6E"/>
    <w:rsid w:val="53EB2495"/>
    <w:rsid w:val="53F17662"/>
    <w:rsid w:val="54010C17"/>
    <w:rsid w:val="542C2C82"/>
    <w:rsid w:val="543F012A"/>
    <w:rsid w:val="54635F00"/>
    <w:rsid w:val="54661F54"/>
    <w:rsid w:val="546C3F2D"/>
    <w:rsid w:val="547F46DA"/>
    <w:rsid w:val="549F75FE"/>
    <w:rsid w:val="54A51CC5"/>
    <w:rsid w:val="54DD78BD"/>
    <w:rsid w:val="54E06144"/>
    <w:rsid w:val="550A393D"/>
    <w:rsid w:val="555E54FB"/>
    <w:rsid w:val="556D2811"/>
    <w:rsid w:val="55CE1AD5"/>
    <w:rsid w:val="55ED37B8"/>
    <w:rsid w:val="55F04C52"/>
    <w:rsid w:val="55F35D23"/>
    <w:rsid w:val="56281CBC"/>
    <w:rsid w:val="56333685"/>
    <w:rsid w:val="568F0DF7"/>
    <w:rsid w:val="56A332D5"/>
    <w:rsid w:val="56C325A5"/>
    <w:rsid w:val="56E709F8"/>
    <w:rsid w:val="56F10A56"/>
    <w:rsid w:val="56FB32FA"/>
    <w:rsid w:val="570703AF"/>
    <w:rsid w:val="572D602C"/>
    <w:rsid w:val="57364D30"/>
    <w:rsid w:val="573D71D1"/>
    <w:rsid w:val="57574216"/>
    <w:rsid w:val="57A21363"/>
    <w:rsid w:val="57A54C20"/>
    <w:rsid w:val="57B937A9"/>
    <w:rsid w:val="57BB4E50"/>
    <w:rsid w:val="57C34B39"/>
    <w:rsid w:val="57DE1F69"/>
    <w:rsid w:val="57E116B4"/>
    <w:rsid w:val="580C0140"/>
    <w:rsid w:val="580F431F"/>
    <w:rsid w:val="587B6F7C"/>
    <w:rsid w:val="58A22BE9"/>
    <w:rsid w:val="58BD6FD7"/>
    <w:rsid w:val="58E44026"/>
    <w:rsid w:val="58E67C57"/>
    <w:rsid w:val="58E94F10"/>
    <w:rsid w:val="58F965E6"/>
    <w:rsid w:val="58FA15B8"/>
    <w:rsid w:val="58FF06B6"/>
    <w:rsid w:val="59046596"/>
    <w:rsid w:val="591C3F4A"/>
    <w:rsid w:val="593E6CC6"/>
    <w:rsid w:val="594B0A62"/>
    <w:rsid w:val="594E1B0E"/>
    <w:rsid w:val="594F32F2"/>
    <w:rsid w:val="595461B1"/>
    <w:rsid w:val="59591BB8"/>
    <w:rsid w:val="595C743E"/>
    <w:rsid w:val="59820786"/>
    <w:rsid w:val="59A774F2"/>
    <w:rsid w:val="59AD15AB"/>
    <w:rsid w:val="59CE313C"/>
    <w:rsid w:val="59E474BD"/>
    <w:rsid w:val="59FC6B89"/>
    <w:rsid w:val="5A143012"/>
    <w:rsid w:val="5A261D0E"/>
    <w:rsid w:val="5A412A61"/>
    <w:rsid w:val="5A527BDD"/>
    <w:rsid w:val="5A905E59"/>
    <w:rsid w:val="5A9311E7"/>
    <w:rsid w:val="5AA72593"/>
    <w:rsid w:val="5AD0373D"/>
    <w:rsid w:val="5AF86253"/>
    <w:rsid w:val="5B081862"/>
    <w:rsid w:val="5B1C3DCA"/>
    <w:rsid w:val="5B340596"/>
    <w:rsid w:val="5B3F26B3"/>
    <w:rsid w:val="5B4B70AC"/>
    <w:rsid w:val="5B8A7522"/>
    <w:rsid w:val="5BA53E1C"/>
    <w:rsid w:val="5BA92AAB"/>
    <w:rsid w:val="5BB41290"/>
    <w:rsid w:val="5BC50503"/>
    <w:rsid w:val="5BF50EB6"/>
    <w:rsid w:val="5BF92128"/>
    <w:rsid w:val="5BFA7DB5"/>
    <w:rsid w:val="5C075DA6"/>
    <w:rsid w:val="5C275BD4"/>
    <w:rsid w:val="5C491EC9"/>
    <w:rsid w:val="5C5028D7"/>
    <w:rsid w:val="5C81109C"/>
    <w:rsid w:val="5C9E10E9"/>
    <w:rsid w:val="5C9E40DE"/>
    <w:rsid w:val="5CA11D7F"/>
    <w:rsid w:val="5CAF4CE5"/>
    <w:rsid w:val="5CDA6371"/>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186B89"/>
    <w:rsid w:val="5E2D7C7A"/>
    <w:rsid w:val="5E4E3F80"/>
    <w:rsid w:val="5E5F4BD4"/>
    <w:rsid w:val="5E852B0D"/>
    <w:rsid w:val="5ED20F44"/>
    <w:rsid w:val="5EE7073E"/>
    <w:rsid w:val="5EF67A22"/>
    <w:rsid w:val="5F123BC6"/>
    <w:rsid w:val="5F184877"/>
    <w:rsid w:val="5F1A7A37"/>
    <w:rsid w:val="5F2E3F46"/>
    <w:rsid w:val="5F474C09"/>
    <w:rsid w:val="5F475D4B"/>
    <w:rsid w:val="5F63419E"/>
    <w:rsid w:val="5F736746"/>
    <w:rsid w:val="5F880842"/>
    <w:rsid w:val="5FD95A66"/>
    <w:rsid w:val="5FDF7A00"/>
    <w:rsid w:val="5FE12AC5"/>
    <w:rsid w:val="5FF309C7"/>
    <w:rsid w:val="5FFC4765"/>
    <w:rsid w:val="60046C0F"/>
    <w:rsid w:val="601327BB"/>
    <w:rsid w:val="60245068"/>
    <w:rsid w:val="60255BE3"/>
    <w:rsid w:val="602717FC"/>
    <w:rsid w:val="602A62F8"/>
    <w:rsid w:val="602C01A9"/>
    <w:rsid w:val="603B1B21"/>
    <w:rsid w:val="60504051"/>
    <w:rsid w:val="607F2EF2"/>
    <w:rsid w:val="60842FF2"/>
    <w:rsid w:val="60D43BFA"/>
    <w:rsid w:val="60E16AB6"/>
    <w:rsid w:val="60E40C2C"/>
    <w:rsid w:val="610D2A7D"/>
    <w:rsid w:val="61111BF1"/>
    <w:rsid w:val="61175A9A"/>
    <w:rsid w:val="612129FE"/>
    <w:rsid w:val="61375BEC"/>
    <w:rsid w:val="614A2305"/>
    <w:rsid w:val="614E4437"/>
    <w:rsid w:val="615F1F60"/>
    <w:rsid w:val="6182631E"/>
    <w:rsid w:val="61BC217C"/>
    <w:rsid w:val="61D9772A"/>
    <w:rsid w:val="61DA1B5D"/>
    <w:rsid w:val="61DB33CF"/>
    <w:rsid w:val="61EF0933"/>
    <w:rsid w:val="61F2327B"/>
    <w:rsid w:val="61F6471A"/>
    <w:rsid w:val="62413765"/>
    <w:rsid w:val="625E2011"/>
    <w:rsid w:val="626E5BD1"/>
    <w:rsid w:val="627803DA"/>
    <w:rsid w:val="62921FA4"/>
    <w:rsid w:val="62A06349"/>
    <w:rsid w:val="62BF1D8B"/>
    <w:rsid w:val="62C83DFB"/>
    <w:rsid w:val="62DC2379"/>
    <w:rsid w:val="62EF16C5"/>
    <w:rsid w:val="63077DCD"/>
    <w:rsid w:val="63196725"/>
    <w:rsid w:val="631F3FB6"/>
    <w:rsid w:val="63356B20"/>
    <w:rsid w:val="633B4FC0"/>
    <w:rsid w:val="63647D08"/>
    <w:rsid w:val="63B47AD6"/>
    <w:rsid w:val="63BD1F88"/>
    <w:rsid w:val="63F34E27"/>
    <w:rsid w:val="63FD53D7"/>
    <w:rsid w:val="642E2D6E"/>
    <w:rsid w:val="642F141D"/>
    <w:rsid w:val="6439179D"/>
    <w:rsid w:val="643A7D3D"/>
    <w:rsid w:val="644845EE"/>
    <w:rsid w:val="644C43F2"/>
    <w:rsid w:val="645E071A"/>
    <w:rsid w:val="64611864"/>
    <w:rsid w:val="6465357A"/>
    <w:rsid w:val="64704226"/>
    <w:rsid w:val="64870014"/>
    <w:rsid w:val="64B76AA3"/>
    <w:rsid w:val="64C61C82"/>
    <w:rsid w:val="64D124DB"/>
    <w:rsid w:val="65233DA8"/>
    <w:rsid w:val="652A1A84"/>
    <w:rsid w:val="652A5D21"/>
    <w:rsid w:val="65480BBE"/>
    <w:rsid w:val="6554639C"/>
    <w:rsid w:val="65933B3C"/>
    <w:rsid w:val="65B955CA"/>
    <w:rsid w:val="65BE6C54"/>
    <w:rsid w:val="65CC3546"/>
    <w:rsid w:val="65CE71FF"/>
    <w:rsid w:val="661A0E12"/>
    <w:rsid w:val="66214D7C"/>
    <w:rsid w:val="6624580B"/>
    <w:rsid w:val="667B6C3F"/>
    <w:rsid w:val="66B40E42"/>
    <w:rsid w:val="66B56D61"/>
    <w:rsid w:val="66B56D68"/>
    <w:rsid w:val="66E9392A"/>
    <w:rsid w:val="66EA1480"/>
    <w:rsid w:val="67056631"/>
    <w:rsid w:val="674672D3"/>
    <w:rsid w:val="676E6425"/>
    <w:rsid w:val="67770DB9"/>
    <w:rsid w:val="67776ADD"/>
    <w:rsid w:val="6779797F"/>
    <w:rsid w:val="6789047F"/>
    <w:rsid w:val="67A720F6"/>
    <w:rsid w:val="67AC1398"/>
    <w:rsid w:val="67E7540E"/>
    <w:rsid w:val="67EA1736"/>
    <w:rsid w:val="67FC02AC"/>
    <w:rsid w:val="68006207"/>
    <w:rsid w:val="68070E08"/>
    <w:rsid w:val="682D432C"/>
    <w:rsid w:val="68382592"/>
    <w:rsid w:val="684A32DA"/>
    <w:rsid w:val="68524FFC"/>
    <w:rsid w:val="68784674"/>
    <w:rsid w:val="687C00C8"/>
    <w:rsid w:val="687C4042"/>
    <w:rsid w:val="68A742AD"/>
    <w:rsid w:val="68C25CFA"/>
    <w:rsid w:val="68C731B8"/>
    <w:rsid w:val="68D536DE"/>
    <w:rsid w:val="69044A5D"/>
    <w:rsid w:val="691052CA"/>
    <w:rsid w:val="69194464"/>
    <w:rsid w:val="691D05F7"/>
    <w:rsid w:val="69312B59"/>
    <w:rsid w:val="69446209"/>
    <w:rsid w:val="69726337"/>
    <w:rsid w:val="698B1B24"/>
    <w:rsid w:val="6994580C"/>
    <w:rsid w:val="69B75241"/>
    <w:rsid w:val="69BB0755"/>
    <w:rsid w:val="69FB0A5B"/>
    <w:rsid w:val="6A115C81"/>
    <w:rsid w:val="6A7A60F7"/>
    <w:rsid w:val="6AAC2E76"/>
    <w:rsid w:val="6AEE1969"/>
    <w:rsid w:val="6B0A125F"/>
    <w:rsid w:val="6B23484A"/>
    <w:rsid w:val="6B30457A"/>
    <w:rsid w:val="6B3B1CB3"/>
    <w:rsid w:val="6B43702A"/>
    <w:rsid w:val="6B524C27"/>
    <w:rsid w:val="6B5A1EC9"/>
    <w:rsid w:val="6B7308B4"/>
    <w:rsid w:val="6B744505"/>
    <w:rsid w:val="6B990784"/>
    <w:rsid w:val="6BA2498F"/>
    <w:rsid w:val="6BBC51E6"/>
    <w:rsid w:val="6BBF609A"/>
    <w:rsid w:val="6BCA0F7D"/>
    <w:rsid w:val="6BDE4DDD"/>
    <w:rsid w:val="6BE07242"/>
    <w:rsid w:val="6BE82C3E"/>
    <w:rsid w:val="6BE972DB"/>
    <w:rsid w:val="6BFE0452"/>
    <w:rsid w:val="6C0F2440"/>
    <w:rsid w:val="6C176418"/>
    <w:rsid w:val="6C392A9F"/>
    <w:rsid w:val="6C4D097B"/>
    <w:rsid w:val="6C5973BD"/>
    <w:rsid w:val="6C5F452A"/>
    <w:rsid w:val="6C762792"/>
    <w:rsid w:val="6C7D1213"/>
    <w:rsid w:val="6C801375"/>
    <w:rsid w:val="6C822E35"/>
    <w:rsid w:val="6CA714E6"/>
    <w:rsid w:val="6CEF6EBD"/>
    <w:rsid w:val="6CF01C95"/>
    <w:rsid w:val="6CF542B7"/>
    <w:rsid w:val="6D0071CD"/>
    <w:rsid w:val="6D18295E"/>
    <w:rsid w:val="6D206AE2"/>
    <w:rsid w:val="6D5941BB"/>
    <w:rsid w:val="6D5B0CBD"/>
    <w:rsid w:val="6D8A08D8"/>
    <w:rsid w:val="6D961017"/>
    <w:rsid w:val="6DCE3EDB"/>
    <w:rsid w:val="6DD23F1E"/>
    <w:rsid w:val="6DEE2081"/>
    <w:rsid w:val="6E0135EB"/>
    <w:rsid w:val="6E210E7D"/>
    <w:rsid w:val="6E336938"/>
    <w:rsid w:val="6E565A56"/>
    <w:rsid w:val="6E5D68D3"/>
    <w:rsid w:val="6E682450"/>
    <w:rsid w:val="6E7251F0"/>
    <w:rsid w:val="6E757524"/>
    <w:rsid w:val="6E7934F3"/>
    <w:rsid w:val="6E9C5623"/>
    <w:rsid w:val="6E9E05A5"/>
    <w:rsid w:val="6EAD6286"/>
    <w:rsid w:val="6EB24C59"/>
    <w:rsid w:val="6EBD3CCD"/>
    <w:rsid w:val="6ECD60E1"/>
    <w:rsid w:val="6EDB6C60"/>
    <w:rsid w:val="6F2428C0"/>
    <w:rsid w:val="6F433285"/>
    <w:rsid w:val="6F591B5D"/>
    <w:rsid w:val="6F7E65DB"/>
    <w:rsid w:val="6F7F6D3A"/>
    <w:rsid w:val="6F981073"/>
    <w:rsid w:val="6FA172A4"/>
    <w:rsid w:val="6FFF65EB"/>
    <w:rsid w:val="702D3A00"/>
    <w:rsid w:val="70341230"/>
    <w:rsid w:val="70342FAD"/>
    <w:rsid w:val="705A4D1B"/>
    <w:rsid w:val="705F37D3"/>
    <w:rsid w:val="708B108A"/>
    <w:rsid w:val="709143C4"/>
    <w:rsid w:val="70930271"/>
    <w:rsid w:val="70DB5146"/>
    <w:rsid w:val="70E51B6F"/>
    <w:rsid w:val="70FA4092"/>
    <w:rsid w:val="70FC3C7A"/>
    <w:rsid w:val="71075B1A"/>
    <w:rsid w:val="710E7F44"/>
    <w:rsid w:val="71193089"/>
    <w:rsid w:val="71211292"/>
    <w:rsid w:val="71243B68"/>
    <w:rsid w:val="712776C4"/>
    <w:rsid w:val="714344B4"/>
    <w:rsid w:val="7181738B"/>
    <w:rsid w:val="71820038"/>
    <w:rsid w:val="718B1478"/>
    <w:rsid w:val="71990145"/>
    <w:rsid w:val="719E164B"/>
    <w:rsid w:val="71C90ED8"/>
    <w:rsid w:val="71D72430"/>
    <w:rsid w:val="71E12038"/>
    <w:rsid w:val="720A6753"/>
    <w:rsid w:val="720F4AFB"/>
    <w:rsid w:val="72112B83"/>
    <w:rsid w:val="72143F3C"/>
    <w:rsid w:val="721F61D9"/>
    <w:rsid w:val="723D42BE"/>
    <w:rsid w:val="72412901"/>
    <w:rsid w:val="72887B37"/>
    <w:rsid w:val="72910320"/>
    <w:rsid w:val="72A53302"/>
    <w:rsid w:val="72B3410C"/>
    <w:rsid w:val="72BD6DA9"/>
    <w:rsid w:val="72CB01B8"/>
    <w:rsid w:val="72F66709"/>
    <w:rsid w:val="730554B3"/>
    <w:rsid w:val="73092FAA"/>
    <w:rsid w:val="732C3102"/>
    <w:rsid w:val="73413694"/>
    <w:rsid w:val="734608F5"/>
    <w:rsid w:val="736D4BAC"/>
    <w:rsid w:val="736F1AFC"/>
    <w:rsid w:val="739B5B15"/>
    <w:rsid w:val="73CA3FB8"/>
    <w:rsid w:val="73E63732"/>
    <w:rsid w:val="73EC345F"/>
    <w:rsid w:val="73FD1118"/>
    <w:rsid w:val="74090510"/>
    <w:rsid w:val="740E2D2D"/>
    <w:rsid w:val="7410282D"/>
    <w:rsid w:val="741752A2"/>
    <w:rsid w:val="74223A5C"/>
    <w:rsid w:val="746B6757"/>
    <w:rsid w:val="747B5C9D"/>
    <w:rsid w:val="747F1177"/>
    <w:rsid w:val="748028C0"/>
    <w:rsid w:val="74A471EE"/>
    <w:rsid w:val="74C768EE"/>
    <w:rsid w:val="74E97F38"/>
    <w:rsid w:val="74F13E40"/>
    <w:rsid w:val="750B1697"/>
    <w:rsid w:val="752A3F7B"/>
    <w:rsid w:val="7533655A"/>
    <w:rsid w:val="75444F15"/>
    <w:rsid w:val="75485488"/>
    <w:rsid w:val="75733C39"/>
    <w:rsid w:val="758516A2"/>
    <w:rsid w:val="759A2104"/>
    <w:rsid w:val="75B35E00"/>
    <w:rsid w:val="75CD1343"/>
    <w:rsid w:val="75EB2F64"/>
    <w:rsid w:val="761D1573"/>
    <w:rsid w:val="765B6CE9"/>
    <w:rsid w:val="765D3DA8"/>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B92312"/>
    <w:rsid w:val="7827423F"/>
    <w:rsid w:val="78386307"/>
    <w:rsid w:val="7850391E"/>
    <w:rsid w:val="78597E32"/>
    <w:rsid w:val="78703EBE"/>
    <w:rsid w:val="78805A36"/>
    <w:rsid w:val="78830880"/>
    <w:rsid w:val="78A51D8F"/>
    <w:rsid w:val="78AE0946"/>
    <w:rsid w:val="78D1727E"/>
    <w:rsid w:val="78D17516"/>
    <w:rsid w:val="78D96E40"/>
    <w:rsid w:val="7911644D"/>
    <w:rsid w:val="79331EC1"/>
    <w:rsid w:val="79404911"/>
    <w:rsid w:val="794D0D3C"/>
    <w:rsid w:val="7986601A"/>
    <w:rsid w:val="7993616D"/>
    <w:rsid w:val="799D69BF"/>
    <w:rsid w:val="79AE14B2"/>
    <w:rsid w:val="79B1687C"/>
    <w:rsid w:val="79B22738"/>
    <w:rsid w:val="79CE4B72"/>
    <w:rsid w:val="7A055366"/>
    <w:rsid w:val="7A292C38"/>
    <w:rsid w:val="7A49541C"/>
    <w:rsid w:val="7A5F22B4"/>
    <w:rsid w:val="7A680094"/>
    <w:rsid w:val="7A7508D5"/>
    <w:rsid w:val="7A80455C"/>
    <w:rsid w:val="7A81102C"/>
    <w:rsid w:val="7AA37ECA"/>
    <w:rsid w:val="7AB16073"/>
    <w:rsid w:val="7ABB5514"/>
    <w:rsid w:val="7AC2458A"/>
    <w:rsid w:val="7ADE3222"/>
    <w:rsid w:val="7AF04DB0"/>
    <w:rsid w:val="7B0D28AD"/>
    <w:rsid w:val="7B133363"/>
    <w:rsid w:val="7B1C1737"/>
    <w:rsid w:val="7B322761"/>
    <w:rsid w:val="7B3C2640"/>
    <w:rsid w:val="7B4443D1"/>
    <w:rsid w:val="7BB151FD"/>
    <w:rsid w:val="7BB43296"/>
    <w:rsid w:val="7BDE6C84"/>
    <w:rsid w:val="7BE07A81"/>
    <w:rsid w:val="7BE97D38"/>
    <w:rsid w:val="7C272B3E"/>
    <w:rsid w:val="7C471D4F"/>
    <w:rsid w:val="7C7A6596"/>
    <w:rsid w:val="7CA76A22"/>
    <w:rsid w:val="7CCC4E54"/>
    <w:rsid w:val="7CEB2ACD"/>
    <w:rsid w:val="7CEF6F65"/>
    <w:rsid w:val="7CF41D8D"/>
    <w:rsid w:val="7D2745EF"/>
    <w:rsid w:val="7D2D2CA0"/>
    <w:rsid w:val="7D5C29E8"/>
    <w:rsid w:val="7D7A7BC6"/>
    <w:rsid w:val="7DBB08B6"/>
    <w:rsid w:val="7DBC7173"/>
    <w:rsid w:val="7DD90B59"/>
    <w:rsid w:val="7DEF15A6"/>
    <w:rsid w:val="7DFC511B"/>
    <w:rsid w:val="7E221AFC"/>
    <w:rsid w:val="7E2A514E"/>
    <w:rsid w:val="7E2C4E20"/>
    <w:rsid w:val="7E2D20BE"/>
    <w:rsid w:val="7E5733E1"/>
    <w:rsid w:val="7E660C33"/>
    <w:rsid w:val="7E6637F7"/>
    <w:rsid w:val="7E707801"/>
    <w:rsid w:val="7E733B66"/>
    <w:rsid w:val="7E8A121F"/>
    <w:rsid w:val="7EC12AAE"/>
    <w:rsid w:val="7EC52141"/>
    <w:rsid w:val="7EC73D34"/>
    <w:rsid w:val="7ED12FEE"/>
    <w:rsid w:val="7F1648D6"/>
    <w:rsid w:val="7F21639D"/>
    <w:rsid w:val="7F23784E"/>
    <w:rsid w:val="7F442E56"/>
    <w:rsid w:val="7F457080"/>
    <w:rsid w:val="7F486BDC"/>
    <w:rsid w:val="7F4C71A0"/>
    <w:rsid w:val="7F5124CE"/>
    <w:rsid w:val="7F6347A3"/>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48</TotalTime>
  <ScaleCrop>false</ScaleCrop>
  <LinksUpToDate>false</LinksUpToDate>
  <CharactersWithSpaces>26786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2020-09-03T08:06:06Z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2052-11.1.0.9912</vt:lpwstr>
  </property>
</Properties>
</file>