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A33147">
      <w:pPr>
        <w:spacing w:line="400" w:lineRule="exact"/>
        <w:rPr>
          <w:rFonts w:cs="Times New Roman"/>
        </w:rPr>
      </w:pPr>
      <w:bookmarkStart w:id="0" w:name="_Toc485828985"/>
      <w:r w:rsidRPr="00A331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A33147">
      <w:pPr>
        <w:spacing w:line="400" w:lineRule="exact"/>
        <w:rPr>
          <w:rFonts w:cs="Times New Roman"/>
        </w:rPr>
      </w:pPr>
      <w:r w:rsidRPr="00A331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1" filled="f" stroked="f">
            <v:textbox>
              <w:txbxContent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A33147">
        <w:pict>
          <v:shape id="文本框 3" o:spid="_x0000_s1029" type="#_x0000_t202" style="position:absolute;left:0;text-align:left;margin-left:175.45pt;margin-top:490.7pt;width:126.6pt;height:54.1pt;z-index:2" filled="f" stroked="f">
            <v:textbox>
              <w:txbxContent>
                <w:p w:rsidR="00581D0F" w:rsidRDefault="00890D02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FD005A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FD005A">
                    <w:rPr>
                      <w:rFonts w:hint="eastAsia"/>
                      <w:kern w:val="2"/>
                    </w:rPr>
                    <w:t>4</w:t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A33147">
        <w:lastRenderedPageBreak/>
        <w:pict>
          <v:shape id="_x0000_s1030" type="#_x0000_t202" style="position:absolute;left:0;text-align:left;margin-left:-.9pt;margin-top:34.7pt;width:492pt;height:565.3pt;z-index:3" filled="f" stroked="f">
            <v:textbox>
              <w:txbxContent>
                <w:p w:rsidR="00581D0F" w:rsidRDefault="00890D02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A33147">
                  <w:pPr>
                    <w:pStyle w:val="10"/>
                    <w:rPr>
                      <w:color w:val="0000FF"/>
                      <w:u w:val="single"/>
                    </w:rPr>
                  </w:pPr>
                  <w:r w:rsidRPr="00A33147">
                    <w:fldChar w:fldCharType="begin"/>
                  </w:r>
                  <w:r w:rsidR="00890D02">
                    <w:instrText xml:space="preserve"> TOC \o "1-3" \h \z \u </w:instrText>
                  </w:r>
                  <w:r w:rsidRPr="00A33147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FD005A">
                      <w:rPr>
                        <w:rStyle w:val="aa"/>
                        <w:rFonts w:hint="eastAsia"/>
                      </w:rPr>
                      <w:t>9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FD005A">
                      <w:rPr>
                        <w:rStyle w:val="aa"/>
                        <w:rFonts w:hint="eastAsia"/>
                      </w:rPr>
                      <w:t>4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A3314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A3314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A33147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A33147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>
      <w:pPr>
        <w:pStyle w:val="1"/>
        <w:spacing w:line="400" w:lineRule="exact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987A4D" w:rsidRPr="00987A4D" w:rsidRDefault="00987A4D" w:rsidP="00987A4D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87A4D">
        <w:rPr>
          <w:rFonts w:ascii="仿宋" w:eastAsia="仿宋" w:hAnsi="仿宋" w:cs="仿宋"/>
          <w:kern w:val="2"/>
          <w:sz w:val="28"/>
          <w:szCs w:val="28"/>
        </w:rPr>
        <w:t>本周纯碱供应减量因素增强现货价格提涨表现，多数用户考虑供应影响，买涨趋势走强，市场价格走势上行明显。据悉，供应端因山东海天、江苏实联等突发性装置停机，加上国内多企业持续低产影响下，全国供应量明显趋紧，增强了涨情因素，虽个别厂家有库存，但多企业现货库存紧张表现，加强了此次普调上行积极性。下游用户需求来看，八月抵触上涨价格，部分用户已消耗部分存量，本月纯碱存量趋弱，用户买涨需求增强。另分产品涨情而言，轻质纯碱作为中小型用户，买涨表现较佳，大型用户如玻璃、日化玻璃等企业方面尚有储量僵持，月初买涨情绪略弱，观望清晰较强。</w:t>
      </w:r>
    </w:p>
    <w:p w:rsidR="00987A4D" w:rsidRPr="00987A4D" w:rsidRDefault="00987A4D" w:rsidP="00987A4D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87A4D">
        <w:rPr>
          <w:rFonts w:ascii="仿宋" w:eastAsia="仿宋" w:hAnsi="仿宋" w:cs="仿宋"/>
          <w:kern w:val="2"/>
          <w:sz w:val="28"/>
          <w:szCs w:val="28"/>
        </w:rPr>
        <w:t>供应端：截止2020年36周，统计中国国内纯碱总产能为3307万吨;其中涉及25家联碱工厂，产能共计1098万吨;12家氨碱工厂，产能共计962万吨;以及2家天然碱工厂，产能共计160万吨。截止9月3日，纯碱运行产能共计2220万吨，开工率67%，较8月27日开工率73.4%↓6.4个百分点。受纯碱检修厂家增多以及多数厂家低产的影响，纯碱行业库存持续走低。截止9月3日，纯碱企业库存总量为78万吨，较8月28日下调14%。</w:t>
      </w:r>
    </w:p>
    <w:p w:rsidR="00987A4D" w:rsidRPr="00987A4D" w:rsidRDefault="00987A4D" w:rsidP="00987A4D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87A4D">
        <w:rPr>
          <w:rFonts w:ascii="仿宋" w:eastAsia="仿宋" w:hAnsi="仿宋" w:cs="仿宋"/>
          <w:kern w:val="2"/>
          <w:sz w:val="28"/>
          <w:szCs w:val="28"/>
        </w:rPr>
        <w:lastRenderedPageBreak/>
        <w:t>需求端：平板玻璃企业现货行情迎来旺季，原片低库存促进后续涨情升温，且工厂生产积极性不断调动，进一步拉涨玻璃企业对纯碱采购积极性;另外日用玻璃、焦亚硫酸、泡花碱、两钠、冶金、印染、水处理等多行业应用需求刚需相对。在纯碱现货供应过剩因素减缓影响下，终端采购情绪转变，大大提振需求情绪升温，进一步对价格形成积极意义。</w:t>
      </w:r>
    </w:p>
    <w:p w:rsidR="00581D0F" w:rsidRPr="00705AF2" w:rsidRDefault="00890D02" w:rsidP="00705AF2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987A4D" w:rsidRPr="00987A4D" w:rsidRDefault="00987A4D" w:rsidP="00987A4D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987A4D">
        <w:rPr>
          <w:rFonts w:ascii="仿宋" w:eastAsia="仿宋" w:hAnsi="仿宋" w:cs="仿宋"/>
          <w:kern w:val="2"/>
          <w:sz w:val="28"/>
          <w:szCs w:val="28"/>
        </w:rPr>
        <w:t>轻碱主流含税出厂价格：东北地区含税出厂价在1600-1650元/吨;河北地区含税出厂价1600-1650元/吨;山东地区含税出厂价1600-1680元/吨;江苏地区主流含税出厂价1600-1650元/吨;杭州地区含税出厂价1600-1700元/吨;福建地区含税出厂价1600-1650元/吨;广东地区含税出厂价1600-1750元/吨;华中地区主流含税出价1600-1650元/吨;西北地区含税出厂价1500-1550元/吨，其中青海区域含税出厂价1500-1550元/吨;川渝区域含税出价1500-1650元/吨;云贵地区含税出价1600-1650元/吨;江西区域含税出价1600-1650元/吨。</w:t>
      </w:r>
    </w:p>
    <w:p w:rsidR="00987A4D" w:rsidRPr="00987A4D" w:rsidRDefault="00987A4D" w:rsidP="00987A4D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87A4D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价在1800-2000元/吨;河北地区含税价1700-2000元/吨;山东地区含税价1750-2000元/吨;江苏地区主流含税1700-2000价元/吨;杭州地区含税价1800-2000元/吨;福建地区含税价1750-2000元/吨;广东地区含税价1850-2050元/吨;华中地区主流含税价1700-2000元/吨;西北地区含税出厂价</w:t>
      </w:r>
      <w:r w:rsidRPr="00987A4D">
        <w:rPr>
          <w:rFonts w:ascii="仿宋" w:eastAsia="仿宋" w:hAnsi="仿宋" w:cs="仿宋"/>
          <w:kern w:val="2"/>
          <w:sz w:val="28"/>
          <w:szCs w:val="28"/>
        </w:rPr>
        <w:lastRenderedPageBreak/>
        <w:t>1650-1700元/吨，其中青海区域含税出厂价1650-1700元/吨;川渝区域含税价1700-2000元/吨;云贵地区含税价1750-1850元/吨;江西区域含税价1800-1850元/吨。</w:t>
      </w:r>
    </w:p>
    <w:p w:rsidR="00581D0F" w:rsidRDefault="00890D02" w:rsidP="00802025">
      <w:pPr>
        <w:pStyle w:val="a8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987A4D" w:rsidRPr="00987A4D" w:rsidRDefault="00323D45" w:rsidP="00987A4D">
      <w:pPr>
        <w:pStyle w:val="a8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323D45">
        <w:rPr>
          <w:rFonts w:ascii="仿宋" w:eastAsia="仿宋" w:hAnsi="仿宋" w:cs="仿宋"/>
          <w:kern w:val="2"/>
          <w:sz w:val="28"/>
          <w:szCs w:val="28"/>
        </w:rPr>
        <w:t>后市预测：</w:t>
      </w:r>
      <w:r w:rsidR="00987A4D" w:rsidRPr="00987A4D">
        <w:rPr>
          <w:rFonts w:ascii="仿宋" w:eastAsia="仿宋" w:hAnsi="仿宋" w:cs="仿宋"/>
          <w:kern w:val="2"/>
          <w:sz w:val="28"/>
          <w:szCs w:val="28"/>
        </w:rPr>
        <w:t>由于短期行业低产状态难以得到改善，且行业整体库存仍以驱下运行，供应局势的紧张体现拉动了价格上行能力，且在下游行业刚需尚存稳定支撑影响下，预计下周纯碱市场将持续向上整理。</w:t>
      </w:r>
    </w:p>
    <w:p w:rsidR="00581D0F" w:rsidRDefault="00890D02" w:rsidP="00987A4D">
      <w:pPr>
        <w:pStyle w:val="a8"/>
        <w:spacing w:line="360" w:lineRule="auto"/>
        <w:ind w:firstLineChars="200"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490"/>
        <w:gridCol w:w="1454"/>
        <w:gridCol w:w="1444"/>
        <w:gridCol w:w="1444"/>
        <w:gridCol w:w="1444"/>
        <w:gridCol w:w="1444"/>
      </w:tblGrid>
      <w:tr w:rsidR="00581D0F" w:rsidTr="00140B0E">
        <w:trPr>
          <w:trHeight w:val="28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 w:rsidP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  <w:r w:rsidR="00705AF2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87A4D" w:rsidTr="00140B0E">
        <w:trPr>
          <w:trHeight w:val="9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Pr="00F26A57" w:rsidRDefault="00987A4D" w:rsidP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Pr="00F26A57" w:rsidRDefault="00987A4D" w:rsidP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Pr="00F26A57" w:rsidRDefault="00987A4D" w:rsidP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 w:rsidR="00987A4D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 w:rsidP="003C1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87A4D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87A4D" w:rsidTr="00140B0E">
        <w:trPr>
          <w:trHeight w:val="33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87A4D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87A4D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7A4D" w:rsidRDefault="00987A4D" w:rsidP="00987A4D">
            <w:pPr>
              <w:jc w:val="center"/>
            </w:pP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77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77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Default="00987A4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7A4D" w:rsidRPr="00F26A57" w:rsidRDefault="00987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87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</w:tbl>
    <w:p w:rsidR="00581D0F" w:rsidRDefault="00890D02">
      <w:pPr>
        <w:pStyle w:val="1"/>
        <w:spacing w:line="400" w:lineRule="exact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本周各地区长单定价商谈结束，各地液碱市场涨跌情况均有。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山西地区9月份氧化铝用碱价格确认下调，降幅60元/吨(折百);9月份河南氧化铝用碱价格下调100元/吨(折百)，9月份广西氧化铝用碱价格上调20-30元/吨(折百)不等，9月份贵州氧化铝用碱价格上调50元/吨(折百)不等;9月份江苏以及江西地区当地粘胶短纤企业大单价格基本与8月份持平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本周山东虽有寿光新龙20万氯碱装置检修4日，但低浓碱库存压力难以释放，当地碱厂发货一般，整体成交重心下行10-20元/吨不等。河北冀衡开工恢复，液碱正常供应，唐山地区液碱货源偏紧，沧州地区本周走货压力增加。西北内蒙、宁夏一带液碱库存较低，当地目前有内蒙古宜化、乌海化工涉及到60万吨氯碱装置检修，企业发货顺畅，近期库存下降明显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华东本周价格局部微涨，安徽地区9月份有17万吨氯碱装置停车检修，省内液碱供应减量，本周有主流厂家液碱价格上调20元/吨。其他地区来看，现阶段碱厂开工不高，但下游需求改善不多，出口方面表现平淡，部分主做出口销售的企业，近期库存水平高位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lastRenderedPageBreak/>
        <w:t>两湖地区碱厂库存略高，交投重心有不同程度的下跌趋势，终端需求不温不火。西南地区液碱涨后持稳，部分厂家库存已消耗殆尽，区域内供货紧张，液碱出货顺畅，走势乐观。广东地区本周船碱到货量较多，码头库存偏高，为促进走货液碱价格灵活下调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跟踪数据，9月3日中国32%离子膜液碱市场价格指数519.25，较8月27日数据相比↑0.15%;中国50%离子膜液碱市场平均出厂价格在986.3元/吨，较8月27日数据相比↓0.36%。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据统计目前全国氯碱总产能为4341.4万吨，截至9月3日，氯碱开工产能3420.5万吨，开工率78.79%。</w:t>
      </w:r>
    </w:p>
    <w:p w:rsidR="00770A8C" w:rsidRPr="00770A8C" w:rsidRDefault="00770A8C" w:rsidP="00770A8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据统计目前全国氧化铝总产能为8784万吨，截至9月3日，氧化铝开工产能7170万吨，开工率81.63%。</w:t>
      </w:r>
    </w:p>
    <w:p w:rsidR="00581D0F" w:rsidRPr="00770A8C" w:rsidRDefault="00581D0F" w:rsidP="00A909B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>
      <w:pPr>
        <w:pStyle w:val="a8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 w:rsidR="00770A8C" w:rsidRPr="00770A8C" w:rsidRDefault="00770A8C" w:rsidP="00770A8C">
      <w:pPr>
        <w:pStyle w:val="a8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截止9月3日各地区液碱价格(文中价格为现汇，承兑低浓度水碱加15元/吨，高浓度碱加30元/吨)</w:t>
      </w:r>
    </w:p>
    <w:p w:rsidR="00770A8C" w:rsidRPr="00770A8C" w:rsidRDefault="00770A8C" w:rsidP="00770A8C">
      <w:pPr>
        <w:pStyle w:val="a8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32%离子膜液碱主流出厂价格：自山东氧化铝行业用32%离子膜液碱价格自7月30日执行现汇出厂410元/吨，供其他客户主流现汇出厂价格420-450元/吨;河北450-510元/吨;天津1500-1600元/吨(折</w:t>
      </w:r>
      <w:r w:rsidRPr="00770A8C">
        <w:rPr>
          <w:rFonts w:ascii="仿宋" w:eastAsia="仿宋" w:hAnsi="仿宋" w:cs="仿宋"/>
          <w:sz w:val="28"/>
          <w:szCs w:val="28"/>
        </w:rPr>
        <w:lastRenderedPageBreak/>
        <w:t>百);浙江送到萧绍经销商610-650元/吨;江苏510-585元/吨;安徽530-560元/吨;江西地区570-620元/吨;广西700-730元/吨;河南1350-1500元/吨(折百);内蒙古1200-1500元/吨(折百);辽宁560-590元/吨，个别企业价格略高;四川2350-2500元/吨(折百);福建地区32%离子膜烧碱送到价格在740-840元/吨(因距离不同，运费存有差距)，个别厂家价格略高。</w:t>
      </w:r>
    </w:p>
    <w:p w:rsidR="00770A8C" w:rsidRPr="00770A8C" w:rsidRDefault="00770A8C" w:rsidP="00770A8C">
      <w:pPr>
        <w:pStyle w:val="a8"/>
        <w:rPr>
          <w:rFonts w:ascii="仿宋" w:eastAsia="仿宋" w:hAnsi="仿宋" w:cs="仿宋"/>
          <w:sz w:val="28"/>
          <w:szCs w:val="28"/>
        </w:rPr>
      </w:pPr>
      <w:r w:rsidRPr="00770A8C">
        <w:rPr>
          <w:rFonts w:ascii="仿宋" w:eastAsia="仿宋" w:hAnsi="仿宋" w:cs="仿宋"/>
          <w:sz w:val="28"/>
          <w:szCs w:val="28"/>
        </w:rPr>
        <w:t>高浓碱主流出厂价格：山东48%离子膜液碱出厂670-690元/吨，50%离子膜液碱出厂680-710元/吨。天津49%离子膜碱出厂价格1550-1650元/吨(折百)，广西50%离子膜液碱出厂价格1050-1100元/吨;内蒙古48-50%离子膜液碱出厂价格1300-1450元/吨(折百)左右;江苏地区48%离子膜液碱出厂价格900-950元/吨;辽宁地区45-50%离子膜液碱出厂报价在850-950元/吨;四川地区50%离子膜液碱主流出厂价格2300-2400元/吨(折百)。福建省50%离子膜烧碱送到价格在1250-1350元/吨。(因距离不同，运费存有差距)。</w:t>
      </w:r>
    </w:p>
    <w:p w:rsidR="00581D0F" w:rsidRPr="00770A8C" w:rsidRDefault="00581D0F" w:rsidP="0042596D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581D0F" w:rsidRDefault="00890D02">
      <w:pPr>
        <w:widowControl/>
        <w:ind w:firstLineChars="200"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770A8C" w:rsidRDefault="00770A8C" w:rsidP="00770A8C">
      <w:pPr>
        <w:pStyle w:val="a8"/>
        <w:spacing w:line="360" w:lineRule="auto"/>
        <w:ind w:firstLineChars="200" w:firstLine="560"/>
        <w:rPr>
          <w:sz w:val="21"/>
          <w:szCs w:val="21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770A8C">
        <w:rPr>
          <w:rFonts w:ascii="仿宋" w:eastAsia="仿宋" w:hAnsi="仿宋" w:cs="仿宋"/>
          <w:sz w:val="28"/>
          <w:szCs w:val="28"/>
        </w:rPr>
        <w:t>本周中国液碱市场走势仍然偏弱，各省份长单基本确定，山西、河南地区液碱长单均有下调表现，广西地区小幅微涨。北方地区来看，西北地区受检修利好影响，本周库存下降明显，预计后市液碱供应偏紧，价格或有小幅上行可能。华东安徽地区本周有厂家上调液碱价格，</w:t>
      </w:r>
      <w:r w:rsidRPr="00770A8C">
        <w:rPr>
          <w:rFonts w:ascii="仿宋" w:eastAsia="仿宋" w:hAnsi="仿宋" w:cs="仿宋"/>
          <w:sz w:val="28"/>
          <w:szCs w:val="28"/>
        </w:rPr>
        <w:lastRenderedPageBreak/>
        <w:t>预计下周省内其他厂家或有跟涨，其他地区预计后市多以弱稳运行为主;华南地区整体需求偏淡，预计后市平稳运行。预计下周价格调整幅度在10-30元/吨。</w:t>
      </w: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 w:rsidP="001E117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770A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70A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1E117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  <w:r w:rsidR="004455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 w:rsidP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770A8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A8C" w:rsidRDefault="00770A8C" w:rsidP="00770A8C">
            <w:pPr>
              <w:jc w:val="center"/>
            </w:pP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2258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225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8C" w:rsidRDefault="00770A8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>
      <w:pPr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>
      <w:pPr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lastRenderedPageBreak/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>
      <w:pPr>
        <w:spacing w:line="400" w:lineRule="exact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361916">
        <w:rPr>
          <w:rFonts w:ascii="仿宋" w:eastAsia="仿宋" w:hAnsi="仿宋" w:cs="仿宋"/>
          <w:sz w:val="28"/>
          <w:szCs w:val="28"/>
        </w:rPr>
        <w:t>本周全国液氯市场缓慢探涨，整体成交水平提升。</w:t>
      </w:r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1916">
        <w:rPr>
          <w:rFonts w:ascii="仿宋" w:eastAsia="仿宋" w:hAnsi="仿宋" w:cs="仿宋"/>
          <w:sz w:val="28"/>
          <w:szCs w:val="28"/>
        </w:rPr>
        <w:t>山东地区本周槽车出货价格累计上调100元/吨，本周新龙电化9.1-9.5停车检修，前山东省内液氯商品量在8650吨/天，供应量下降，潍坊地区货源偏紧张;氯乙酸、氯化石蜡、甲烷氯化物、增塑剂等行业近期濒临成本线，已有部分企业停车或外采降量。河北冀衡本周恢复生产，供应逐渐正常;目前河北地区甘氨酸下游开工提升，氯化石蜡行业需求较为低迷，其他类型耗氯企业需求面表现一般。山西地区本周持稳，走货较差。</w:t>
      </w:r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1916">
        <w:rPr>
          <w:rFonts w:ascii="仿宋" w:eastAsia="仿宋" w:hAnsi="仿宋" w:cs="仿宋"/>
          <w:sz w:val="28"/>
          <w:szCs w:val="28"/>
        </w:rPr>
        <w:t>华东地区目前市场需求面恢复一般，场内液氯本周因安徽供应减量上调100元/吨，但走货方面仍显一般。江西、浙江地区液氯出货价格暂稳，需求情况对比8月份呈现好转态势。</w:t>
      </w:r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1916">
        <w:rPr>
          <w:rFonts w:ascii="仿宋" w:eastAsia="仿宋" w:hAnsi="仿宋" w:cs="仿宋"/>
          <w:sz w:val="28"/>
          <w:szCs w:val="28"/>
        </w:rPr>
        <w:t>华中地区来看，河南地区本周价格上调100元/吨，当地液氯走货情况顺畅，四氯化钛支撑走货价格;两湖地区本周液氯供应微降，</w:t>
      </w:r>
      <w:r w:rsidRPr="00361916">
        <w:rPr>
          <w:rFonts w:ascii="仿宋" w:eastAsia="仿宋" w:hAnsi="仿宋" w:cs="仿宋"/>
          <w:sz w:val="28"/>
          <w:szCs w:val="28"/>
        </w:rPr>
        <w:lastRenderedPageBreak/>
        <w:t>价格弱稳。内蒙地区本周乌海化工、内蒙宜化检修，液氯供应减少，货源紧张。</w:t>
      </w:r>
    </w:p>
    <w:p w:rsidR="00581D0F" w:rsidRDefault="00890D02" w:rsidP="002935B1">
      <w:pPr>
        <w:widowControl/>
        <w:spacing w:line="239" w:lineRule="atLeast"/>
        <w:ind w:leftChars="133" w:left="279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1916">
        <w:rPr>
          <w:rFonts w:ascii="仿宋" w:eastAsia="仿宋" w:hAnsi="仿宋" w:cs="仿宋"/>
          <w:sz w:val="28"/>
          <w:szCs w:val="28"/>
        </w:rPr>
        <w:t>截止到9月3日发稿，各地区液氯槽车主流出厂价格：</w:t>
      </w:r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61916">
        <w:rPr>
          <w:rFonts w:ascii="仿宋" w:eastAsia="仿宋" w:hAnsi="仿宋" w:cs="仿宋"/>
          <w:sz w:val="28"/>
          <w:szCs w:val="28"/>
        </w:rPr>
        <w:t>山东省内主流槽车850-900元/吨，河北省内主流槽车执行850-950元/吨;河南省槽车主流出货价格在800-900元/吨均有，钢瓶槽车同价;山西地区槽车出货主流在250-350元/吨;浙江地区当前槽车出货价格为500-650元/吨均有;安徽、江苏地区槽车出厂400-650元/吨;江西地区价格600-650元/吨;辽宁地区槽车出厂300-500元/吨;内蒙古液氯槽车1200元/吨;湖北地区少量槽车出厂价格在650元/吨;四川地区650-850元/吨，当地高价成交有限。</w:t>
      </w:r>
    </w:p>
    <w:p w:rsidR="00581D0F" w:rsidRPr="00361916" w:rsidRDefault="00581D0F" w:rsidP="0015137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361916" w:rsidRPr="00361916" w:rsidRDefault="00361916" w:rsidP="00361916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361916">
        <w:rPr>
          <w:rFonts w:ascii="仿宋" w:eastAsia="仿宋" w:hAnsi="仿宋" w:cs="仿宋"/>
          <w:sz w:val="28"/>
          <w:szCs w:val="28"/>
        </w:rPr>
        <w:t>山东地区本周槽车出货价格累计上调100元/吨，本周新龙电化9.1-9.5停车检修，前山东省内液氯商品量在8650吨/天，供应量下降，潍坊地区货源偏紧张;氯乙酸、氯化石蜡、甲烷氯化物、增塑剂等行业近期濒临成本线，已有部分企业停车或外采降量。河北冀衡本周恢复生产，供应逐渐正常;目前河北地区甘氨酸下游开工提升，氯</w:t>
      </w:r>
      <w:r w:rsidRPr="00361916">
        <w:rPr>
          <w:rFonts w:ascii="仿宋" w:eastAsia="仿宋" w:hAnsi="仿宋" w:cs="仿宋"/>
          <w:sz w:val="28"/>
          <w:szCs w:val="28"/>
        </w:rPr>
        <w:lastRenderedPageBreak/>
        <w:t>化石蜡行业需求较为低迷，其他类型耗氯企业需求面表现一般。山西地区本周持稳，走货较差。</w:t>
      </w:r>
    </w:p>
    <w:p w:rsidR="00581D0F" w:rsidRDefault="00890D02">
      <w:pPr>
        <w:widowControl/>
        <w:spacing w:line="239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</w:p>
    <w:p w:rsidR="00361916" w:rsidRPr="00361916" w:rsidRDefault="00890D02" w:rsidP="00361916">
      <w:pPr>
        <w:pStyle w:val="a8"/>
        <w:spacing w:line="360" w:lineRule="auto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r w:rsidRPr="006D0085">
        <w:rPr>
          <w:rFonts w:ascii="仿宋" w:eastAsia="仿宋" w:hAnsi="仿宋" w:cs="仿宋"/>
          <w:sz w:val="28"/>
          <w:szCs w:val="28"/>
        </w:rPr>
        <w:t> </w:t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361916" w:rsidRPr="00361916">
        <w:rPr>
          <w:rFonts w:ascii="仿宋" w:eastAsia="仿宋" w:hAnsi="仿宋" w:cs="仿宋"/>
          <w:sz w:val="28"/>
          <w:szCs w:val="28"/>
        </w:rPr>
        <w:t>下周预计山东地区液氯供应恢复，价格走跌，整体市场成交水平下滑，目前下游盈利成为制约液氯出货的主要因素;华东地区下周安徽广信恢复开车，对当地需求有一定的支撑，整体液氯发货情况预计持续转好为主。预测下周山东地区液氯槽车出货价格维持在650-800元/吨之间波动，南方液氯市场在500-750元/吨之间波动，涨跌幅在50-100元/吨之间。</w:t>
      </w:r>
    </w:p>
    <w:p w:rsidR="00581D0F" w:rsidRDefault="00890D02" w:rsidP="00361916">
      <w:pPr>
        <w:pStyle w:val="a8"/>
        <w:spacing w:line="360" w:lineRule="auto"/>
        <w:ind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DA05D3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3619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619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100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36191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100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100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7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36191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36191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36191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Pr="00151371" w:rsidRDefault="00361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1916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191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916" w:rsidRDefault="00361916" w:rsidP="00361916">
            <w:pPr>
              <w:jc w:val="center"/>
            </w:pP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025F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2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916" w:rsidRDefault="0036191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581D0F" w:rsidRDefault="00581D0F">
      <w:pPr>
        <w:spacing w:line="400" w:lineRule="exact"/>
        <w:rPr>
          <w:rFonts w:cs="Times New Roman"/>
        </w:rPr>
      </w:pPr>
    </w:p>
    <w:p w:rsidR="00581D0F" w:rsidRDefault="00581D0F">
      <w:pPr>
        <w:spacing w:line="400" w:lineRule="exact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6E" w:rsidRDefault="00183B6E" w:rsidP="00581D0F">
      <w:r>
        <w:separator/>
      </w:r>
    </w:p>
  </w:endnote>
  <w:endnote w:type="continuationSeparator" w:id="1">
    <w:p w:rsidR="00183B6E" w:rsidRDefault="00183B6E" w:rsidP="005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A33147">
    <w:pPr>
      <w:pStyle w:val="a5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100773">
      <w:rPr>
        <w:b/>
        <w:bCs/>
        <w:noProof/>
      </w:rPr>
      <w:t>12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100773">
      <w:rPr>
        <w:b/>
        <w:bCs/>
        <w:noProof/>
      </w:rPr>
      <w:t>12</w:t>
    </w:r>
    <w:r>
      <w:rPr>
        <w:b/>
        <w:bCs/>
      </w:rPr>
      <w:fldChar w:fldCharType="end"/>
    </w:r>
  </w:p>
  <w:p w:rsidR="00581D0F" w:rsidRDefault="00581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6E" w:rsidRDefault="00183B6E" w:rsidP="00581D0F">
      <w:r>
        <w:separator/>
      </w:r>
    </w:p>
  </w:footnote>
  <w:footnote w:type="continuationSeparator" w:id="1">
    <w:p w:rsidR="00183B6E" w:rsidRDefault="00183B6E" w:rsidP="0058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A33147">
    <w:pPr>
      <w:pStyle w:val="a6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>
    <w:pPr>
      <w:pStyle w:val="a6"/>
      <w:pBdr>
        <w:bottom w:val="none" w:sz="0" w:space="0" w:color="auto"/>
      </w:pBdr>
    </w:pPr>
  </w:p>
  <w:p w:rsidR="00581D0F" w:rsidRDefault="00581D0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80C42"/>
    <w:rsid w:val="001825CB"/>
    <w:rsid w:val="00183B6E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0744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1531"/>
    <w:rsid w:val="003A331B"/>
    <w:rsid w:val="003B061D"/>
    <w:rsid w:val="003B15E0"/>
    <w:rsid w:val="003B58B8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6B32"/>
    <w:rsid w:val="006E0A38"/>
    <w:rsid w:val="006E0B28"/>
    <w:rsid w:val="006E6D87"/>
    <w:rsid w:val="006E7CAC"/>
    <w:rsid w:val="006F134F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Chars="200"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5565F111-4FA1-466F-9054-FAEF458EF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777</Words>
  <Characters>4432</Characters>
  <Application>Microsoft Office Word</Application>
  <DocSecurity>0</DocSecurity>
  <Lines>36</Lines>
  <Paragraphs>10</Paragraphs>
  <ScaleCrop>false</ScaleCrop>
  <Company>china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507</cp:revision>
  <dcterms:created xsi:type="dcterms:W3CDTF">2018-07-12T05:18:00Z</dcterms:created>
  <dcterms:modified xsi:type="dcterms:W3CDTF">2020-09-04T07:11:00Z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