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-911860</wp:posOffset>
            </wp:positionH>
            <wp:positionV relativeFrom="paragraph">
              <wp:posOffset>-923925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9.24</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四、2020年7月份进出口统计数据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7</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7</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7</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962"/>
        <w:gridCol w:w="1147"/>
        <w:gridCol w:w="5262"/>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日期</w:t>
            </w:r>
          </w:p>
        </w:tc>
        <w:tc>
          <w:tcPr>
            <w:tcW w:w="962"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纽交所</w:t>
            </w:r>
          </w:p>
        </w:tc>
        <w:tc>
          <w:tcPr>
            <w:tcW w:w="114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伦交所</w:t>
            </w:r>
          </w:p>
        </w:tc>
        <w:tc>
          <w:tcPr>
            <w:tcW w:w="5262"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2020/9/17</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40.97</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43.3</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上涨。受到萨莉飓风早些时候登陆墨西哥湾沿岸影响，墨西哥湾区的石油产量进一步下降。石油输出国组织及其盟友(OPEC+)在联合部长级监督委员会(JMMC)会议上强调承诺完全遵守承诺的减产承诺，令油价得到支撑。</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2020/9/18</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41.11</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43.15</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sz w:val="21"/>
                <w:szCs w:val="21"/>
              </w:rPr>
            </w:pPr>
            <w:r>
              <w:rPr>
                <w:rFonts w:hint="eastAsia" w:ascii="宋体" w:hAnsi="宋体" w:eastAsia="宋体" w:cs="宋体"/>
                <w:color w:val="333335"/>
                <w:kern w:val="2"/>
                <w:sz w:val="28"/>
                <w:szCs w:val="28"/>
                <w:shd w:val="clear" w:color="auto" w:fill="FFFFFF"/>
              </w:rPr>
              <w:t>原油期货价格涨跌不一。欧佩克及其盟国举行了部长级联合监测委员会会议，决定延长前几个月未能充分限产的国家进行补偿性减产的时间，对油价有一定提振作用。</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2020/9/21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39.31</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41.44</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原油期货价格下跌。因新增病例增加引发了人们对全球需求的担忧，且利比亚可能恢复生产加剧了人们对供应过剩的担忧,令油价承压。</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2020/9/22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39.6</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41.72</w:t>
            </w:r>
          </w:p>
        </w:tc>
        <w:tc>
          <w:tcPr>
            <w:tcW w:w="5262"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原油期货价格上涨。普遍估计美国原油库存继续下降，国际油价适度反弹，然而利比亚将增产，需求前景不确定，油价涨幅受限。</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2020/9/23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39.93</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41.77</w:t>
            </w:r>
          </w:p>
        </w:tc>
        <w:tc>
          <w:tcPr>
            <w:tcW w:w="5262"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上涨。尽管EIA报告称上周原油库存增加,但影响原油市场的更大因素是冠状病毒疫情,以及对疫情促使第二轮封锁措施的担忧。飓风劳拉和热带风暴贝塔导致部分原油产能关停，无法从库存报告判断出油市真正的供需状况。</w:t>
            </w:r>
          </w:p>
        </w:tc>
      </w:tr>
    </w:tbl>
    <w:p>
      <w:pPr>
        <w:rPr>
          <w:rFonts w:hint="eastAsia"/>
        </w:rPr>
      </w:pPr>
    </w:p>
    <w:p>
      <w:pPr>
        <w:pStyle w:val="3"/>
        <w:spacing w:before="120" w:after="120" w:line="240" w:lineRule="auto"/>
        <w:rPr>
          <w:rFonts w:ascii="宋体" w:hAnsi="宋体"/>
          <w:b/>
          <w:sz w:val="30"/>
          <w:szCs w:val="30"/>
        </w:rPr>
      </w:pPr>
      <w:bookmarkStart w:id="2" w:name="_Toc13265"/>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747385" cy="4862195"/>
            <wp:effectExtent l="0" t="0" r="5715" b="146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747385" cy="4862195"/>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5122738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能源信息署(EIA)周三(9月16日)公布报告显示，截至9月11日当周美国除却战略储备的商业原油库存降幅超出预期，但不及此前API降幅。精炼油库存超预期，汽油库存降幅略低于预期。具体数据显示，美国截至9月11日当周EIA原油库存变动实际公布减少438.90万桶，预期增加145.3万桶，前值增加203.3万桶。此外，美国截至9月11日当周EIA汽油库存实际公布减少38.10万桶，预期减少105.9万桶，前值减少295.4万桶;美国截至9月11日当周EIA精炼油库存实际公布增加346.10万桶，预期减少22.8万桶，前值减少167.5万桶。美国石油协会(API)公布的数据显示，美国截至9月11日当周API原油库存意外减少951.7万桶，预期增加204.9万桶;汽油库存增加376.2万桶;精炼油库存减少112.3万桶。</w:t>
      </w:r>
    </w:p>
    <w:p>
      <w:pPr>
        <w:pStyle w:val="23"/>
        <w:spacing w:line="360" w:lineRule="auto"/>
        <w:ind w:firstLine="560" w:firstLineChars="200"/>
        <w:rPr>
          <w:rFonts w:ascii="华文仿宋" w:hAnsi="华文仿宋" w:eastAsia="华文仿宋"/>
          <w:sz w:val="28"/>
          <w:szCs w:val="28"/>
        </w:rPr>
      </w:pPr>
    </w:p>
    <w:p>
      <w:pPr>
        <w:pStyle w:val="23"/>
        <w:spacing w:line="360" w:lineRule="auto"/>
        <w:ind w:firstLine="562" w:firstLineChars="200"/>
        <w:outlineLvl w:val="1"/>
        <w:rPr>
          <w:rFonts w:hint="eastAsia" w:ascii="黑体" w:eastAsia="黑体"/>
          <w:b/>
          <w:sz w:val="28"/>
          <w:szCs w:val="28"/>
        </w:rPr>
      </w:pPr>
      <w:bookmarkStart w:id="6" w:name="_Toc51227382"/>
      <w:r>
        <w:rPr>
          <w:rFonts w:hint="eastAsia" w:ascii="黑体" w:eastAsia="黑体"/>
          <w:b/>
          <w:sz w:val="28"/>
          <w:szCs w:val="28"/>
        </w:rPr>
        <w:t>2.美国经济形势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24日凌晨，美股周三收跌，科技股跌幅领先。纳指跌逾3%，标普500指数接近跌入回调区域。新一轮经济刺激计划仍陷僵局，鲍威尔等多位联储官员警告经济复苏风险，呼吁出台财政刺激措施。分析师称美国经济复苏已经放缓。</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道指跌525.05点，或1.92%，报26763.13点;纳指跌330.65点，或3.02%，报10632.99点;标普500指数跌78.65点，或2.37%，报3236.92点。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对比近期高位3588.11点，标普500指数已下跌近10%，接近跌入回调区域。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道指成份股耐克(NKE)逆市大涨8.8%，此前这家运动服装生产商宣布业绩远超市场预期，原因是网络销售额的增长抵消了实体店客流量的持续疲软。</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线上个人造型服务公司Stitch Fix(SFIX)股价收跌15.5%，该公司宣布季度亏损额超出预期。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斯拉(TSLA)跌逾10%。周二晚间举行的首届“电池日”活动令人失望，CEO马斯克宣布了将电池成本降低一半、以在2023年之前生产价格为2.5万美元的廉价电动轿车的最新远期目标，但华尔街人士更期待的是该公司的近期进展。</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周二晚间美国众议院民主党人与共和党人通过了权宜性拨款法案，向美国联邦政府提供运行资金至12月11日，以使政府在重新启动有争议的农业援助谈判后继续运营。预计参议院也将通过该法案。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临时支出法案在众议院获得通过，基本上解除美国政府停摆的风险，投资者的担忧情绪得到一定程度的缓和。</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但鉴于新一轮经济刺激计划还充满不确定性，而美联储又难以出台新的刺激措施，目前市场的基调依然比较悲观。</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鲍威尔与姆努钦再次发表国会证词</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美联储主席鲍威尔和美国财政部长姆努钦周三再次在美国国会发表证词。鲍威尔表示，“主体街贷款计划”的接受程度是“适度的”，但若经济表现“比我们预期的糟糕”，该计划将承担更重的负担。</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鲍威尔称，让人们感到安全带来的经济回报非常高。经济取得了重大进展，但仍有很多工作要做。</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鲍威尔为美联储购买二级市场企业债券辩护，他称美联储公司债券购买量已降至每天2000万美元。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周三面对美国国会议员有关央行行动是在帮助普通美国人还是帮市场的质疑。“我们的行动绝不是旨在减轻华尔街的痛苦，”鲍威尔周三在众议院冠状病毒危机委员会的听证会上表示，“我们基本上已经做了所有我们能想到的事情。”他补充说：“我们正在寻求做更多事情。”</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为美联储的大众贷款计划进行辩护，称该计划起步缓慢，并且中小型企业很少采用。鲍威尔在回答委员会的提问表示，“目前的贷款计划无法用于更小额的贷款。我们必须启动一个对纳税人保护少得多的新计划。”</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和财政部长姆努钦周二在众议院金融服务委员会上发表证词，要求采取进一步财政刺激措施。鲍威尔强调了美联储放贷能力的局限性，特别是考虑到各家公司参与央行“主街借贷计划”的意愿不强，迄今为止，小型企业获得的贷款占该计划贷款能力的比例不足1%。</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鲍威尔表示：“许多借款人和整体经济都将受益于这些计划。但是对于其他人来说，可能难以偿还的贷款并非解决之道。在这种情况下，可能需要直接的财政支持。”</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关于财政支持措施，姆努钦昨日表示，他将支持重新授权“薪资保护计划”下的措施，即向那些维持运营并保持大多数工人就业岗位的企业提供可免除贷款。</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但任何资金的重新分配都需要国会批准。而随着总统大选的临近，国会两党尚未就新一轮抗疫纾困财政刺激计划的组成部分达成共识，这一因素仍然难以捉摸。</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五位美联储官员警告经济复苏风险 齐声呼吁推出财政刺激措施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多位美联储官员周三仍强调了财政刺激对经济复苏的重要性。</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在两党围绕新刺激法案谈判陷入僵局之际，美联储主席鲍威尔继续在国会听证会上呼吁提供财政支持，称更多刺激措施对经济复苏可能是必要的。</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其他美联储官员的呼声比鲍威尔还要响亮，克利夫兰联储行长梅斯特表示，鉴于经济正在努力爬出“深洞”，提供刺激措施非常有必要。</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芝加哥联储行长埃文斯对预期中的纾困措施可能不会到来表示忧虑。波士顿联储行长罗森格伦暗示，如果出现新一波感染，必须迅速采取行动，很可能等不到明年。</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罗森格伦在周三演讲中表示：“复苏道路上最困难的部分还没到来”。 对于未来15个月内将有多少美国人能重返工作岗位，他比同僚们更悲观。</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这位波士顿联储行长对商业房地产受到的“干扰”迹象特别关注。他说，该行业在疫情爆发前就不乏险情，如今疫情对酒店、购物中心等行业的影响令商业房地产遭遇冲击。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美联储副主席克拉里达在接受采访时也强调，到目前为止，复苏的速度比几个月前官员的预期要强，但前进的道路将是艰难的，重申财政支持会对经济有所帮助。</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他说：“美国经济正在强劲复苏，但我们仍处于一个深洞中。从长远来看，美国需要重新走上可持续的财政道路，但你不会想在经济遭遇90年来最严重的滑坡时这样做。”</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美联储官员于9月16日公布了新的经济预测，对2020年第四季度的失业率中值预测从8月预期的8.4%降至7.6%，预计2021年底失业率为5.5%。</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美国冠状病毒死亡病例超20万 欧洲多国将采取限制措施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全球冠状病毒疫情仍受关注。欧洲的疫情形势严峻。因为新增确诊病例激增，西班牙请求出动军队、法国限制公众集会、英国或将再次“封锁”6个月。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疫情方面，截至当地时间9月22日，美国的冠状病毒死亡病例已经突破20万例，距离突破19万关口时仅过了13天。美国总统特朗普都首次承认20万的死亡人数是个“耻辱”，但紧接着老调重弹：“若非我们应对得当，很可能会死250万人”。</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9月初的一项最新统计数据显示，全美大学校园的学生、教职员工中，已确诊新冠病毒超过4万例。近日，来自北卡罗来纳大学格林斯伯勒分校、印第安纳大学、华盛顿大学和戴维森学院的研究人员预测，由于学校重新开放，每天可能会新增1000至5000例病例，最佳估计值大约为每天3219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卫生部22日数据显示，英国全国累计确诊新冠病例达403551例，过去24小时新增4926例;累计死亡病例41825例。当天，英国首相约翰逊宣布，由于近日疫情大幅反弹，为了阻止疫情再次暴发，英国将收紧防疫限制措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最新的措施包括：酒吧和餐馆晚上10点之前必须关门，零售、室内餐饮、出租车等行业从业人员必须戴口罩，婚礼、葬礼等活动设定参加人数上限，学校继续关闭，呼吁民众尽可能在家工作等等。</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特朗普9月22日表示，同样是应对冠状病毒疫情，英国重新采取了进一步的封锁措施，美国则不会采取任何措施——理由是“我们知道该如何应对。”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特朗普称：“英国又开始封锁了，他们刚刚宣布又要封锁。我们可不会这么做。我们了解这种疾病，知道如何应对。”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疫情爆发以来，特朗普多次重申美国不会实行封锁措施，称那样做弊大于利。虽然美国各州州长有权限制商业和聚集活动，但特朗普一直呼吁州长们解除对居民的限制，重新开放经济。</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分析师：经济复苏速度已经放缓</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Pantheon Macroeconomics首席经济学家Ian Shepherdson表示：“零售销售、工业生产、汽车销售以及就业人数的初步复苏态势的确大致呈V形。但很明显的是，复苏速度已经放缓，只有零售销售完成了V型复苏。这还要感谢失业救济金的增加——高峰时超过3000万人每周额外得到了600美元的联邦失业救济金。”</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他补充说，房地产行业是唯一仍在持续V形复苏的经济领域，周二的经济报告显示，二手房销售数字跃升至2006年8月以来的最高水平。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他补充说：“9月份和第4季度不容乐观，因为华盛顿将重点放在国会两党关于最高法院大法官继任者的斗争上，因此新一轮财政刺激方案在总统大选之前出台的可能性越来越低。”</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其他分析师也大多持类似观点。他们强调指出，造成9月份股市下跌的原因是多种因素同时出现，其中包括增长放缓。</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摩根大通跨资产基本策略负责人John Normand在一份报告中表示：“即使只是巧合，9月也已成为大多数投资者对全球经济和市场普遍持保留态度的月份。其中包括全球增长的初步下滑、美国和欧洲的政治风险上升、冠状病毒疫情的第二波爆发。唯一缺少的环节是国际贸易关系的恶化以及可能出现的制裁行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焦点个股</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劳埃德银行、巴克莱、汇丰控股等在美上市英国银行股盘前普涨。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Yamana Gold、哈莫尼黄金、金罗斯黄金、金田、巴里克黄金等黄金股下挫。</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耐克大涨，该公司宣布2021年第一财季营收与净利润均好于市场预期。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特斯拉大幅下跌，该公司CEO马斯克表示，将大幅削减电池成本，不过全面投产或需三年时间。</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强生将公布冠状病毒疫苗最终临床测试阶段的计划。</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AC Immune SA暴跌。公司发布公告，称旗下阿尔茨海默病药物试验失败。</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辉瑞的儿科癌症药物Xalkori新药申请获美国食品药品监督管理局批准。</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摩根大通拟将在英国脱欧调整中把2300亿美元的资产转移至德国。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Craig-Hallum将西部数据目标价从44美元上调至62美元。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周三欧洲股市收盘主要指数普遍上涨，德国DAX指数涨0.33%，报12636.35点;英国富时100指数涨1.21%，报5899.91点;法国CAC40指数涨0.62%，报4802.26点;意大利富时指数涨0.11%，报18915.50点;欧洲斯托克50指数涨0.50%，报3179.95点。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原油期货价格周三收高。数据显示美国原油库存连续第二周下滑，但美国WTI原油期货未能站上40美元关口。欧洲重新采取封锁措施以遏制冠状病毒疫情，使投资者担忧原油需求前景疲软。</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与此同时，受飓风造成交通中断、风暴带来洪水、产量下降以及需求强劲等因素综合影响，天然气期货价格飙升近16%。</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美国能源信息署(EIA)周三报告称，截止9月18日当周美国原油库存连续第二周上涨，增幅为160万桶。</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此前接受标普全球普氏能源资讯调查的分析师预计该数字将减少400万桶。但昨日美国石油协会(API)报告称，上周原油库存增加69.1万桶。</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FXTM高级研究分析师Lukman Otunuga表示：“尽管库存数据仍然很重要，但影响原油市场的更大因素是冠状病毒疫情以及对疫情促使第二轮封锁措施的担忧。原油期货受到需求侧因素和全球经济状况的重大影响。”</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纽约商品交易所11月交割的西德州中质原油(WTI)期货价格上涨13美分，涨幅0.3%，收于每桶39.93美元。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10月交割的天然气期货价格上涨近16%，收于2.125美元/百万英国热量单位。</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伦敦洲际交易所11月布伦特原油期货价格上涨5美分，涨幅0.1%，收于每桶41.77美元。</w:t>
      </w:r>
    </w:p>
    <w:p>
      <w:pPr>
        <w:pStyle w:val="23"/>
        <w:spacing w:line="360" w:lineRule="auto"/>
        <w:ind w:firstLine="560" w:firstLineChars="200"/>
        <w:rPr>
          <w:rFonts w:ascii="华文仿宋" w:hAnsi="华文仿宋" w:eastAsia="华文仿宋" w:cs="华文仿宋"/>
          <w:color w:val="333335"/>
          <w:kern w:val="2"/>
          <w:sz w:val="28"/>
          <w:szCs w:val="28"/>
          <w:shd w:val="clear" w:color="auto" w:fill="FFFFFF"/>
        </w:rPr>
      </w:pPr>
    </w:p>
    <w:p>
      <w:pPr>
        <w:pStyle w:val="23"/>
        <w:rPr>
          <w:rFonts w:hint="eastAsia" w:ascii="华文仿宋" w:hAnsi="华文仿宋" w:eastAsia="华文仿宋" w:cs="华文仿宋"/>
          <w:color w:val="333335"/>
          <w:kern w:val="2"/>
          <w:sz w:val="28"/>
          <w:szCs w:val="28"/>
          <w:shd w:val="clear" w:color="auto" w:fill="FFFFFF"/>
        </w:rPr>
      </w:pPr>
    </w:p>
    <w:p>
      <w:pPr>
        <w:pStyle w:val="23"/>
        <w:ind w:firstLine="643" w:firstLineChars="200"/>
        <w:outlineLvl w:val="1"/>
        <w:rPr>
          <w:rFonts w:hint="eastAsia" w:cs="Arial"/>
          <w:b/>
          <w:bCs/>
          <w:sz w:val="32"/>
          <w:szCs w:val="32"/>
        </w:rPr>
      </w:pPr>
      <w:bookmarkStart w:id="7" w:name="_Toc51227383"/>
      <w:r>
        <w:rPr>
          <w:rFonts w:hint="eastAsia" w:cs="Arial"/>
          <w:b/>
          <w:bCs/>
          <w:sz w:val="32"/>
          <w:szCs w:val="32"/>
        </w:rPr>
        <w:t>3.世界经济形势</w:t>
      </w:r>
      <w:bookmarkEnd w:id="7"/>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合国贸易和发展会议(贸发会议)9月22日发布的《2020贸易和发展报告》提出，在新冠肺炎疫情仍未得到完全控制的背景下，世界经济面临深度衰退，实现V型复苏的概率不大。世界需要一个全球复苏计划，使得最脆弱的国家也能恢复到比疫情前更佳的状态。</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今年全球经济料将收缩4.3%</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报告预计今年全球经济将收缩4.3%，比危机前预测值下跌了大约6.8个百分点。据此计算，到今年年底，全球产出将减少超过6万亿美元(按当前美元计算)。</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据估算，G20国家的疫情救助资金总额已经高达13万亿美元。各国政府采取的临时救助方案缓解了跌势，尽管各国的情况不均衡，但随着封锁措施的缓和，经济将出现反弹。由于财政刺激力度比上一次危机后更大，以及东亚经济的表现好于预期，世界经济衰退可能不会像今年早些时候预测的那样严重。</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显示，几乎所有国家的国内经济活动都严重萎缩，国际经济也是如此。今年全球贸易规模预计将缩水五分之一，外国直接投资可能下降40%。报告预计，产出绝对降幅最大的将是发达国家，一些国家今年将出现两位数的下降。但是，发展中国家将承受最大的经济和社会创伤，因为商品和旅游业是其外汇的主要来源，同时财政空间因债务高企而被挤压。在发展中国家中，将有9000万至1.2亿人处于极端贫困状态。其中，拉美地区可能会受到特别严重的打击，今年产出料将下降7.6%，拉美地区一些较大的经济体，特别是阿根廷和墨西哥的产量急剧下降，可能达到两位数，加勒比地区的小经济体也遭受前所未有的经济重创。相比之下，东亚地区仍将保持正增长，中国的增长预期为1.3%。</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“关于V型复苏的预测很容易误导人。这样的复苏需要明年全球两位数的增长，而这是不可能的。”贸发会议全球化和发展战略司司长理查德·科祖尔-赖特说。</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根据报告，即使实现5%的增长率，与2019年的预期相比，仍然会有12万亿美元的收入减少。不过，如果没有其他冲击或收缩因素出现，明年全球经济增长4%左右应该是可能的。</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报告还预计，即使2021年经济活动继续反弹，发达国家政府继续采取目前的财政和货币组合措施，就业也不会完全恢复，许多国家仍将陷入债务困境，收入差距将扩大。</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复苏关键是解决疫情前既有问题</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称，世界经济复苏的关键是解决好新冠肺炎疫情之前就已存在的一系列问题，包括增长极度不均衡、难以持续的债务水平、低迷的投资、发达国家增长停滞的工资水平，以及发展中国家就业机会不足。这些问题在疫情冲击之前就已经威胁到全球经济的健康运行。</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表明，疫情之前已趋于紧张的地缘政治局势尚未缓解，如贸易争端、关键技术之争、移民压力和环境危机等。在有效的国际支持和协调下，大力推动公共投资，可以在未来十年内将全球增长率提高一倍，同时应该改善债务可持续性，并使收入分配更加公平。</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财政紧缩和企业成本削减只会导致全球业已存在的问题更加恶化。”理查德·科祖尔-赖特表示，国际贸易和投资的新规则，以及知识产权和关键技术所有者的新特权，都将进一步压缩发展中国家实现可持续增长所需的政策空间。如果沿着这条路走下去，明年的复苏就会化为泡影，2022年许多国家将陷入衰退。</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称，回到疫情前的紧缩政策将使2030年之前世界经济年增长率降低1个百分点，并使全球失业率增加2个百分点。在全球范围内，劳动收入份额也将减少3个百分点以上。这意味着，到2030年，将有总计约40万亿美元的工人收入转移到利润获得者手中。</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许多发展中国家迫切需要增加卫生开支，以应对病毒的传播，但却面临税收下降、出口收入大幅减少和未偿债务问题，这些国家未来18个月的融资需求将出现2万亿至3万亿美元的缺口。与此同时，国际社会在暂停偿债和提供新的信贷机制方面采取的措施虽然方向正确，但在解决其融资问题方面却是杯水车薪，而美联储提供的货币互换计划也只是局部的。融资缺口会使发展中国家陷入恶性循环，并使得国际社会无法就全面债务减免达成一致，难以迅速提供适当水平的紧急流动性，以及发达经济体不愿意将私人债权人纳入主权债务谈判。</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全球复苏计划须“大胆又全面”</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联合国贸发会议秘书长穆希萨·基图伊表示：“当前，建设一个更好的世界需要一些明智的举措。”</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基于从全球金融危机中吸取的教训，报告认为，无论在各国国内还是国际层面，都必须齐头并进推动复苏和改革。如果不进行认真的改革，经济不仅规模会比以前小，而且将更加脆弱、更加不均衡、更加缺乏创新。</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告称，全球复苏计划必须既大胆又全面，扩张性宏观经济政策应围绕以创造就业和提高工资为重点设计，并辅之以在清洁能源、环境保护、可持续交通系统和护理经济等领域的大规模公共投资。包容和持续的复苏只有在一种条件下可以实现，即发达国家的政府不仅要保持财政支出规模直至本国私营部门恢复消费信心，而且还要向发展中国家提供财政支持，帮助其解决阻碍复苏和增长前景的根本问题。如果没有彻底的政策转变和国际层面的有效协调，回归紧缩政策将在决策思路中占据上风，因为衡量政策效果的标准可能是股市走强、工资成本降低以及财政审慎。</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果要使财政政策成为转型发展以及稳定宏观经济的有效工具，还需要配套的产业政策。为此，报告指明了多边体系现在可以采取的行动，以支持更好地经济复苏，包括扩大使用特别提款权以提高全球流动性，完成多哈发展议程谈判以恢复对国际贸易体制的信心等。</w:t>
      </w:r>
    </w:p>
    <w:p>
      <w:pPr>
        <w:pStyle w:val="23"/>
        <w:spacing w:line="360" w:lineRule="auto"/>
        <w:ind w:firstLine="560" w:firstLineChars="200"/>
        <w:rPr>
          <w:rFonts w:hint="eastAsia" w:ascii="宋体" w:hAnsi="宋体" w:eastAsia="宋体" w:cs="宋体"/>
          <w:sz w:val="28"/>
          <w:szCs w:val="28"/>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rPr>
          <w:rFonts w:hint="eastAsia" w:asciiTheme="minorEastAsia" w:hAnsiTheme="minorEastAsia" w:eastAsiaTheme="minorEastAsia" w:cstheme="minorEastAsia"/>
          <w:sz w:val="28"/>
          <w:szCs w:val="28"/>
        </w:rPr>
      </w:pP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39.31-41.11美元/桶。布伦特原油价格在41.11-43.3美元/桶震荡。周内国际油价偏弱震荡。因全球新冠肺炎病例激增，对燃料需求的担忧限制油价的上行空间。基本面利好因素：1.美国国家飓风中心表示，热带风暴贝塔位于德克萨斯州马塔哥达西南25英里(35公里);最大持续风速为每小时45英里(75公里)。“贝塔”正在近德克萨斯州中部的海岸，热带风暴级的阵风带来的雨带向德州中部和北部沿海地区的海岸蔓延。2.交易商将密切关注美国石油协会(API)稍晚将公布的美国石油库存数据。知名外媒初步调查显示，上周美国原油和汽油库存可能下降，而包括柴油在内的馏分油库存料上升。根据芝加哥商品交易所集团(CME Group)的原油期货市场最新数据，周一交易员减持未平仓合约跃3.25万份，结束上周五增势。另一方面，成交量增长逾9.3万份合约，结束两连降。基本面利空因素：1.供应方面的担忧也依然存在。随着控制利比亚东部地区的军事指挥官结束对港口的封锁，预计利比亚将把石油日产量提高近两倍，至30万桶。“利比亚石油出口的恢复将迫使欧佩克采取行动，通过在其他地方减产来抵消额外的供应，”Lambrecht写道。毕竟，欧佩克重新平衡市场的目标可能会因人们担心的石油需求下降而受到损害。到目前为止，石油市场似乎确信，这个组织愿意并有能力采取行动。”高盛称，到12月底利比亚原油产量将增至每日55万桶。高盛分析师认为，由于利比亚港口存有大量原油库存，该国可以迅速恢复出口。2.虽然周二的反弹提振了石油多头，但供求前景的不确定性可能会在短期内抑制市场。为阻止新冠肺炎病例激增，英国出台了新的禁闭限制措施，要求酒吧提前关门，违规者将面临高额罚款。其他欧洲国家已经采取了有限的措施来抑制新感染病例的增加。据Worldometers实时统计数据显示，截至北京时间9月23日02时32分，全球新冠病毒确诊病例达3166万例，新增190761例至31668128例，死亡病例达97万例，新增3420例至972434例。其中美国新冠病毒确诊病例达706万例，新增14129例至7060345例;死亡病例达20万例，新增423例至204925例。全球确诊病例超过10万例的国家增至37个，摩洛哥成为最新一个超过10万例的国家。此外，荷兰和阿曼的确诊病例也已经超过9万。</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预测下周WTI油价将触及38-42美元/桶，布油在之后几个月触及40-44美元/桶。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0"/>
        </w:numPr>
        <w:spacing w:line="360" w:lineRule="auto"/>
        <w:jc w:val="both"/>
        <w:rPr>
          <w:rFonts w:hint="eastAsia" w:ascii="黑体" w:eastAsia="黑体"/>
          <w:b/>
          <w:sz w:val="28"/>
          <w:szCs w:val="28"/>
          <w:lang w:eastAsia="zh-CN"/>
        </w:rPr>
      </w:pPr>
    </w:p>
    <w:p>
      <w:pPr>
        <w:pStyle w:val="3"/>
        <w:spacing w:before="120" w:after="120" w:line="240" w:lineRule="auto"/>
        <w:rPr>
          <w:rFonts w:hint="eastAsia" w:ascii="宋体" w:hAnsi="宋体"/>
          <w:b/>
          <w:sz w:val="30"/>
          <w:szCs w:val="30"/>
          <w:highlight w:val="none"/>
        </w:rPr>
      </w:pPr>
      <w:bookmarkStart w:id="8" w:name="_Toc1606"/>
      <w:r>
        <w:rPr>
          <w:rFonts w:hint="eastAsia" w:ascii="宋体" w:hAnsi="宋体"/>
          <w:b/>
          <w:sz w:val="30"/>
          <w:szCs w:val="30"/>
          <w:highlight w:val="none"/>
        </w:rPr>
        <w:t>2.2国际市场MTBE价格</w:t>
      </w:r>
      <w:bookmarkEnd w:id="8"/>
    </w:p>
    <w:tbl>
      <w:tblPr>
        <w:tblStyle w:val="24"/>
        <w:tblpPr w:leftFromText="180" w:rightFromText="180" w:vertAnchor="text" w:horzAnchor="page" w:tblpX="1326" w:tblpY="202"/>
        <w:tblOverlap w:val="never"/>
        <w:tblW w:w="8178" w:type="dxa"/>
        <w:tblInd w:w="0" w:type="dxa"/>
        <w:shd w:val="clear" w:color="auto" w:fill="auto"/>
        <w:tblLayout w:type="autofit"/>
        <w:tblCellMar>
          <w:top w:w="0" w:type="dxa"/>
          <w:left w:w="0" w:type="dxa"/>
          <w:bottom w:w="0" w:type="dxa"/>
          <w:right w:w="0" w:type="dxa"/>
        </w:tblCellMar>
      </w:tblPr>
      <w:tblGrid>
        <w:gridCol w:w="1544"/>
        <w:gridCol w:w="2358"/>
        <w:gridCol w:w="2206"/>
        <w:gridCol w:w="2070"/>
      </w:tblGrid>
      <w:tr>
        <w:tblPrEx>
          <w:shd w:val="clear" w:color="auto" w:fill="auto"/>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358"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2206"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207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9月23日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417.00 </w:t>
            </w:r>
          </w:p>
        </w:tc>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432.75 </w:t>
            </w:r>
          </w:p>
        </w:tc>
      </w:tr>
      <w:tr>
        <w:tblPrEx>
          <w:tblCellMar>
            <w:top w:w="0" w:type="dxa"/>
            <w:left w:w="0" w:type="dxa"/>
            <w:bottom w:w="0" w:type="dxa"/>
            <w:right w:w="0" w:type="dxa"/>
          </w:tblCellMar>
        </w:tblPrEx>
        <w:trPr>
          <w:trHeight w:val="463" w:hRule="atLeast"/>
        </w:trPr>
        <w:tc>
          <w:tcPr>
            <w:tcW w:w="154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9月22日</w:t>
            </w:r>
          </w:p>
        </w:tc>
        <w:tc>
          <w:tcPr>
            <w:tcW w:w="23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428.00 </w:t>
            </w:r>
          </w:p>
        </w:tc>
        <w:tc>
          <w:tcPr>
            <w:tcW w:w="22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125.72 </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429.00 </w:t>
            </w:r>
          </w:p>
        </w:tc>
      </w:tr>
      <w:tr>
        <w:tblPrEx>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9月21日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438.00 </w:t>
            </w:r>
          </w:p>
        </w:tc>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427.00 </w:t>
            </w:r>
          </w:p>
        </w:tc>
      </w:tr>
      <w:tr>
        <w:tblPrEx>
          <w:tblCellMar>
            <w:top w:w="0" w:type="dxa"/>
            <w:left w:w="0" w:type="dxa"/>
            <w:bottom w:w="0" w:type="dxa"/>
            <w:right w:w="0" w:type="dxa"/>
          </w:tblCellMar>
        </w:tblPrEx>
        <w:trPr>
          <w:trHeight w:val="463"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9月18日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451.00 </w:t>
            </w:r>
          </w:p>
        </w:tc>
        <w:tc>
          <w:tcPr>
            <w:tcW w:w="2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132.95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462.00 </w:t>
            </w:r>
          </w:p>
        </w:tc>
      </w:tr>
      <w:tr>
        <w:tblPrEx>
          <w:tblCellMar>
            <w:top w:w="0" w:type="dxa"/>
            <w:left w:w="0" w:type="dxa"/>
            <w:bottom w:w="0" w:type="dxa"/>
            <w:right w:w="0" w:type="dxa"/>
          </w:tblCellMar>
        </w:tblPrEx>
        <w:trPr>
          <w:trHeight w:val="484" w:hRule="atLeast"/>
        </w:trPr>
        <w:tc>
          <w:tcPr>
            <w:tcW w:w="15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9月17日</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422.00 </w:t>
            </w:r>
          </w:p>
        </w:tc>
        <w:tc>
          <w:tcPr>
            <w:tcW w:w="220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138.63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452.25 </w:t>
            </w:r>
          </w:p>
        </w:tc>
      </w:tr>
    </w:tbl>
    <w:p/>
    <w:p>
      <w:pPr>
        <w:pStyle w:val="2"/>
        <w:spacing w:before="120" w:after="0" w:line="240" w:lineRule="auto"/>
        <w:rPr>
          <w:rFonts w:hint="eastAsia"/>
        </w:rPr>
      </w:pPr>
    </w:p>
    <w:p>
      <w:pPr>
        <w:pStyle w:val="2"/>
        <w:numPr>
          <w:ilvl w:val="0"/>
          <w:numId w:val="2"/>
        </w:numPr>
        <w:spacing w:before="120" w:after="0" w:line="240" w:lineRule="auto"/>
        <w:rPr>
          <w:rFonts w:hint="eastAsia"/>
          <w:b/>
        </w:rPr>
      </w:pPr>
      <w:bookmarkStart w:id="9" w:name="_Toc23075"/>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w:t>
            </w:r>
            <w:r>
              <w:rPr>
                <w:rFonts w:hint="eastAsia" w:ascii="宋体" w:hAnsi="宋体" w:cs="宋体"/>
                <w:i w:val="0"/>
                <w:color w:val="000000"/>
                <w:kern w:val="0"/>
                <w:sz w:val="21"/>
                <w:szCs w:val="21"/>
                <w:u w:val="none"/>
                <w:lang w:val="en-US" w:eastAsia="zh-CN" w:bidi="ar"/>
              </w:rPr>
              <w:t>炼</w:t>
            </w:r>
            <w:r>
              <w:rPr>
                <w:rFonts w:hint="eastAsia" w:ascii="宋体" w:hAnsi="宋体" w:eastAsia="宋体" w:cs="宋体"/>
                <w:i w:val="0"/>
                <w:color w:val="000000"/>
                <w:kern w:val="0"/>
                <w:sz w:val="21"/>
                <w:szCs w:val="21"/>
                <w:u w:val="none"/>
                <w:lang w:val="en-US" w:eastAsia="zh-CN" w:bidi="ar"/>
              </w:rPr>
              <w:t>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w:t>
            </w:r>
            <w:r>
              <w:rPr>
                <w:rFonts w:hint="eastAsia" w:ascii="宋体" w:hAnsi="宋体" w:cs="宋体"/>
                <w:i w:val="0"/>
                <w:color w:val="000000"/>
                <w:kern w:val="0"/>
                <w:sz w:val="21"/>
                <w:szCs w:val="21"/>
                <w:u w:val="none"/>
                <w:lang w:val="en-US" w:eastAsia="zh-CN" w:bidi="ar"/>
              </w:rPr>
              <w:t>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云南</w:t>
            </w:r>
            <w:r>
              <w:rPr>
                <w:rFonts w:hint="eastAsia" w:ascii="宋体" w:hAnsi="宋体" w:eastAsia="宋体" w:cs="宋体"/>
                <w:i w:val="0"/>
                <w:color w:val="000000"/>
                <w:kern w:val="0"/>
                <w:sz w:val="21"/>
                <w:szCs w:val="21"/>
                <w:u w:val="none"/>
                <w:lang w:val="en-US" w:eastAsia="zh-CN" w:bidi="ar"/>
              </w:rPr>
              <w:t>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w:t>
            </w:r>
            <w:r>
              <w:rPr>
                <w:rFonts w:hint="eastAsia" w:ascii="宋体" w:hAnsi="宋体" w:cs="宋体"/>
                <w:i w:val="0"/>
                <w:color w:val="000000"/>
                <w:kern w:val="0"/>
                <w:sz w:val="21"/>
                <w:szCs w:val="21"/>
                <w:u w:val="none"/>
                <w:lang w:val="en-US" w:eastAsia="zh-CN" w:bidi="ar"/>
              </w:rPr>
              <w:t>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计划2020年10月</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国际原油期货震荡上行，据测算，第四个工作日参考原油变化率为2.96%。受此影响，国内成品油市场购销氛围尚可，各地主营单位汽柴油销售执行优惠政策。与此同时，山东地炼成品油行情则跌跌不休，区内炼厂纷纷降价促销，其主流成交保持100元/吨左右优惠。具体来看出货方面：虽然外盘油价上涨对油市略有提振，但由于现阶段终端消费能力提升不足，导致社会单位库存消化缓慢。另外随着国庆长假临近，炼厂人士对节日期间出货不抱期望，故近日各生产企业多以节前排库为目的频频降价，从而吸引多数下游业者入市采购，因此地炼整体出货表现尚可，平均产销比在100%以上。</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(9月18日-9月24日)，华中地区市场难寻利好助推，主营汽柴油行情趋弱运行，具体分析如下：周内国际原油期价维持震荡走势，零售价于上周五兑现较大幅度下调，不过新一轮变化率维持正向区间发展，消息面指向不稳。与此同时，周边地炼为维持产销平衡，汽柴油价格持续下探，低价资源对华中市场造成一定冲击。主营方面迫于销售压力汽柴价格多降价促销，或暗中加大成交优惠。不过仍有部分单位客存压力较大，偶有挂牌价格报涨操作，不过即提订单均存较大商谈空间。下游用户对后市信心不足，入市意向难有提振，市场成交难寻大单。后市来看，短期内原油或维持窄幅波动走势，本轮变化率仍存上调预期，消息面指向偏好。中秋国庆假期临近，市场仍存一定备货需求。各主营根据自身销售情况灵活调整销售政策。</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(9月17日-9月24日)，华南地区汽柴油市场整体波动有限，主营单位窄幅调整，成交清淡。具体来看，上一轮成品油下调政策落实后，广东地区汽柴油市场跟跌有限，多提前消化跌幅，特别是周初市场维持逆市推涨走势，主营市场涨价意愿明显，但伴随着原油价格大幅回落市场涨价承压，部分市场迫于出货压力，价格面理性回调，终端市场需求方面并无明显转好，市场按需定进操作为主，整体购销气氛清淡。福建地区汽柴油市场多维持高位下滑走势，成交价格同步走跌，需求面维持清淡局面，主营单位平稳出货，交投面走势疲软，传统旺季行情并不明显。新一轮成品油调价窗口呈现上涨预期，不过受原油震荡下滑拖累，涨幅不断缩窄，且本轮正处双节假期期间，调价周期较长，最终结果充满不确定，临近月末，部分市场销售完成情况尚可，市场稳价待市心态明显，整体行情维持窄幅盘整。</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本周(9月18日-9月24日)，消息面支撑受限，华北区内汽柴继续下行 周初宽幅下调预期落实，区内主营单位报价承压回落，市场报价稳中下行100-200元/吨不等，山东中石油、河北主营挂牌回落，主营单位侧重走量，实际成交重心整体下行，河北中石油柴油限时底价促销，新一轮调价预期显示上涨预期，受假期提振影响下游补货意向增加，低价资源出货进度向好。周内原油走势上涨动力不足，原油变化率正向收窄，高价市场报价继续补跌为主，市场观望气氛不减，下游节前大单囤货意向降低，而商家继续低价走量为主，实际成交一单一价，市场购销气氛转淡。后市而言，原油市场消息面暂无有力支撑，市场忧虑情绪不减，投资者多转向安全资产，因而推高美元，进一步增大油价压力，本轮调价正向预期存继续回调可能，另外本轮调价周期横跨国内国庆假期，最终调价结果仍存变数。区内市场来看，因消息面缺乏支撑，周边市场山东地炼油价维持低温，下游节前大幅补货意向降低，阶段性补货接近尾声，主营单位月内销售进度多数不及预期，预计下周销售政策继续走量，销售政策根据自身销售进度灵活调整。</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(9月18日-9月24日)，华东地区成品油行情稳中下滑，市场整体成交偏淡为主。具体来看，周内国际油价震荡小涨，消息面利好因素支撑不足，市场忧虑情绪为主，区内各主营纷纷下调汽柴油价格，下调幅度在50-300元/吨不等，个别地区柴油实际成交价格已至4600元/吨，市场信心难有提振，与此同时，山东地炼汽柴油均价大幅下滑，与主营之间实际成交价格收窄，主营盈利空间不断缩小，目前各主营柴油已售未提量仍保持高位，各单位为完成当月销售与降库任务，优惠幅度不断加大，但汽柴油终端消耗与需求缓慢提升，加之下游贸易商入市补货谨慎观望为主，成交多以散户小单为主，故市场整体购销氛围清淡不已。后期来看，国际原油或弱势小涨，消息面或存有部分支撑。区内成品油价格或保持挺价机制，小幅试探性上涨，且临近月底加逢“十一”黄金假期，个别贸易商进场逢低补货，市场整体成交或有所改善。</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(9月18日-9月24日)，西南地区汽柴行情延续跌势，市场成交维持平淡。分析来看：上周五国内成品油零售价兑现较大跌幅，进入本周，多数地区主营报价随势下调，且优惠力度亦有所增加。新一轮变化率正向区间运行，下调利空暂消，加之，部分业者“双节”之前逢低补货，局部地区成交略有好转，当个别主营单位价格再度推涨。不过，新一轮调价预期虽显示上调，但因横跨国庆假期周期较长，后市行情仍存变数。此外，部分地区仍受降水影响，下游需求恢复缓慢，业者适量补货之后再度退市观望，市场成交难以持续向好。就后市而言，国际原油或维持震荡小涨趋势，变化率维持正向区间运行，上调预期对市场仍有支撑。临近月末，主营根据自身情况调整销售策略，预计短线西南地区汽柴行情窄幅整理为主。节后，部分业者或适量补货，但十月份销售周期缩短，主营单位仍赶量为先，整体行情仍缺乏上行动力。</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后市前瞻：进入下周，国际原油期价将保持小范围的震荡。以WTI为例，主流运行区间在39-43(均值41)美元/桶之间，环比上涨0.78美元/桶或1.94%。在消息面利好作用下，山东地区成品油行情稳中上行，区内炼厂或趁机推价，建议中下游商家根据自身出货及库存情况适当备货，采购量应以节日期间消化为主。综上所述，预计山东地炼汽柴油价格稳中上涨，涨幅在100元/吨附近。</w:t>
      </w:r>
    </w:p>
    <w:p>
      <w:pPr>
        <w:pStyle w:val="23"/>
        <w:spacing w:line="360" w:lineRule="auto"/>
        <w:rPr>
          <w:rFonts w:hint="default" w:asciiTheme="minorEastAsia" w:hAnsiTheme="minorEastAsia" w:eastAsiaTheme="minorEastAsia" w:cstheme="minorEastAsia"/>
          <w:color w:val="333335"/>
          <w:kern w:val="2"/>
          <w:sz w:val="28"/>
          <w:szCs w:val="28"/>
          <w:shd w:val="clear" w:color="auto" w:fill="FFFFFF"/>
        </w:rPr>
      </w:pPr>
      <w:bookmarkStart w:id="22" w:name="_GoBack"/>
      <w:bookmarkEnd w:id="22"/>
    </w:p>
    <w:p>
      <w:pPr>
        <w:pStyle w:val="3"/>
        <w:spacing w:before="120" w:after="120" w:line="240" w:lineRule="auto"/>
        <w:rPr>
          <w:rFonts w:ascii="宋体" w:hAnsi="宋体"/>
          <w:b/>
          <w:sz w:val="30"/>
          <w:szCs w:val="30"/>
        </w:rPr>
      </w:pPr>
      <w:bookmarkStart w:id="12" w:name="_Toc17420"/>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1153"/>
        <w:gridCol w:w="872"/>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企业性质</w:t>
            </w:r>
          </w:p>
        </w:tc>
        <w:tc>
          <w:tcPr>
            <w:tcW w:w="115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产品名称</w:t>
            </w:r>
          </w:p>
        </w:tc>
        <w:tc>
          <w:tcPr>
            <w:tcW w:w="87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2020/9/24</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2020/9/17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5938</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6238</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bl>
    <w:p>
      <w:pPr>
        <w:rPr>
          <w:rFonts w:hint="eastAsia"/>
        </w:rPr>
      </w:pPr>
    </w:p>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1078"/>
        <w:gridCol w:w="662"/>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企业性质</w:t>
            </w:r>
          </w:p>
        </w:tc>
        <w:tc>
          <w:tcPr>
            <w:tcW w:w="1078"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产品名称</w:t>
            </w:r>
          </w:p>
        </w:tc>
        <w:tc>
          <w:tcPr>
            <w:tcW w:w="66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2020/9/24</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2020/9/17</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5068</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bl>
    <w:p>
      <w:pPr>
        <w:pStyle w:val="3"/>
        <w:spacing w:before="120" w:after="120" w:line="240" w:lineRule="auto"/>
        <w:rPr>
          <w:rFonts w:hint="eastAsia" w:ascii="宋体" w:hAnsi="宋体"/>
          <w:b/>
          <w:sz w:val="30"/>
          <w:szCs w:val="3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p>
      <w:pPr>
        <w:rPr>
          <w:rFonts w:hint="eastAsia"/>
          <w:bCs/>
          <w:szCs w:val="21"/>
          <w:lang w:val="en-US" w:eastAsia="zh-CN"/>
        </w:rPr>
      </w:pPr>
    </w:p>
    <w:tbl>
      <w:tblPr>
        <w:tblStyle w:val="24"/>
        <w:tblW w:w="9705" w:type="dxa"/>
        <w:tblInd w:w="0" w:type="dxa"/>
        <w:shd w:val="clear" w:color="auto" w:fill="auto"/>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2020/9/24</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2020/9/17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5" w:name="_Toc1901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p>
      <w:pPr>
        <w:pStyle w:val="3"/>
        <w:spacing w:before="120" w:after="120" w:line="240" w:lineRule="auto"/>
        <w:rPr>
          <w:rFonts w:hint="eastAsia" w:ascii="宋体" w:hAnsi="宋体"/>
          <w:b/>
          <w:sz w:val="10"/>
          <w:szCs w:val="10"/>
          <w:lang w:val="en-US" w:eastAsia="zh-CN"/>
        </w:rPr>
      </w:pPr>
    </w:p>
    <w:tbl>
      <w:tblPr>
        <w:tblStyle w:val="24"/>
        <w:tblW w:w="9300" w:type="dxa"/>
        <w:tblInd w:w="0" w:type="dxa"/>
        <w:shd w:val="clear" w:color="auto" w:fill="auto"/>
        <w:tblLayout w:type="autofit"/>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2020/9/24</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2020/9/17</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10784"/>
      <w:r>
        <w:rPr>
          <w:rFonts w:hint="eastAsia" w:ascii="宋体" w:hAnsi="宋体"/>
          <w:b/>
          <w:sz w:val="30"/>
          <w:szCs w:val="30"/>
          <w:lang w:val="en-US" w:eastAsia="zh-CN"/>
        </w:rPr>
        <w:t>四、2020年7月份进出口统计数据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420" w:type="dxa"/>
        <w:tblInd w:w="0" w:type="dxa"/>
        <w:shd w:val="clear" w:color="auto" w:fill="auto"/>
        <w:tblLayout w:type="autofit"/>
        <w:tblCellMar>
          <w:top w:w="0" w:type="dxa"/>
          <w:left w:w="0" w:type="dxa"/>
          <w:bottom w:w="0" w:type="dxa"/>
          <w:right w:w="0" w:type="dxa"/>
        </w:tblCellMar>
      </w:tblPr>
      <w:tblGrid>
        <w:gridCol w:w="2595"/>
        <w:gridCol w:w="2190"/>
        <w:gridCol w:w="2370"/>
        <w:gridCol w:w="2265"/>
      </w:tblGrid>
      <w:tr>
        <w:tblPrEx>
          <w:shd w:val="clear" w:color="auto" w:fill="auto"/>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出口目的地</w:t>
            </w:r>
          </w:p>
        </w:tc>
        <w:tc>
          <w:tcPr>
            <w:tcW w:w="2190"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数量（吨）</w:t>
            </w:r>
          </w:p>
        </w:tc>
        <w:tc>
          <w:tcPr>
            <w:tcW w:w="2370"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出口金额（元）</w:t>
            </w:r>
          </w:p>
        </w:tc>
        <w:tc>
          <w:tcPr>
            <w:tcW w:w="2265"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出口均价（元/吨）</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缅甸</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6878.506</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17435735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2534.81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印度</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71926.937</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174227116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2422.28</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日本</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105003.774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262569473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2500.57</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中国澳门</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7864.414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16957644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2156.25</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马来西亚</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105781.677</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241786087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2285.71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蒙古</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3690.424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10390048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2815.41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菲律宾</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201867.8</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499716311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2475.46</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新加坡</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559363.602</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1251619569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2237.58</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泰国</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11872.06</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31052902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2615.63</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8"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9"/>
    </w:p>
    <w:p>
      <w:pPr>
        <w:pStyle w:val="3"/>
        <w:spacing w:before="120" w:after="120" w:line="240" w:lineRule="auto"/>
        <w:rPr>
          <w:rFonts w:hint="eastAsia" w:ascii="宋体" w:hAnsi="宋体"/>
          <w:b/>
          <w:sz w:val="30"/>
          <w:szCs w:val="30"/>
        </w:rPr>
      </w:pPr>
      <w:bookmarkStart w:id="20" w:name="_Toc31298"/>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053" w:type="pct"/>
        <w:tblInd w:w="0" w:type="dxa"/>
        <w:tblLayout w:type="fixed"/>
        <w:tblCellMar>
          <w:top w:w="0" w:type="dxa"/>
          <w:left w:w="108" w:type="dxa"/>
          <w:bottom w:w="0" w:type="dxa"/>
          <w:right w:w="108" w:type="dxa"/>
        </w:tblCellMar>
      </w:tblPr>
      <w:tblGrid>
        <w:gridCol w:w="1665"/>
        <w:gridCol w:w="1980"/>
        <w:gridCol w:w="1980"/>
        <w:gridCol w:w="1545"/>
        <w:gridCol w:w="2789"/>
      </w:tblGrid>
      <w:tr>
        <w:tblPrEx>
          <w:tblCellMar>
            <w:top w:w="0" w:type="dxa"/>
            <w:left w:w="108" w:type="dxa"/>
            <w:bottom w:w="0" w:type="dxa"/>
            <w:right w:w="108" w:type="dxa"/>
          </w:tblCellMar>
        </w:tblPrEx>
        <w:trPr>
          <w:trHeight w:val="1230" w:hRule="atLeast"/>
        </w:trPr>
        <w:tc>
          <w:tcPr>
            <w:tcW w:w="8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产销国</w:t>
            </w:r>
          </w:p>
        </w:tc>
        <w:tc>
          <w:tcPr>
            <w:tcW w:w="99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进口数量/吨</w:t>
            </w:r>
          </w:p>
        </w:tc>
        <w:tc>
          <w:tcPr>
            <w:tcW w:w="99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进口金额/美元</w:t>
            </w:r>
          </w:p>
        </w:tc>
        <w:tc>
          <w:tcPr>
            <w:tcW w:w="77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出口数量/吨</w:t>
            </w:r>
          </w:p>
        </w:tc>
        <w:tc>
          <w:tcPr>
            <w:tcW w:w="1400"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出口金额/美元</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阿联酋</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3534699.70 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1029590153.00 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阿曼</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3441612.52 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922576676.00 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安哥拉</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3602084.01 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1047634040.00 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澳大利亚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339272.32 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90896718.00 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巴西</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4594977.86 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1256047368.00 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赤道几内亚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318086.80 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111885537.00 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俄罗斯联邦</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7381559.93 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2170635046.00 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厄瓜多尔</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506676.67 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127952294.00 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菲律宾</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28772.22 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7983475.00 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刚果(布)</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1155411.13 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334699162.00 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哥伦比亚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1372205.59 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335119639.00 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哈萨克斯坦</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98935.60 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25098838.00 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加拿大</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968039.52 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225328377.00 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加纳</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524514.71 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172549236.00 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加蓬</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788002.67 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252035789.00 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喀麦隆</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133741.10 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38236488.00 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卡塔尔</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560007.02 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164980343.00 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科威特</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2161530.93 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580754648.00 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利比亚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115956.90 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35588191.00 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马来西亚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387791.66 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96742387.00 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29366.15 </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8098560.00 </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美国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3665838.11 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1036797134.00 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蒙古</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61070.55 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13233075.00 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南苏丹共和国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422278.31 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131782540.00 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尼日利亚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1096632.97 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298412041.00 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挪威</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1267005.59 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376245748.00 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沙特阿拉伯</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5359704.71 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1429314337.00 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泰国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38247.92 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8163330.00 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伊拉克</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5788136.36 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1545813264.00 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伊朗</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498026.00 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133924675.00 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印度尼西亚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81061.00 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20345940.00 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58396.80 </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19250000.00 </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英国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614918.15 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193766389.00 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越南</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252067.66 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84890244.00 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39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乍得</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131812.00 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42328598.00 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47"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日本</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87962.55 </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28996092.00 </w:t>
            </w:r>
          </w:p>
        </w:tc>
      </w:tr>
      <w:tr>
        <w:tblPrEx>
          <w:tblCellMar>
            <w:top w:w="0" w:type="dxa"/>
            <w:left w:w="108" w:type="dxa"/>
            <w:bottom w:w="0" w:type="dxa"/>
            <w:right w:w="108" w:type="dxa"/>
          </w:tblCellMar>
        </w:tblPrEx>
        <w:trPr>
          <w:trHeight w:val="509"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ind w:firstLine="442" w:firstLineChars="200"/>
              <w:jc w:val="both"/>
              <w:textAlignment w:val="center"/>
              <w:rPr>
                <w:rFonts w:hint="eastAsia" w:ascii="宋体" w:hAnsi="宋体" w:eastAsia="宋体" w:cs="宋体"/>
                <w:b/>
                <w:i w:val="0"/>
                <w:color w:val="191919"/>
                <w:sz w:val="22"/>
                <w:szCs w:val="22"/>
                <w:u w:val="none"/>
                <w:lang w:eastAsia="zh-CN"/>
              </w:rPr>
            </w:pPr>
            <w:r>
              <w:rPr>
                <w:rFonts w:hint="eastAsia" w:ascii="宋体" w:hAnsi="宋体" w:cs="宋体"/>
                <w:b/>
                <w:i w:val="0"/>
                <w:color w:val="191919"/>
                <w:sz w:val="22"/>
                <w:szCs w:val="22"/>
                <w:u w:val="none"/>
                <w:lang w:eastAsia="zh-CN"/>
              </w:rPr>
              <w:t>合计</w:t>
            </w:r>
          </w:p>
        </w:tc>
        <w:tc>
          <w:tcPr>
            <w:tcW w:w="994" w:type="pct"/>
            <w:tcBorders>
              <w:top w:val="nil"/>
              <w:left w:val="nil"/>
              <w:bottom w:val="single" w:color="333333" w:sz="8" w:space="0"/>
              <w:right w:val="single" w:color="auto" w:sz="4"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51290678.18</w:t>
            </w:r>
          </w:p>
        </w:tc>
        <w:tc>
          <w:tcPr>
            <w:tcW w:w="994" w:type="pct"/>
            <w:tcBorders>
              <w:top w:val="nil"/>
              <w:left w:val="single" w:color="auto" w:sz="4" w:space="0"/>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14341351720.00</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175725.50</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56344652.00</w:t>
            </w:r>
          </w:p>
        </w:tc>
      </w:tr>
    </w:tbl>
    <w:p>
      <w:pPr>
        <w:rPr>
          <w:rFonts w:hint="eastAsia"/>
          <w:bCs/>
          <w:szCs w:val="21"/>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1" w:name="_Toc19589"/>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月份全国航空煤油进出口统计数据</w:t>
      </w:r>
      <w:bookmarkEnd w:id="21"/>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p>
    <w:bookmarkEnd w:id="19"/>
    <w:tbl>
      <w:tblPr>
        <w:tblStyle w:val="24"/>
        <w:tblW w:w="9882" w:type="dxa"/>
        <w:tblInd w:w="0" w:type="dxa"/>
        <w:shd w:val="clear" w:color="auto" w:fill="auto"/>
        <w:tblLayout w:type="autofit"/>
        <w:tblCellMar>
          <w:top w:w="0" w:type="dxa"/>
          <w:left w:w="0" w:type="dxa"/>
          <w:bottom w:w="0" w:type="dxa"/>
          <w:right w:w="0" w:type="dxa"/>
        </w:tblCellMar>
      </w:tblPr>
      <w:tblGrid>
        <w:gridCol w:w="1815"/>
        <w:gridCol w:w="1860"/>
        <w:gridCol w:w="1977"/>
        <w:gridCol w:w="1995"/>
        <w:gridCol w:w="2235"/>
      </w:tblGrid>
      <w:tr>
        <w:tblPrEx>
          <w:shd w:val="clear" w:color="auto" w:fill="auto"/>
          <w:tblCellMar>
            <w:top w:w="0" w:type="dxa"/>
            <w:left w:w="0" w:type="dxa"/>
            <w:bottom w:w="0" w:type="dxa"/>
            <w:right w:w="0" w:type="dxa"/>
          </w:tblCellMar>
        </w:tblPrEx>
        <w:trPr>
          <w:trHeight w:val="475" w:hRule="atLeast"/>
        </w:trPr>
        <w:tc>
          <w:tcPr>
            <w:tcW w:w="181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86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977"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99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223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37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11839.565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2599954</w:t>
            </w:r>
          </w:p>
        </w:tc>
      </w:tr>
      <w:tr>
        <w:tblPrEx>
          <w:tblCellMar>
            <w:top w:w="0" w:type="dxa"/>
            <w:left w:w="0" w:type="dxa"/>
            <w:bottom w:w="0" w:type="dxa"/>
            <w:right w:w="0" w:type="dxa"/>
          </w:tblCellMar>
        </w:tblPrEx>
        <w:trPr>
          <w:trHeight w:val="34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4158.278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1443177</w:t>
            </w:r>
          </w:p>
        </w:tc>
      </w:tr>
      <w:tr>
        <w:tblPrEx>
          <w:tblCellMar>
            <w:top w:w="0" w:type="dxa"/>
            <w:left w:w="0" w:type="dxa"/>
            <w:bottom w:w="0" w:type="dxa"/>
            <w:right w:w="0" w:type="dxa"/>
          </w:tblCellMar>
        </w:tblPrEx>
        <w:trPr>
          <w:trHeight w:val="30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5098.282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1760685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爱沙尼亚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62.909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22647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486.634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162239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1464.434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501554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251.88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88997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白俄罗斯</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57.255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20612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4866.411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1702847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冰岛</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432.476</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156928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波兰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129.955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44924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1538.338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519329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7037.551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2439994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5218.828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1773579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14584.498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4669248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芬兰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3931.403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806410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923.41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329001</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59038.714</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17248248</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5797.959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1986147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4862.002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1638833</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加拿大</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35606.15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6855385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97.789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37476</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3888.617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1342572</w:t>
            </w:r>
          </w:p>
        </w:tc>
      </w:tr>
      <w:tr>
        <w:tblPrEx>
          <w:tblCellMar>
            <w:top w:w="0" w:type="dxa"/>
            <w:left w:w="0" w:type="dxa"/>
            <w:bottom w:w="0" w:type="dxa"/>
            <w:right w:w="0" w:type="dxa"/>
          </w:tblCellMar>
        </w:tblPrEx>
        <w:trPr>
          <w:trHeight w:val="30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科威特</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106.029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38474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肯尼亚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76.488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27754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拉脱维亚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98.982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35633</w:t>
            </w:r>
          </w:p>
        </w:tc>
      </w:tr>
      <w:tr>
        <w:tblPrEx>
          <w:tblCellMar>
            <w:top w:w="0" w:type="dxa"/>
            <w:left w:w="0" w:type="dxa"/>
            <w:bottom w:w="0" w:type="dxa"/>
            <w:right w:w="0" w:type="dxa"/>
          </w:tblCellMar>
        </w:tblPrEx>
        <w:trPr>
          <w:trHeight w:val="28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立陶宛</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50.411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18148</w:t>
            </w:r>
          </w:p>
        </w:tc>
      </w:tr>
      <w:tr>
        <w:tblPrEx>
          <w:tblCellMar>
            <w:top w:w="0" w:type="dxa"/>
            <w:left w:w="0" w:type="dxa"/>
            <w:bottom w:w="0" w:type="dxa"/>
            <w:right w:w="0" w:type="dxa"/>
          </w:tblCellMar>
        </w:tblPrEx>
        <w:trPr>
          <w:trHeight w:val="30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19742.303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7297678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100612.927</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35435714</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598.988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206191</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美国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24564.724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8403988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14.984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5105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10.727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3892</w:t>
            </w:r>
          </w:p>
        </w:tc>
      </w:tr>
      <w:tr>
        <w:tblPrEx>
          <w:tblCellMar>
            <w:top w:w="0" w:type="dxa"/>
            <w:left w:w="0" w:type="dxa"/>
            <w:bottom w:w="0" w:type="dxa"/>
            <w:right w:w="0" w:type="dxa"/>
          </w:tblCellMar>
        </w:tblPrEx>
        <w:trPr>
          <w:trHeight w:val="52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尼泊尔联邦民主共和国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29.208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9654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葡萄牙</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63.262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22955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12769.973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3414740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瑞典</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544.394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184925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瑞士</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2511.893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836375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沙特阿拉伯</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35.826</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13000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5454.956</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1020233</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斯洛伐克</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17.211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6196</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1144.754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390579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2347.529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803392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文莱</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774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乌克兰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58.45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21209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833.62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290812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西班牙</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676.074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228609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83636.334</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29227365</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2430.585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826235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新西兰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1197.583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410999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d</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661.647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226740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以色列</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2305.492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786134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意大利</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497.955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177839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33.217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10365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66.498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20932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40305.562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11856642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27079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8669557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7112.709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3661734</w:t>
            </w:r>
          </w:p>
        </w:tc>
      </w:tr>
      <w:tr>
        <w:tblPrEx>
          <w:tblCellMar>
            <w:top w:w="0" w:type="dxa"/>
            <w:left w:w="0" w:type="dxa"/>
            <w:bottom w:w="0" w:type="dxa"/>
            <w:right w:w="0" w:type="dxa"/>
          </w:tblCellMar>
        </w:tblPrEx>
        <w:trPr>
          <w:trHeight w:val="28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833.029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284515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50335.375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12213577</w:t>
            </w:r>
          </w:p>
        </w:tc>
      </w:tr>
      <w:tr>
        <w:tblPrEx>
          <w:tblCellMar>
            <w:top w:w="0" w:type="dxa"/>
            <w:left w:w="0" w:type="dxa"/>
            <w:bottom w:w="0" w:type="dxa"/>
            <w:right w:w="0" w:type="dxa"/>
          </w:tblCellMar>
        </w:tblPrEx>
        <w:trPr>
          <w:trHeight w:val="315" w:hRule="atLeast"/>
        </w:trPr>
        <w:tc>
          <w:tcPr>
            <w:tcW w:w="1815" w:type="dxa"/>
            <w:tcBorders>
              <w:top w:val="single" w:color="333333" w:sz="8" w:space="0"/>
              <w:left w:val="single" w:color="333333" w:sz="8" w:space="0"/>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合计</w:t>
            </w:r>
          </w:p>
        </w:tc>
        <w:tc>
          <w:tcPr>
            <w:tcW w:w="186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243287.975</w:t>
            </w:r>
          </w:p>
        </w:tc>
        <w:tc>
          <w:tcPr>
            <w:tcW w:w="1977"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81911327</w:t>
            </w:r>
          </w:p>
        </w:tc>
        <w:tc>
          <w:tcPr>
            <w:tcW w:w="199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316946.273</w:t>
            </w:r>
          </w:p>
        </w:tc>
        <w:tc>
          <w:tcPr>
            <w:tcW w:w="223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93328123</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2263F9C1"/>
    <w:multiLevelType w:val="singleLevel"/>
    <w:tmpl w:val="2263F9C1"/>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684ED7"/>
    <w:rsid w:val="048101D3"/>
    <w:rsid w:val="048C7CAA"/>
    <w:rsid w:val="04987F00"/>
    <w:rsid w:val="04A45D71"/>
    <w:rsid w:val="04BF7371"/>
    <w:rsid w:val="04C829A7"/>
    <w:rsid w:val="04E22C17"/>
    <w:rsid w:val="04F36106"/>
    <w:rsid w:val="04F4133B"/>
    <w:rsid w:val="05021B01"/>
    <w:rsid w:val="05292B71"/>
    <w:rsid w:val="052C0D66"/>
    <w:rsid w:val="05314FD7"/>
    <w:rsid w:val="053B1A3D"/>
    <w:rsid w:val="0558720E"/>
    <w:rsid w:val="057F2A2A"/>
    <w:rsid w:val="05894C8A"/>
    <w:rsid w:val="05993019"/>
    <w:rsid w:val="05C01E8E"/>
    <w:rsid w:val="05D708A6"/>
    <w:rsid w:val="06002DF6"/>
    <w:rsid w:val="06153E6E"/>
    <w:rsid w:val="0618444D"/>
    <w:rsid w:val="062A6CB4"/>
    <w:rsid w:val="06300679"/>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9715C"/>
    <w:rsid w:val="080A4814"/>
    <w:rsid w:val="0820276D"/>
    <w:rsid w:val="082F1BCD"/>
    <w:rsid w:val="08573B5A"/>
    <w:rsid w:val="086F6B65"/>
    <w:rsid w:val="08A4401C"/>
    <w:rsid w:val="08A55AD2"/>
    <w:rsid w:val="08CD17C0"/>
    <w:rsid w:val="0918731F"/>
    <w:rsid w:val="09223CDC"/>
    <w:rsid w:val="09371EEF"/>
    <w:rsid w:val="093F6B95"/>
    <w:rsid w:val="09524755"/>
    <w:rsid w:val="095B63CA"/>
    <w:rsid w:val="09701692"/>
    <w:rsid w:val="09717916"/>
    <w:rsid w:val="098251C0"/>
    <w:rsid w:val="0984738F"/>
    <w:rsid w:val="098C4592"/>
    <w:rsid w:val="098C467A"/>
    <w:rsid w:val="09915D75"/>
    <w:rsid w:val="0996332C"/>
    <w:rsid w:val="09BE1AF4"/>
    <w:rsid w:val="09E0028A"/>
    <w:rsid w:val="09F11ACB"/>
    <w:rsid w:val="09FB6243"/>
    <w:rsid w:val="0A06506B"/>
    <w:rsid w:val="0A0A6618"/>
    <w:rsid w:val="0A29795D"/>
    <w:rsid w:val="0A2D68BE"/>
    <w:rsid w:val="0A3C22BA"/>
    <w:rsid w:val="0A3D34F3"/>
    <w:rsid w:val="0A557C07"/>
    <w:rsid w:val="0A5B4AF5"/>
    <w:rsid w:val="0A75433E"/>
    <w:rsid w:val="0A796F7C"/>
    <w:rsid w:val="0A7B7455"/>
    <w:rsid w:val="0AA33DAF"/>
    <w:rsid w:val="0AB608CB"/>
    <w:rsid w:val="0AC60296"/>
    <w:rsid w:val="0AD32487"/>
    <w:rsid w:val="0AE31AD5"/>
    <w:rsid w:val="0B017D09"/>
    <w:rsid w:val="0B0715B1"/>
    <w:rsid w:val="0B0F0B26"/>
    <w:rsid w:val="0B400CB2"/>
    <w:rsid w:val="0B421176"/>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B81916"/>
    <w:rsid w:val="0CD123E3"/>
    <w:rsid w:val="0CE32FB8"/>
    <w:rsid w:val="0CE44838"/>
    <w:rsid w:val="0D206C21"/>
    <w:rsid w:val="0D731CA1"/>
    <w:rsid w:val="0D775B07"/>
    <w:rsid w:val="0D893BAC"/>
    <w:rsid w:val="0D952410"/>
    <w:rsid w:val="0DA370DA"/>
    <w:rsid w:val="0DA7099A"/>
    <w:rsid w:val="0DB01CE1"/>
    <w:rsid w:val="0DBA1705"/>
    <w:rsid w:val="0DC46B30"/>
    <w:rsid w:val="0DC9706D"/>
    <w:rsid w:val="0DD115AA"/>
    <w:rsid w:val="0DEA06F6"/>
    <w:rsid w:val="0E01030B"/>
    <w:rsid w:val="0E04318C"/>
    <w:rsid w:val="0E274301"/>
    <w:rsid w:val="0E31785B"/>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26373F"/>
    <w:rsid w:val="0F446A41"/>
    <w:rsid w:val="0F5808CC"/>
    <w:rsid w:val="0F666559"/>
    <w:rsid w:val="0F790BDF"/>
    <w:rsid w:val="0F7D42FE"/>
    <w:rsid w:val="0F820E85"/>
    <w:rsid w:val="0F8A41FA"/>
    <w:rsid w:val="0F9B4E2A"/>
    <w:rsid w:val="0FB045CC"/>
    <w:rsid w:val="0FC910AB"/>
    <w:rsid w:val="0FD23F99"/>
    <w:rsid w:val="0FEF79AA"/>
    <w:rsid w:val="101C7D06"/>
    <w:rsid w:val="1024515A"/>
    <w:rsid w:val="1046198D"/>
    <w:rsid w:val="105F3A71"/>
    <w:rsid w:val="106D475B"/>
    <w:rsid w:val="10BA0A0E"/>
    <w:rsid w:val="10CE39DE"/>
    <w:rsid w:val="10FA6B68"/>
    <w:rsid w:val="10FF5E5F"/>
    <w:rsid w:val="11365062"/>
    <w:rsid w:val="11422692"/>
    <w:rsid w:val="11590029"/>
    <w:rsid w:val="117F7F48"/>
    <w:rsid w:val="1265739D"/>
    <w:rsid w:val="12662947"/>
    <w:rsid w:val="12BE2ADE"/>
    <w:rsid w:val="12D8263D"/>
    <w:rsid w:val="130B16E4"/>
    <w:rsid w:val="13267B35"/>
    <w:rsid w:val="134A6D86"/>
    <w:rsid w:val="13594CF7"/>
    <w:rsid w:val="135A728A"/>
    <w:rsid w:val="13772D89"/>
    <w:rsid w:val="138744BB"/>
    <w:rsid w:val="13B45FC3"/>
    <w:rsid w:val="13DB164D"/>
    <w:rsid w:val="13E7373B"/>
    <w:rsid w:val="13FE142E"/>
    <w:rsid w:val="14176463"/>
    <w:rsid w:val="144B6D3F"/>
    <w:rsid w:val="14546EAA"/>
    <w:rsid w:val="147759A4"/>
    <w:rsid w:val="147A75E5"/>
    <w:rsid w:val="149C7CF0"/>
    <w:rsid w:val="14BC21CE"/>
    <w:rsid w:val="14BE2339"/>
    <w:rsid w:val="14D56BF6"/>
    <w:rsid w:val="14F32D76"/>
    <w:rsid w:val="14F5216B"/>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3EF1"/>
    <w:rsid w:val="16116F4B"/>
    <w:rsid w:val="164206BE"/>
    <w:rsid w:val="16600954"/>
    <w:rsid w:val="16734EEE"/>
    <w:rsid w:val="16D82413"/>
    <w:rsid w:val="16E22B33"/>
    <w:rsid w:val="16F85570"/>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CA4E8D"/>
    <w:rsid w:val="18FC46F8"/>
    <w:rsid w:val="191B1724"/>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372CD4"/>
    <w:rsid w:val="1A555BDB"/>
    <w:rsid w:val="1A660755"/>
    <w:rsid w:val="1A703BC4"/>
    <w:rsid w:val="1A7262E8"/>
    <w:rsid w:val="1A882B3D"/>
    <w:rsid w:val="1ABE2D20"/>
    <w:rsid w:val="1ACC4B7F"/>
    <w:rsid w:val="1AD34CD1"/>
    <w:rsid w:val="1AD417D6"/>
    <w:rsid w:val="1AE7665A"/>
    <w:rsid w:val="1B393D9E"/>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C4A0D"/>
    <w:rsid w:val="1D1712A0"/>
    <w:rsid w:val="1D2B7B9F"/>
    <w:rsid w:val="1D305274"/>
    <w:rsid w:val="1D3F5714"/>
    <w:rsid w:val="1D466011"/>
    <w:rsid w:val="1D547E28"/>
    <w:rsid w:val="1D655DB6"/>
    <w:rsid w:val="1D980258"/>
    <w:rsid w:val="1D9C1F14"/>
    <w:rsid w:val="1DB113DA"/>
    <w:rsid w:val="1DFB4E0B"/>
    <w:rsid w:val="1E196DA1"/>
    <w:rsid w:val="1E2278F4"/>
    <w:rsid w:val="1E4062B7"/>
    <w:rsid w:val="1E5542CC"/>
    <w:rsid w:val="1E6D6ABE"/>
    <w:rsid w:val="1E755624"/>
    <w:rsid w:val="1E8C73FA"/>
    <w:rsid w:val="1EAA616E"/>
    <w:rsid w:val="1EB15364"/>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11001E9"/>
    <w:rsid w:val="21147D43"/>
    <w:rsid w:val="2119067D"/>
    <w:rsid w:val="21216F1B"/>
    <w:rsid w:val="215A4604"/>
    <w:rsid w:val="217C7ED4"/>
    <w:rsid w:val="21862B07"/>
    <w:rsid w:val="21973788"/>
    <w:rsid w:val="219A3406"/>
    <w:rsid w:val="21A70D61"/>
    <w:rsid w:val="21B2244C"/>
    <w:rsid w:val="21C30EF9"/>
    <w:rsid w:val="21D956E3"/>
    <w:rsid w:val="21EF7C0A"/>
    <w:rsid w:val="221551D8"/>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945E2"/>
    <w:rsid w:val="24974A9D"/>
    <w:rsid w:val="24990AB6"/>
    <w:rsid w:val="24A21A55"/>
    <w:rsid w:val="24BC74B9"/>
    <w:rsid w:val="24BE33B8"/>
    <w:rsid w:val="250D3E66"/>
    <w:rsid w:val="252754C5"/>
    <w:rsid w:val="252D3F69"/>
    <w:rsid w:val="25585795"/>
    <w:rsid w:val="25740BBD"/>
    <w:rsid w:val="25955E96"/>
    <w:rsid w:val="259B6E31"/>
    <w:rsid w:val="25B677AD"/>
    <w:rsid w:val="25B904A8"/>
    <w:rsid w:val="25FD0304"/>
    <w:rsid w:val="261447E7"/>
    <w:rsid w:val="26162D47"/>
    <w:rsid w:val="26417898"/>
    <w:rsid w:val="26442276"/>
    <w:rsid w:val="26552532"/>
    <w:rsid w:val="26AD0D8B"/>
    <w:rsid w:val="26C17431"/>
    <w:rsid w:val="26C545A4"/>
    <w:rsid w:val="26C94300"/>
    <w:rsid w:val="26DF7D7C"/>
    <w:rsid w:val="26EE1723"/>
    <w:rsid w:val="26F154C7"/>
    <w:rsid w:val="27080E2E"/>
    <w:rsid w:val="270D21C6"/>
    <w:rsid w:val="277F5A23"/>
    <w:rsid w:val="27A7464B"/>
    <w:rsid w:val="28011EB5"/>
    <w:rsid w:val="28092464"/>
    <w:rsid w:val="282C5A3A"/>
    <w:rsid w:val="283F32F7"/>
    <w:rsid w:val="2855423F"/>
    <w:rsid w:val="285E5BE3"/>
    <w:rsid w:val="28611CC2"/>
    <w:rsid w:val="286D2B55"/>
    <w:rsid w:val="28721E59"/>
    <w:rsid w:val="28892109"/>
    <w:rsid w:val="28A325B7"/>
    <w:rsid w:val="28B71571"/>
    <w:rsid w:val="28BA104F"/>
    <w:rsid w:val="28C132F2"/>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B26F1"/>
    <w:rsid w:val="2AB25451"/>
    <w:rsid w:val="2AC063B7"/>
    <w:rsid w:val="2ACB5B48"/>
    <w:rsid w:val="2ACD0874"/>
    <w:rsid w:val="2AD267B8"/>
    <w:rsid w:val="2AD8059C"/>
    <w:rsid w:val="2B0D737C"/>
    <w:rsid w:val="2B0F004D"/>
    <w:rsid w:val="2B154A20"/>
    <w:rsid w:val="2B6638DE"/>
    <w:rsid w:val="2B84406F"/>
    <w:rsid w:val="2B8F58E2"/>
    <w:rsid w:val="2BA07FAD"/>
    <w:rsid w:val="2BE5055C"/>
    <w:rsid w:val="2BED5A7C"/>
    <w:rsid w:val="2BF858F4"/>
    <w:rsid w:val="2BFC6315"/>
    <w:rsid w:val="2BFD5564"/>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664FDE"/>
    <w:rsid w:val="30A00CB5"/>
    <w:rsid w:val="30AF5F22"/>
    <w:rsid w:val="30C14186"/>
    <w:rsid w:val="30D71496"/>
    <w:rsid w:val="30E73B0D"/>
    <w:rsid w:val="30FC61C2"/>
    <w:rsid w:val="30FD55E0"/>
    <w:rsid w:val="310F6F60"/>
    <w:rsid w:val="311333E6"/>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5323C"/>
    <w:rsid w:val="342E5EA7"/>
    <w:rsid w:val="343E0BAC"/>
    <w:rsid w:val="34474FF1"/>
    <w:rsid w:val="344B3651"/>
    <w:rsid w:val="34B63281"/>
    <w:rsid w:val="34C105B0"/>
    <w:rsid w:val="34CA39B2"/>
    <w:rsid w:val="34D564C3"/>
    <w:rsid w:val="34DC79C0"/>
    <w:rsid w:val="34EC4B86"/>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B523AB"/>
    <w:rsid w:val="36C76D40"/>
    <w:rsid w:val="36F44E23"/>
    <w:rsid w:val="371D2966"/>
    <w:rsid w:val="373062E8"/>
    <w:rsid w:val="37785098"/>
    <w:rsid w:val="377E7331"/>
    <w:rsid w:val="37A6234C"/>
    <w:rsid w:val="37AF1535"/>
    <w:rsid w:val="37CA63F2"/>
    <w:rsid w:val="37CB57CA"/>
    <w:rsid w:val="37D337D1"/>
    <w:rsid w:val="37DD56C2"/>
    <w:rsid w:val="37F16302"/>
    <w:rsid w:val="38781C56"/>
    <w:rsid w:val="38C30240"/>
    <w:rsid w:val="38CF65F7"/>
    <w:rsid w:val="38D30895"/>
    <w:rsid w:val="38E95212"/>
    <w:rsid w:val="391C1C7A"/>
    <w:rsid w:val="39465968"/>
    <w:rsid w:val="39600E80"/>
    <w:rsid w:val="399B72BC"/>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691338"/>
    <w:rsid w:val="3BA60160"/>
    <w:rsid w:val="3BB46CD1"/>
    <w:rsid w:val="3BB6128D"/>
    <w:rsid w:val="3BD11411"/>
    <w:rsid w:val="3BD837A5"/>
    <w:rsid w:val="3BED4242"/>
    <w:rsid w:val="3C317DDD"/>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404DD"/>
    <w:rsid w:val="3D6341E4"/>
    <w:rsid w:val="3D6A48AA"/>
    <w:rsid w:val="3D7C1281"/>
    <w:rsid w:val="3D8D1DDC"/>
    <w:rsid w:val="3D995C7E"/>
    <w:rsid w:val="3DD2333F"/>
    <w:rsid w:val="3DEC316F"/>
    <w:rsid w:val="3E000E38"/>
    <w:rsid w:val="3E037731"/>
    <w:rsid w:val="3E0F09D9"/>
    <w:rsid w:val="3E1646C1"/>
    <w:rsid w:val="3E247488"/>
    <w:rsid w:val="3E305EE4"/>
    <w:rsid w:val="3E3D25F5"/>
    <w:rsid w:val="3E4E6762"/>
    <w:rsid w:val="3E70166E"/>
    <w:rsid w:val="3E752011"/>
    <w:rsid w:val="3E8270FA"/>
    <w:rsid w:val="3E8E2505"/>
    <w:rsid w:val="3E9953AC"/>
    <w:rsid w:val="3E9F3605"/>
    <w:rsid w:val="3F0C0C5D"/>
    <w:rsid w:val="3F310E2B"/>
    <w:rsid w:val="3F3E5B85"/>
    <w:rsid w:val="3F4D19AF"/>
    <w:rsid w:val="3F691A99"/>
    <w:rsid w:val="3F837DDF"/>
    <w:rsid w:val="3FA21405"/>
    <w:rsid w:val="3FC04528"/>
    <w:rsid w:val="3FCB012B"/>
    <w:rsid w:val="3FD27B2E"/>
    <w:rsid w:val="3FEE1DE8"/>
    <w:rsid w:val="3FFE5EFF"/>
    <w:rsid w:val="40171145"/>
    <w:rsid w:val="402104DC"/>
    <w:rsid w:val="40662C29"/>
    <w:rsid w:val="40742438"/>
    <w:rsid w:val="40791098"/>
    <w:rsid w:val="40932E75"/>
    <w:rsid w:val="40A70377"/>
    <w:rsid w:val="40BC5D67"/>
    <w:rsid w:val="40D775A2"/>
    <w:rsid w:val="40F61783"/>
    <w:rsid w:val="4100601D"/>
    <w:rsid w:val="410D75D5"/>
    <w:rsid w:val="411E3000"/>
    <w:rsid w:val="41402C24"/>
    <w:rsid w:val="414E7345"/>
    <w:rsid w:val="41696F7F"/>
    <w:rsid w:val="417240B9"/>
    <w:rsid w:val="417C0D06"/>
    <w:rsid w:val="418B25AA"/>
    <w:rsid w:val="418E56CE"/>
    <w:rsid w:val="41925E9B"/>
    <w:rsid w:val="419B1BC4"/>
    <w:rsid w:val="419D7C05"/>
    <w:rsid w:val="41B3371C"/>
    <w:rsid w:val="41B4302C"/>
    <w:rsid w:val="41DA3C01"/>
    <w:rsid w:val="41E3266D"/>
    <w:rsid w:val="41F604FA"/>
    <w:rsid w:val="42013C9E"/>
    <w:rsid w:val="420F24CA"/>
    <w:rsid w:val="421C0994"/>
    <w:rsid w:val="424F02B6"/>
    <w:rsid w:val="42683145"/>
    <w:rsid w:val="427133C0"/>
    <w:rsid w:val="42715180"/>
    <w:rsid w:val="4277762F"/>
    <w:rsid w:val="429D7D7D"/>
    <w:rsid w:val="42B45768"/>
    <w:rsid w:val="42E637C3"/>
    <w:rsid w:val="42FD1410"/>
    <w:rsid w:val="43184FA0"/>
    <w:rsid w:val="431F563A"/>
    <w:rsid w:val="432D0CD2"/>
    <w:rsid w:val="4348259E"/>
    <w:rsid w:val="434C0977"/>
    <w:rsid w:val="434D5EB2"/>
    <w:rsid w:val="43705840"/>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575AD5"/>
    <w:rsid w:val="457E0115"/>
    <w:rsid w:val="459B774E"/>
    <w:rsid w:val="45B72AB1"/>
    <w:rsid w:val="45CF5AD4"/>
    <w:rsid w:val="45DD06D9"/>
    <w:rsid w:val="460D21F2"/>
    <w:rsid w:val="460E0469"/>
    <w:rsid w:val="460E0A15"/>
    <w:rsid w:val="4635298E"/>
    <w:rsid w:val="464050BB"/>
    <w:rsid w:val="466B6702"/>
    <w:rsid w:val="466F037A"/>
    <w:rsid w:val="467737E1"/>
    <w:rsid w:val="46A075FA"/>
    <w:rsid w:val="46A359DC"/>
    <w:rsid w:val="46D7121E"/>
    <w:rsid w:val="46E07671"/>
    <w:rsid w:val="46FF57CE"/>
    <w:rsid w:val="47154F60"/>
    <w:rsid w:val="47700BCB"/>
    <w:rsid w:val="47C254B8"/>
    <w:rsid w:val="47DF082A"/>
    <w:rsid w:val="47EB5003"/>
    <w:rsid w:val="48081128"/>
    <w:rsid w:val="483A31DC"/>
    <w:rsid w:val="484715CC"/>
    <w:rsid w:val="485D616F"/>
    <w:rsid w:val="4873370F"/>
    <w:rsid w:val="48942C25"/>
    <w:rsid w:val="4898666C"/>
    <w:rsid w:val="489B75DE"/>
    <w:rsid w:val="489F44D2"/>
    <w:rsid w:val="48B5305A"/>
    <w:rsid w:val="48B63FE7"/>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3534F"/>
    <w:rsid w:val="4A6C1B50"/>
    <w:rsid w:val="4A7E40F2"/>
    <w:rsid w:val="4A8561F1"/>
    <w:rsid w:val="4A943BC6"/>
    <w:rsid w:val="4AAF17A9"/>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D0817"/>
    <w:rsid w:val="4C5E08E0"/>
    <w:rsid w:val="4CBF4AE9"/>
    <w:rsid w:val="4D0A349B"/>
    <w:rsid w:val="4D0D2E78"/>
    <w:rsid w:val="4D0F04ED"/>
    <w:rsid w:val="4D384A7C"/>
    <w:rsid w:val="4D3A0411"/>
    <w:rsid w:val="4D427C91"/>
    <w:rsid w:val="4D7706F2"/>
    <w:rsid w:val="4DBE12C2"/>
    <w:rsid w:val="4DCE6ED3"/>
    <w:rsid w:val="4E095444"/>
    <w:rsid w:val="4E333BBB"/>
    <w:rsid w:val="4E665F7B"/>
    <w:rsid w:val="4E6A06E9"/>
    <w:rsid w:val="4EC206BE"/>
    <w:rsid w:val="4EC46EFB"/>
    <w:rsid w:val="4EC951FF"/>
    <w:rsid w:val="4ED04B02"/>
    <w:rsid w:val="4EDD6EFA"/>
    <w:rsid w:val="4EE96853"/>
    <w:rsid w:val="4F105F02"/>
    <w:rsid w:val="4F121BEA"/>
    <w:rsid w:val="4F172396"/>
    <w:rsid w:val="4F3F03C1"/>
    <w:rsid w:val="4F4C2971"/>
    <w:rsid w:val="4F566ACF"/>
    <w:rsid w:val="4F704BBC"/>
    <w:rsid w:val="4F8028EE"/>
    <w:rsid w:val="4FAD0DF7"/>
    <w:rsid w:val="4FBC1F04"/>
    <w:rsid w:val="4FBD361C"/>
    <w:rsid w:val="4FBE1CEA"/>
    <w:rsid w:val="4FC15F00"/>
    <w:rsid w:val="4FF17370"/>
    <w:rsid w:val="50371519"/>
    <w:rsid w:val="503D6ACE"/>
    <w:rsid w:val="505A0A75"/>
    <w:rsid w:val="509E2BD3"/>
    <w:rsid w:val="50C04426"/>
    <w:rsid w:val="50C95413"/>
    <w:rsid w:val="50ED0D36"/>
    <w:rsid w:val="510B317F"/>
    <w:rsid w:val="51130AD6"/>
    <w:rsid w:val="51147068"/>
    <w:rsid w:val="511B4097"/>
    <w:rsid w:val="512452DA"/>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15442E"/>
    <w:rsid w:val="533907AA"/>
    <w:rsid w:val="5341530E"/>
    <w:rsid w:val="534326DA"/>
    <w:rsid w:val="53434396"/>
    <w:rsid w:val="534D112E"/>
    <w:rsid w:val="53761C93"/>
    <w:rsid w:val="537B0A8C"/>
    <w:rsid w:val="5393301A"/>
    <w:rsid w:val="53971518"/>
    <w:rsid w:val="5399073D"/>
    <w:rsid w:val="53A84C2D"/>
    <w:rsid w:val="53AB2CD5"/>
    <w:rsid w:val="53AF23D8"/>
    <w:rsid w:val="53B31343"/>
    <w:rsid w:val="53B91D8C"/>
    <w:rsid w:val="53E56E6E"/>
    <w:rsid w:val="53EB2495"/>
    <w:rsid w:val="53F17662"/>
    <w:rsid w:val="54010C17"/>
    <w:rsid w:val="542C2C82"/>
    <w:rsid w:val="543F012A"/>
    <w:rsid w:val="54635F00"/>
    <w:rsid w:val="54661F54"/>
    <w:rsid w:val="546C3F2D"/>
    <w:rsid w:val="547F46DA"/>
    <w:rsid w:val="549F75FE"/>
    <w:rsid w:val="54A51CC5"/>
    <w:rsid w:val="54DD78BD"/>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10A56"/>
    <w:rsid w:val="56FB32FA"/>
    <w:rsid w:val="570703AF"/>
    <w:rsid w:val="572D602C"/>
    <w:rsid w:val="57364D30"/>
    <w:rsid w:val="573D71D1"/>
    <w:rsid w:val="57574216"/>
    <w:rsid w:val="57A21363"/>
    <w:rsid w:val="57A54C20"/>
    <w:rsid w:val="57B937A9"/>
    <w:rsid w:val="57BB4E50"/>
    <w:rsid w:val="57C34B39"/>
    <w:rsid w:val="57DE1F69"/>
    <w:rsid w:val="57E116B4"/>
    <w:rsid w:val="580C0140"/>
    <w:rsid w:val="580F431F"/>
    <w:rsid w:val="587B6F7C"/>
    <w:rsid w:val="58A22BE9"/>
    <w:rsid w:val="58BD6FD7"/>
    <w:rsid w:val="58E44026"/>
    <w:rsid w:val="58E67C57"/>
    <w:rsid w:val="58E94F10"/>
    <w:rsid w:val="58F965E6"/>
    <w:rsid w:val="58FA15B8"/>
    <w:rsid w:val="58FF06B6"/>
    <w:rsid w:val="59046596"/>
    <w:rsid w:val="591C3F4A"/>
    <w:rsid w:val="593E6CC6"/>
    <w:rsid w:val="59404EE0"/>
    <w:rsid w:val="594B0A62"/>
    <w:rsid w:val="594E1B0E"/>
    <w:rsid w:val="594F32F2"/>
    <w:rsid w:val="595461B1"/>
    <w:rsid w:val="59591BB8"/>
    <w:rsid w:val="595C743E"/>
    <w:rsid w:val="59820786"/>
    <w:rsid w:val="59A774F2"/>
    <w:rsid w:val="59AD15AB"/>
    <w:rsid w:val="59CE313C"/>
    <w:rsid w:val="59E474BD"/>
    <w:rsid w:val="59E869EC"/>
    <w:rsid w:val="59FC6B89"/>
    <w:rsid w:val="5A143012"/>
    <w:rsid w:val="5A261D0E"/>
    <w:rsid w:val="5A412A61"/>
    <w:rsid w:val="5A527BDD"/>
    <w:rsid w:val="5A905E59"/>
    <w:rsid w:val="5A9311E7"/>
    <w:rsid w:val="5AA72593"/>
    <w:rsid w:val="5AD0373D"/>
    <w:rsid w:val="5AF81B7B"/>
    <w:rsid w:val="5AF86253"/>
    <w:rsid w:val="5B081862"/>
    <w:rsid w:val="5B1C3DCA"/>
    <w:rsid w:val="5B24355B"/>
    <w:rsid w:val="5B340596"/>
    <w:rsid w:val="5B3F26B3"/>
    <w:rsid w:val="5B467F94"/>
    <w:rsid w:val="5B4B70AC"/>
    <w:rsid w:val="5B8A7522"/>
    <w:rsid w:val="5BA53E1C"/>
    <w:rsid w:val="5BA92AAB"/>
    <w:rsid w:val="5BB41290"/>
    <w:rsid w:val="5BC50503"/>
    <w:rsid w:val="5BF50EB6"/>
    <w:rsid w:val="5BF92128"/>
    <w:rsid w:val="5BFA7DB5"/>
    <w:rsid w:val="5BFB1F01"/>
    <w:rsid w:val="5C075DA6"/>
    <w:rsid w:val="5C275BD4"/>
    <w:rsid w:val="5C491EC9"/>
    <w:rsid w:val="5C5028D7"/>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A1268E"/>
    <w:rsid w:val="5ED20F44"/>
    <w:rsid w:val="5EE7073E"/>
    <w:rsid w:val="5EF67A22"/>
    <w:rsid w:val="5F123BC6"/>
    <w:rsid w:val="5F184877"/>
    <w:rsid w:val="5F1A7A37"/>
    <w:rsid w:val="5F2E3F46"/>
    <w:rsid w:val="5F474C09"/>
    <w:rsid w:val="5F475D4B"/>
    <w:rsid w:val="5F63419E"/>
    <w:rsid w:val="5F736746"/>
    <w:rsid w:val="5F880842"/>
    <w:rsid w:val="5FD95A66"/>
    <w:rsid w:val="5FDF7A00"/>
    <w:rsid w:val="5FE12AC5"/>
    <w:rsid w:val="5FF309C7"/>
    <w:rsid w:val="5FFC4765"/>
    <w:rsid w:val="60046C0F"/>
    <w:rsid w:val="600E4F7F"/>
    <w:rsid w:val="601327BB"/>
    <w:rsid w:val="60245068"/>
    <w:rsid w:val="60255BE3"/>
    <w:rsid w:val="602717FC"/>
    <w:rsid w:val="602A62F8"/>
    <w:rsid w:val="602C01A9"/>
    <w:rsid w:val="603B1B21"/>
    <w:rsid w:val="60504051"/>
    <w:rsid w:val="607F2EF2"/>
    <w:rsid w:val="60842FF2"/>
    <w:rsid w:val="60AF5E00"/>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71A"/>
    <w:rsid w:val="62413765"/>
    <w:rsid w:val="625E2011"/>
    <w:rsid w:val="626E5BD1"/>
    <w:rsid w:val="627803DA"/>
    <w:rsid w:val="62921FA4"/>
    <w:rsid w:val="62A06349"/>
    <w:rsid w:val="62BF1D8B"/>
    <w:rsid w:val="62C83DF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870014"/>
    <w:rsid w:val="64B76AA3"/>
    <w:rsid w:val="64C61C82"/>
    <w:rsid w:val="64D124DB"/>
    <w:rsid w:val="65233DA8"/>
    <w:rsid w:val="652A1A84"/>
    <w:rsid w:val="652A5D21"/>
    <w:rsid w:val="65480BBE"/>
    <w:rsid w:val="6554639C"/>
    <w:rsid w:val="65933B3C"/>
    <w:rsid w:val="65B955CA"/>
    <w:rsid w:val="65BE6C54"/>
    <w:rsid w:val="65CC3546"/>
    <w:rsid w:val="65CE71FF"/>
    <w:rsid w:val="661A0E12"/>
    <w:rsid w:val="66214D7C"/>
    <w:rsid w:val="6624580B"/>
    <w:rsid w:val="667B6C3F"/>
    <w:rsid w:val="66933BD2"/>
    <w:rsid w:val="66B40E42"/>
    <w:rsid w:val="66B56D61"/>
    <w:rsid w:val="66B56D68"/>
    <w:rsid w:val="66E9392A"/>
    <w:rsid w:val="66EA1480"/>
    <w:rsid w:val="67056631"/>
    <w:rsid w:val="674672D3"/>
    <w:rsid w:val="676E6425"/>
    <w:rsid w:val="67770DB9"/>
    <w:rsid w:val="67776ADD"/>
    <w:rsid w:val="6779797F"/>
    <w:rsid w:val="6789047F"/>
    <w:rsid w:val="67A720F6"/>
    <w:rsid w:val="67AC1398"/>
    <w:rsid w:val="67E7540E"/>
    <w:rsid w:val="67EA1736"/>
    <w:rsid w:val="67FC02AC"/>
    <w:rsid w:val="68006207"/>
    <w:rsid w:val="68070E08"/>
    <w:rsid w:val="682D432C"/>
    <w:rsid w:val="68382592"/>
    <w:rsid w:val="684A32DA"/>
    <w:rsid w:val="68524FFC"/>
    <w:rsid w:val="68784674"/>
    <w:rsid w:val="687C00C8"/>
    <w:rsid w:val="687C4042"/>
    <w:rsid w:val="68A742AD"/>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7A60F7"/>
    <w:rsid w:val="6AAC2E76"/>
    <w:rsid w:val="6AEE1969"/>
    <w:rsid w:val="6B0A125F"/>
    <w:rsid w:val="6B23484A"/>
    <w:rsid w:val="6B30457A"/>
    <w:rsid w:val="6B3B1CB3"/>
    <w:rsid w:val="6B43702A"/>
    <w:rsid w:val="6B524C27"/>
    <w:rsid w:val="6B5A1EC9"/>
    <w:rsid w:val="6B7308B4"/>
    <w:rsid w:val="6B744505"/>
    <w:rsid w:val="6B990784"/>
    <w:rsid w:val="6BA2498F"/>
    <w:rsid w:val="6BBC51E6"/>
    <w:rsid w:val="6BBF609A"/>
    <w:rsid w:val="6BCA0F7D"/>
    <w:rsid w:val="6BDE4DDD"/>
    <w:rsid w:val="6BE07242"/>
    <w:rsid w:val="6BE82C3E"/>
    <w:rsid w:val="6BE972DB"/>
    <w:rsid w:val="6BFE0452"/>
    <w:rsid w:val="6C0F2440"/>
    <w:rsid w:val="6C176418"/>
    <w:rsid w:val="6C392A9F"/>
    <w:rsid w:val="6C4D097B"/>
    <w:rsid w:val="6C5973BD"/>
    <w:rsid w:val="6C5F452A"/>
    <w:rsid w:val="6C762792"/>
    <w:rsid w:val="6C7D1213"/>
    <w:rsid w:val="6C801375"/>
    <w:rsid w:val="6C822E35"/>
    <w:rsid w:val="6CA714E6"/>
    <w:rsid w:val="6CEF6EBD"/>
    <w:rsid w:val="6CF01C95"/>
    <w:rsid w:val="6CF542B7"/>
    <w:rsid w:val="6D0071CD"/>
    <w:rsid w:val="6D18295E"/>
    <w:rsid w:val="6D206AE2"/>
    <w:rsid w:val="6D5941BB"/>
    <w:rsid w:val="6D5B0CBD"/>
    <w:rsid w:val="6D8A08D8"/>
    <w:rsid w:val="6D961017"/>
    <w:rsid w:val="6DCE3EDB"/>
    <w:rsid w:val="6DD23F1E"/>
    <w:rsid w:val="6DDB4275"/>
    <w:rsid w:val="6DEE2081"/>
    <w:rsid w:val="6E0135EB"/>
    <w:rsid w:val="6E210E7D"/>
    <w:rsid w:val="6E336938"/>
    <w:rsid w:val="6E360304"/>
    <w:rsid w:val="6E565A56"/>
    <w:rsid w:val="6E5D68D3"/>
    <w:rsid w:val="6E682450"/>
    <w:rsid w:val="6E7251F0"/>
    <w:rsid w:val="6E757524"/>
    <w:rsid w:val="6E7934F3"/>
    <w:rsid w:val="6E9C5623"/>
    <w:rsid w:val="6E9E05A5"/>
    <w:rsid w:val="6EAD6286"/>
    <w:rsid w:val="6EB24C59"/>
    <w:rsid w:val="6EBD3CCD"/>
    <w:rsid w:val="6ECD60E1"/>
    <w:rsid w:val="6EDB6C60"/>
    <w:rsid w:val="6F2428C0"/>
    <w:rsid w:val="6F433285"/>
    <w:rsid w:val="6F591B5D"/>
    <w:rsid w:val="6F7E65DB"/>
    <w:rsid w:val="6F7F6D3A"/>
    <w:rsid w:val="6F981073"/>
    <w:rsid w:val="6FA172A4"/>
    <w:rsid w:val="6FFF65EB"/>
    <w:rsid w:val="702D3A00"/>
    <w:rsid w:val="70341230"/>
    <w:rsid w:val="70342FAD"/>
    <w:rsid w:val="705A4D1B"/>
    <w:rsid w:val="705F37D3"/>
    <w:rsid w:val="708B108A"/>
    <w:rsid w:val="709143C4"/>
    <w:rsid w:val="70930271"/>
    <w:rsid w:val="70DB5146"/>
    <w:rsid w:val="70E51B6F"/>
    <w:rsid w:val="70FA4092"/>
    <w:rsid w:val="70FC3C7A"/>
    <w:rsid w:val="71075B1A"/>
    <w:rsid w:val="710E7F44"/>
    <w:rsid w:val="71193089"/>
    <w:rsid w:val="71211292"/>
    <w:rsid w:val="71243B68"/>
    <w:rsid w:val="712776C4"/>
    <w:rsid w:val="714344B4"/>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887B37"/>
    <w:rsid w:val="72910320"/>
    <w:rsid w:val="72A53302"/>
    <w:rsid w:val="72B3410C"/>
    <w:rsid w:val="72BD6DA9"/>
    <w:rsid w:val="72CB01B8"/>
    <w:rsid w:val="72F66709"/>
    <w:rsid w:val="730554B3"/>
    <w:rsid w:val="73092FAA"/>
    <w:rsid w:val="732C3102"/>
    <w:rsid w:val="73413694"/>
    <w:rsid w:val="734608F5"/>
    <w:rsid w:val="736D4BAC"/>
    <w:rsid w:val="736F1AFC"/>
    <w:rsid w:val="739B5B15"/>
    <w:rsid w:val="73CA3FB8"/>
    <w:rsid w:val="73E63732"/>
    <w:rsid w:val="73EC345F"/>
    <w:rsid w:val="73FD1118"/>
    <w:rsid w:val="74090510"/>
    <w:rsid w:val="740E2D2D"/>
    <w:rsid w:val="7410282D"/>
    <w:rsid w:val="741752A2"/>
    <w:rsid w:val="74223A5C"/>
    <w:rsid w:val="746B6757"/>
    <w:rsid w:val="747B5C9D"/>
    <w:rsid w:val="747F1177"/>
    <w:rsid w:val="748028C0"/>
    <w:rsid w:val="74A471EE"/>
    <w:rsid w:val="74C768EE"/>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B92312"/>
    <w:rsid w:val="7827423F"/>
    <w:rsid w:val="78386307"/>
    <w:rsid w:val="7850391E"/>
    <w:rsid w:val="78597E32"/>
    <w:rsid w:val="78703EBE"/>
    <w:rsid w:val="78805A36"/>
    <w:rsid w:val="78830880"/>
    <w:rsid w:val="78A51D8F"/>
    <w:rsid w:val="78AE0946"/>
    <w:rsid w:val="78D1727E"/>
    <w:rsid w:val="78D17516"/>
    <w:rsid w:val="78D96E40"/>
    <w:rsid w:val="7911644D"/>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322761"/>
    <w:rsid w:val="7B3C2640"/>
    <w:rsid w:val="7B4443D1"/>
    <w:rsid w:val="7BB151FD"/>
    <w:rsid w:val="7BB43296"/>
    <w:rsid w:val="7BDE6C84"/>
    <w:rsid w:val="7BE07A81"/>
    <w:rsid w:val="7BE97D38"/>
    <w:rsid w:val="7C272B3E"/>
    <w:rsid w:val="7C471D4F"/>
    <w:rsid w:val="7C7A6596"/>
    <w:rsid w:val="7CA76A22"/>
    <w:rsid w:val="7CCC4E54"/>
    <w:rsid w:val="7CEB2ACD"/>
    <w:rsid w:val="7CEF6F65"/>
    <w:rsid w:val="7CF41D8D"/>
    <w:rsid w:val="7D2745EF"/>
    <w:rsid w:val="7D2D2CA0"/>
    <w:rsid w:val="7D5C29E8"/>
    <w:rsid w:val="7D7A7BC6"/>
    <w:rsid w:val="7DBB08B6"/>
    <w:rsid w:val="7DBC7173"/>
    <w:rsid w:val="7DD90B59"/>
    <w:rsid w:val="7DEF15A6"/>
    <w:rsid w:val="7DFC511B"/>
    <w:rsid w:val="7E221AFC"/>
    <w:rsid w:val="7E2A514E"/>
    <w:rsid w:val="7E2C4E20"/>
    <w:rsid w:val="7E2D20BE"/>
    <w:rsid w:val="7E5733E1"/>
    <w:rsid w:val="7E660C33"/>
    <w:rsid w:val="7E6637F7"/>
    <w:rsid w:val="7E707801"/>
    <w:rsid w:val="7E733B66"/>
    <w:rsid w:val="7E8A121F"/>
    <w:rsid w:val="7EC12AAE"/>
    <w:rsid w:val="7EC52141"/>
    <w:rsid w:val="7EC73D34"/>
    <w:rsid w:val="7ED12FEE"/>
    <w:rsid w:val="7F1648D6"/>
    <w:rsid w:val="7F21639D"/>
    <w:rsid w:val="7F23784E"/>
    <w:rsid w:val="7F442E56"/>
    <w:rsid w:val="7F457080"/>
    <w:rsid w:val="7F486BDC"/>
    <w:rsid w:val="7F4C71A0"/>
    <w:rsid w:val="7F5124CE"/>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28</TotalTime>
  <ScaleCrop>false</ScaleCrop>
  <LinksUpToDate>false</LinksUpToDate>
  <CharactersWithSpaces>26786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2020-09-24T07:17:15Z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2052-11.1.0.9999</vt:lpwstr>
  </property>
</Properties>
</file>