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-911860</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10.29</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bookmarkStart w:id="22" w:name="_GoBack"/>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四、2020年9月份进出口统计数据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bookmarkEnd w:id="22"/>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8</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9493" w:type="dxa"/>
        <w:tblInd w:w="0" w:type="dxa"/>
        <w:tblLayout w:type="fixed"/>
        <w:tblCellMar>
          <w:top w:w="15" w:type="dxa"/>
          <w:left w:w="15" w:type="dxa"/>
          <w:bottom w:w="15" w:type="dxa"/>
          <w:right w:w="15" w:type="dxa"/>
        </w:tblCellMar>
      </w:tblPr>
      <w:tblGrid>
        <w:gridCol w:w="1438"/>
        <w:gridCol w:w="1170"/>
        <w:gridCol w:w="1185"/>
        <w:gridCol w:w="5700"/>
      </w:tblGrid>
      <w:tr>
        <w:tblPrEx>
          <w:tblCellMar>
            <w:top w:w="15" w:type="dxa"/>
            <w:left w:w="15" w:type="dxa"/>
            <w:bottom w:w="15" w:type="dxa"/>
            <w:right w:w="15" w:type="dxa"/>
          </w:tblCellMar>
        </w:tblPrEx>
        <w:trPr>
          <w:trHeight w:val="28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117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11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570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40.64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42.46</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原油期货价格上涨。受美国可能推出经济刺激计划油价提振，但未能完全收复上一交易日的跌幅。俄罗斯总统称俄罗斯不排除推迟OPEC+原计划从1月开始的增产行动，提振了油价。</w:t>
            </w:r>
          </w:p>
        </w:tc>
      </w:tr>
      <w:tr>
        <w:tblPrEx>
          <w:tblCellMar>
            <w:top w:w="15" w:type="dxa"/>
            <w:left w:w="15" w:type="dxa"/>
            <w:bottom w:w="15" w:type="dxa"/>
            <w:right w:w="15" w:type="dxa"/>
          </w:tblCellMar>
        </w:tblPrEx>
        <w:trPr>
          <w:trHeight w:val="54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39.85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41.77</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原油期货价格下跌。利比亚原油出口增长、美国财政刺激方案仍陷僵局、原油需求前景令人担忧，油价承压下行。</w:t>
            </w:r>
          </w:p>
        </w:tc>
      </w:tr>
      <w:tr>
        <w:tblPrEx>
          <w:tblCellMar>
            <w:top w:w="15" w:type="dxa"/>
            <w:left w:w="15" w:type="dxa"/>
            <w:bottom w:w="15" w:type="dxa"/>
            <w:right w:w="15" w:type="dxa"/>
          </w:tblCellMar>
        </w:tblPrEx>
        <w:trPr>
          <w:trHeight w:val="57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38.56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40.46</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原油期货价格下跌。在市场对需求前景非常敏感的同时，欧洲疫情持续恶化，利比亚增加原油产量令油价承压下行。</w:t>
            </w:r>
          </w:p>
        </w:tc>
      </w:tr>
      <w:tr>
        <w:tblPrEx>
          <w:tblCellMar>
            <w:top w:w="15" w:type="dxa"/>
            <w:left w:w="15" w:type="dxa"/>
            <w:bottom w:w="15" w:type="dxa"/>
            <w:right w:w="15" w:type="dxa"/>
          </w:tblCellMar>
        </w:tblPrEx>
        <w:trPr>
          <w:trHeight w:val="435"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39.57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41.2</w:t>
            </w:r>
          </w:p>
        </w:tc>
        <w:tc>
          <w:tcPr>
            <w:tcW w:w="570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原油期货价格上涨。热带风暴泽塔已提前登陆墨西哥湾，该地区部分原油生产被迫停止，但是可能只是暂时提振油价。</w:t>
            </w:r>
          </w:p>
        </w:tc>
      </w:tr>
      <w:tr>
        <w:tblPrEx>
          <w:tblCellMar>
            <w:top w:w="15" w:type="dxa"/>
            <w:left w:w="15" w:type="dxa"/>
            <w:bottom w:w="15" w:type="dxa"/>
            <w:right w:w="15" w:type="dxa"/>
          </w:tblCellMar>
        </w:tblPrEx>
        <w:trPr>
          <w:trHeight w:val="555"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37.39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39.12</w:t>
            </w:r>
          </w:p>
        </w:tc>
        <w:tc>
          <w:tcPr>
            <w:tcW w:w="570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原油期货价格下跌。受到全球新冠肺炎病例激增、美国大选前景不确定等因素影响，目前的原油需求低迷。</w:t>
            </w:r>
          </w:p>
        </w:tc>
      </w:tr>
    </w:tbl>
    <w:p>
      <w:pPr>
        <w:jc w:val="center"/>
        <w:rPr>
          <w:rFonts w:hint="eastAsia"/>
        </w:rPr>
      </w:pPr>
    </w:p>
    <w:p>
      <w:pPr>
        <w:pStyle w:val="3"/>
        <w:spacing w:before="120" w:after="120" w:line="240" w:lineRule="auto"/>
        <w:rPr>
          <w:rFonts w:ascii="宋体" w:hAnsi="宋体"/>
          <w:b/>
          <w:sz w:val="30"/>
          <w:szCs w:val="30"/>
        </w:rPr>
      </w:pPr>
      <w:bookmarkStart w:id="2" w:name="_Toc13265"/>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913755" cy="4205605"/>
            <wp:effectExtent l="0" t="0" r="1079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913755" cy="4205605"/>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4249900"/>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报告显示，截至10月16日当周美国除却战略储备的商业原油库存降幅略低于预期，精炼油库存降幅超预期，汽油库存增幅超预期。具体数据显示，美国截至10月16日当周EIA原油库存变动实际公布减少100.10万桶，预期减少137.5万桶，前值减少381.8万桶。此外，美国截至10月16日当周EIA汽油库存实际公布增加189.50万桶，预期减少150万桶，前值减少162.6万桶;美国截至10月16日当周EIA精炼油库存实际公布减少383.20万桶，预期减少200万桶，前值减少724.5万桶。美国石油协会(API)公布的数据显示，美国截至10月16日当周API原油库存增加58.4万桶，预期减少24万桶;汽油库存减少162.2万桶;精炼油库存减少598.3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4855581"/>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29日凌晨，美股周三大幅收跌，三大股指跌幅均超3.4%。道指重挫940点，创6月以来的最大单日跌幅。美欧疫情形势严峻，德法或出台更严格限制措施。美国大选结果仍不确定，新一轮财政刺激方案仍陷僵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道指跌943.24点，或3.43%，报26519.95点；纳指跌426.48点，或3.73%，报11004.87点；标普500指数跌119.64点，或3.53%，报3271.04点。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衡量市场恐慌程度的COBE波动率指数（VIX）大涨19%，报39.79点，远高于长期平均值20。</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道指录得连续第四日收跌，创6月11日以来最大日跌幅。标普500指数亦创6月以来的最大日跌幅。</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欧洲第二波冠状病毒疫情恶化，德法可能出台更严格封锁措施。美国大选的不确定性以及财政刺激协议搁浅亦令市场承压。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瑞银财富管理首席投资官Mark Haefele表示，冠状病毒疫情恶化导致更严格的限制措施出台，以及美国政治的不确定性预期，将会在今年余下的时间里继续造成市场波动。</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欧美疫情形势严峻 德法或出台更严格封锁措施</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全球新冠肺炎疫情的严峻形势，尤其是德国、法国可能出台更为严厉的封锁措施。法国据报道将采取最严格的全面封锁措施。</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随着北半球季节逐渐入冬，加上人们聚集于室内使得传染风险升高，最近几天美国、俄罗斯、法国与其他国家的新增确诊病例数纷纷创下纪录高位。</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上周末美国的单日新增确诊冠状病毒病例达到创纪录的8万例。周二，这一数字回升至7万之上。据约翰斯-霍普金斯大学数据，在过去一周内美国的新增确诊病例数达到创纪录的50万例。而在截止周一的7日内，日均新增确诊病例数达到创纪录的69967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分析师担心美国有可能出台更严格的防疫限制措施。CMC Markets的市场分析师David Madden表示：“在过去的7天中，美国有36个州的冠状病毒住院率至少增长了5%。交易商密切关注住院率，因为当局希望确保医疗系统不被淹没——这通常可能引发施加更严格的限制。”</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冠状病毒感染病例和死亡人数在欧洲大部分地区继续上升，欧洲最大的两个经济体法国和德国看来也将实施新的限制措施。</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德银高级策略师Jim Reid周三上午在给客户的一份报告中写道：“未来24至48小时，法国和德国似乎将采取某种形式的‘轻度封锁’，今天和明天可能会有更多信息。”</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法国总统马克龙周三宣布：因新冠肺炎病例激增，法国将从周五开始实施全国范围的新封锁措施。</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在德国，德国总理默克尔将会见地区领导人，讨论更严格的限制措施。有报道称，她倾向于实行“禁闭”，但这仍将要求非必要企业大面积关闭。</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针对今天的市场走势，伦敦资本集团（LCG）研究主管Jasper Lawler表示，几个月来，欧洲一直认为不会出现新的全面封锁，现在不一样了。欧洲股市受到的打击最为严重，这与病例上升的速度和正在实施的新的封锁措施一致。</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企业财政密集出炉</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道指成份公司卡特彼勒（CAT）和3M（MMM）公布财报后大幅下跌。尽管这两家公司的季度销售额和利润均超出预期，但二者均拒绝提供关于今年余下时间的全面预测，表明冠状病毒疫情导致这两家行业领头羊的前景面临不确定性。</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周三上午，波音（BA）、通用电气（GE）和万事达卡（MA）等公司在盘前报告业绩。</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福特（F）、Etsy（ETSY）、Pinterest（PINS）和吉利德科学（GILD）等公司将在收盘后公布财报。</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根据瑞士信贷的一项分析，截至周二上午，占标准普尔500指数市值约32%的公司已公布了第三季度财报。迄今为止，这些公司的盈余总计超出预期16.1%。尽管如此，盈利达标的门槛仍然相对较低，这是因为分析师此前预计标准普尔500成分公司的每股收益较去年同期总体下降约20%。</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特朗普称可能要到大选后才能达成刺激协议</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美国总统特朗普27日承认，可能在美国大选后才能就新一轮抗疫纾困财政刺激计划达成协议，原因是白宫无法弥合与参院共和党同僚及国会民主党人的分歧。</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与此同时，美众院议长佩洛西也打破了达成协议的希望，并指责白宫“悲惨地”失败。</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自冠状病毒疫情暴发以来，美国国会先后通过了四轮经济刺激方案，拨款接近3万亿美元，但包括失业保险在内的多项援助已到期。</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美媒援引分析称，如果两党不能在近期就新一轮经济刺激计划达成一致，美国第四季度经济可能继续萎缩。</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东时间周三上午10点，美国参议院商业、科学和运输委员会举行一场听证会，推特首席执行官杰克-多西、Facebook首席执行官马克-扎克伯格、Alphabet首席执行官桑达尔-皮查伊参加并讨论《通信规范法案》第230条，以讨论在线平台是否对用户创建的内容免责。</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根据美国1996年颁布的《通信规范法案》第230条，科技公司免于因为用户创建的内容而承担责任，并有权删除合法但令人反感的帖子。美国总统特朗普以及一直关注大型科技公司内容审核决策的民主党和共和党议员都对此提出了严厉批评。</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扎克伯格在开庭陈词中敦促国会修订这项法律，他对于国会关于“法律运作应确保符合其立法原意”的观点持开放态度，赞同提高内容审查的透明度。</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多西的发言专注于关于内容删除标准、互联网公司如何重新获得公众信任，例如可以公开内容审查流程。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皮查伊则概述了谷歌的服务如何为用户创造价值，并强调只有在230条的保护下谷歌才能提供这些服务。</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此前曝光的书面证词也显示，Facebook、Twitter和谷歌三家公司的CEO对于如何修订230条态度不一。扎克伯格在书面证词中呼吁国会“更新”这一法律规定。多西则认为，立法者在调整规则时应该“克制”。皮查伊同样鼓励持谨慎态度。</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共和党人一直认为，互联网公司对保守派存在偏见。不过在书面证词中，这些科技公司CEO重申，公司不会基于政治立场做出决定。</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其他市场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原油期货价格周三大幅收跌。美国能源信息署报告称美国上周原油库存增加430万桶，录得三周来的首周增长。与此同时，新冠肺炎病例激增使市场担忧未来能源需求疲软。</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Ploutus Capital Advisors首席市场策略师James Hatzigiannis表示，受全球新冠肺炎病例激增、美国大选前景不确定等因素影响，目前的原油需求状况“糟糕”。</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他称，虽然飓风泽塔登录墨西哥湾造成该地区原油产能部分关闭，但未能提振油价走高。</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周三纽约商品交易所12月交割的西德州中质原油（WTI）期货价格下跌2.18美元，跌幅5.5%，收于每桶37.39美元。按照最活跃合约计算，37.39美元/桶为10月2日以来WTI期货的最低收盘价。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54855582"/>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“进博会如期举行意义重大，将为世界经济发展注入新动能。”谈及即将于11月在上海开幕的第三届中国国际进口博览会，施耐德电气全球执行副总裁、中国区总裁尹正日前接受采访时说。</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冠疫情给世界经济带来严重冲击，多数大型国际展会取消或延期，跨国企业经营活动受到严重影响。在这种背景下，进博会在线下如约而至，凸显中国统筹疫情防控和经济社会发展取得的重大成果，为全球商界注入信心，为跨国企业点亮“希望之光”。</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宝马集团大中华区总裁兼首席执行官高乐表示，进博会是中国持续开放的象征，为企业提供了在宝马全球最大市场上展示产品的良机。高乐介绍，随着中国经济稳步复苏，宝马前三季度在华销售额同比增长6.4%。特殊年份里这一“成绩单”来之不易。</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疫情影响，全球时尚和纺织行业主要市场表现不佳。法国高端精品集团开云集团董事总经理让-弗朗索瓦·帕卢斯表示，进博会为开云及旗下品牌提供了重要平台，“非常感谢进博会为我们提供在中国扩大影响力的机会”。</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法国达能全球高级副总裁李健也认为，作为一个全球性经贸盛会，进博会“在危机中为国内外企业提供了机遇”，是企业参与和分享中国经济稳健增长的重要窗口。</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跨国企业重视中国大市场的购买力，更重视中国市场的产经新趋势、新业态。疫情期间，中国数字经济、绿色经济蓬勃发展，备受全球瞩目。不少跨国公司把相关领域新技术、新产品带到进博会，希望通过展会找到参与中国新发展的机遇。</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欧洲最大软件公司思爱普在此次进博会上将为参观者打造“沉浸式体验”，介绍思爱普数字解决方案如何帮助打造智慧企业。思爱普全球执行副总裁、大中华区总裁纪秉盟相信，今年的进博会将比以往办得“更大、更好、更创新”。</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第2页 /(共2页)通过前两届进博会，施耐德电气和中国合作伙伴在数字化升级和智能制造解决方案等领域达成了相关合作。尹正表示，施耐德电气期待在第三届进博会上发掘“更多市场机遇”，与用户、合作伙伴碰撞出“更多火花”。今年公司的参展面积比去年增加近一倍，将全面展示能源管理与自动化方面的前沿数字化解决方案，覆盖酒店、银行与金融、商业地产、医疗等十多个行业。</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美国霍尼韦尔公司全球高增长地区总裁沈达理看来，进博会是跨国企业“中国故事”的重要一环。“中国不单是出口市场，也是重要的生产制造和创新之地。我们力求更好地抓住中国市场活力带来的巨大机遇。”</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疫情冲击下，世界经济形势错综复杂，部分国家贸易保护主义抬头。全球主要跨国公司坚持在华发展业务，不断扩大投资，彰显对中国经济未来的坚定信心。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李健说道，中国持续举办进博会的溢出和带动效应，为全球企业创造了更多互利共赢的机会，为全球技术创新、科技发展提供了重要机会和合作交流平台，有助于形成良好稳定的国际循环机制。</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欧莱雅集团首席执行官让-保罗·安巩表示，中国开放的大门越开越大，营商环境越来越好，在全球经济中的作用越来越强。“进博会的如期举办表明中国以开放共赢精神推动全球发展的决心，向世界传递出开放、包容、普惠、共赢的信号，为世界经济发展注入新动能，承载着人们对世界共享繁荣的美好期许。”</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“一个更加开放、包容、创新、有担当的中国正张开双臂，与世界‘美美与共’。”安巩说。</w:t>
      </w:r>
    </w:p>
    <w:p>
      <w:pPr>
        <w:pStyle w:val="23"/>
        <w:numPr>
          <w:ilvl w:val="0"/>
          <w:numId w:val="0"/>
        </w:numPr>
        <w:rPr>
          <w:rFonts w:hint="eastAsia" w:ascii="黑体" w:eastAsia="黑体"/>
          <w:b/>
          <w:sz w:val="28"/>
          <w:szCs w:val="28"/>
        </w:rPr>
      </w:pP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周美国WTI原油原油价格在37.39-40.64美元/桶。布伦特原油价格在39.12-42.46美元/桶震荡。周内国际油价震荡不稳。美国原油库存意外剧增，多国疫情恶化恢复封禁拖累需求前景，外盘10月28日油价暴跌逾5%。12月WTI：37.39跌2.18;12月布伦特：39.12跌2.08。基本面利好因素：1.沙特能源大臣阿卜杜勒阿齐兹亲王周一表示，油市最糟糕的时期已经过去。不过，欧佩克秘书长巴尔金都稍早表示，因全球范围内的新冠肺炎确诊病例激增，石油市场复苏的时间可能比预期的要长，尽管如此，欧佩克+平衡市场的努力将“坚持到底”。2.美国国家飓风中心指出，“泽塔”再次增强为飓风，预计将于当地时间周三中午开始给路易斯安那州东南部带来风暴潮和强风。预测泽塔将形成一个快速移动的飓风，从路易斯安那州东南部带来威胁生命的风暴潮和强风。3.周一，美国再对伊朗祭出新制裁，针对该国的石油业而来，包括伊朗石油部，这是华盛顿加强对伊朗施压的最新举措。自美国退出伊核协议以来，伊朗石油出口已经从逾250万桶/日缩减。不过，伊朗一直在努力绕过制裁，保持出口畅通。基本面利空因素：1.北京时间周三晚22:30，美国能源信息署(EIA)公布的数据显示，截至10月23日当周，美国除却战略储备的商业原油库存增加432万桶至4.924亿桶，预期增加150万桶，前值减少100.2万桶;除却战略储备的商业原油上周进口566.4万桶/日，较前一周增加54.6万桶/日;上周美国国内原油产量增加120万桶至1110万桶/日。美国每周石油产量增幅达创纪录的120万桶/日。2.北京时间周三凌晨04:30，美国石油协会(API)公布的数据显示，截至10月23日当周，API原油库存增加457.7万桶，预期增加111万桶;汽油库存增加225.2万桶。知名金融博客零对冲表示，由于美元走弱和对热带风暴“泽塔”造成的供应中断的担忧，周二油价出现反弹。但API数据显示上周原油库存增幅远大于预期，油价短线急挫。3.当地时间周二，美国总统特朗普承认，可能在美国大选后才能就新一轮新冠纾困计划达成协议，原因是白宫无法弥合与参院共和党同僚及国会民主党人的分歧。与此同时，众院议长佩洛西也打破了达成协议的希望，并指责白宫“悲惨地”失败。据报道，特朗普27日在出发进行竞选活动前表示，大选结束后，我们将出台人们所见过的最好的刺激计划。特朗普称，我们会将刺激计划磋商一直进行下去，因为我们的民众应该得到刺激计划(的帮助)，但佩洛西只对救助管理不善、犯罪猖獗的民主党城市和州感兴趣。4.据Worldometers实时统计数据显示，截至北京时间10月29日02时28分，全球新冠肺炎确诊病例达4456万例，新增330697例至444567737例，死亡病例达117万例，新增4788例至1176212例。全球确诊病例超过10万例的国家达48个。此外，日本、埃塞俄比亚、洪都拉斯、白俄罗斯和委内瑞拉确诊病例已经超过9万。美国新冠肺炎确诊病例达907万例，新增35396例至9073426例，占全球确诊病例的约五分之一;死亡病例达23万例，新增473例至232557例，占全球死亡人数的近五分之一。</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预测下周WTI油价将触及36-41美元/桶，布油在之后几个月触及38-43美元/桶。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1606"/>
      <w:r>
        <w:rPr>
          <w:rFonts w:hint="eastAsia" w:ascii="宋体" w:hAnsi="宋体"/>
          <w:b/>
          <w:sz w:val="30"/>
          <w:szCs w:val="30"/>
          <w:highlight w:val="none"/>
        </w:rPr>
        <w:t>2.2国际市场MTBE价格</w:t>
      </w:r>
      <w:bookmarkEnd w:id="8"/>
    </w:p>
    <w:tbl>
      <w:tblPr>
        <w:tblStyle w:val="24"/>
        <w:tblW w:w="9518" w:type="dxa"/>
        <w:tblInd w:w="0" w:type="dxa"/>
        <w:shd w:val="clear" w:color="auto" w:fill="auto"/>
        <w:tblLayout w:type="autofit"/>
        <w:tblCellMar>
          <w:top w:w="0" w:type="dxa"/>
          <w:left w:w="0" w:type="dxa"/>
          <w:bottom w:w="0" w:type="dxa"/>
          <w:right w:w="0" w:type="dxa"/>
        </w:tblCellMar>
      </w:tblPr>
      <w:tblGrid>
        <w:gridCol w:w="1797"/>
        <w:gridCol w:w="2745"/>
        <w:gridCol w:w="2567"/>
        <w:gridCol w:w="2409"/>
      </w:tblGrid>
      <w:tr>
        <w:tblPrEx>
          <w:shd w:val="clear" w:color="auto" w:fill="auto"/>
          <w:tblCellMar>
            <w:top w:w="0" w:type="dxa"/>
            <w:left w:w="0" w:type="dxa"/>
            <w:bottom w:w="0" w:type="dxa"/>
            <w:right w:w="0" w:type="dxa"/>
          </w:tblCellMar>
        </w:tblPrEx>
        <w:trPr>
          <w:trHeight w:val="598" w:hRule="atLeast"/>
        </w:trPr>
        <w:tc>
          <w:tcPr>
            <w:tcW w:w="1797"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9" w:name="_Toc23075"/>
            <w:r>
              <w:rPr>
                <w:rFonts w:hint="eastAsia" w:ascii="宋体" w:hAnsi="宋体" w:eastAsia="宋体" w:cs="宋体"/>
                <w:b/>
                <w:bCs/>
                <w:i w:val="0"/>
                <w:color w:val="000000"/>
                <w:kern w:val="0"/>
                <w:sz w:val="20"/>
                <w:szCs w:val="20"/>
                <w:u w:val="none"/>
                <w:lang w:val="en-US" w:eastAsia="zh-CN" w:bidi="ar"/>
              </w:rPr>
              <w:t>日期</w:t>
            </w:r>
          </w:p>
        </w:tc>
        <w:tc>
          <w:tcPr>
            <w:tcW w:w="274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2567"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2409"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10月28日</w:t>
            </w:r>
          </w:p>
        </w:tc>
        <w:tc>
          <w:tcPr>
            <w:tcW w:w="27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371.00 </w:t>
            </w:r>
          </w:p>
        </w:tc>
        <w:tc>
          <w:tcPr>
            <w:tcW w:w="2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116.45 </w:t>
            </w:r>
          </w:p>
        </w:tc>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381.75 </w:t>
            </w:r>
          </w:p>
        </w:tc>
      </w:tr>
      <w:tr>
        <w:tblPrEx>
          <w:tblCellMar>
            <w:top w:w="0" w:type="dxa"/>
            <w:left w:w="0" w:type="dxa"/>
            <w:bottom w:w="0" w:type="dxa"/>
            <w:right w:w="0"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10月27日</w:t>
            </w:r>
          </w:p>
        </w:tc>
        <w:tc>
          <w:tcPr>
            <w:tcW w:w="27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375.30 </w:t>
            </w:r>
          </w:p>
        </w:tc>
        <w:tc>
          <w:tcPr>
            <w:tcW w:w="2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122.65 </w:t>
            </w:r>
          </w:p>
        </w:tc>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406.75 </w:t>
            </w:r>
          </w:p>
        </w:tc>
      </w:tr>
      <w:tr>
        <w:tblPrEx>
          <w:tblCellMar>
            <w:top w:w="0" w:type="dxa"/>
            <w:left w:w="0" w:type="dxa"/>
            <w:bottom w:w="0" w:type="dxa"/>
            <w:right w:w="0"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10月26日</w:t>
            </w:r>
          </w:p>
        </w:tc>
        <w:tc>
          <w:tcPr>
            <w:tcW w:w="27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376.00 </w:t>
            </w:r>
          </w:p>
        </w:tc>
        <w:tc>
          <w:tcPr>
            <w:tcW w:w="2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119.47 </w:t>
            </w:r>
          </w:p>
        </w:tc>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395.75 </w:t>
            </w:r>
          </w:p>
        </w:tc>
      </w:tr>
      <w:tr>
        <w:tblPrEx>
          <w:tblCellMar>
            <w:top w:w="0" w:type="dxa"/>
            <w:left w:w="0" w:type="dxa"/>
            <w:bottom w:w="0" w:type="dxa"/>
            <w:right w:w="0"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10月23日</w:t>
            </w:r>
          </w:p>
        </w:tc>
        <w:tc>
          <w:tcPr>
            <w:tcW w:w="27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383.20 </w:t>
            </w:r>
          </w:p>
        </w:tc>
        <w:tc>
          <w:tcPr>
            <w:tcW w:w="2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122.20 </w:t>
            </w:r>
          </w:p>
        </w:tc>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409.75 </w:t>
            </w:r>
          </w:p>
        </w:tc>
      </w:tr>
      <w:tr>
        <w:tblPrEx>
          <w:tblCellMar>
            <w:top w:w="0" w:type="dxa"/>
            <w:left w:w="0" w:type="dxa"/>
            <w:bottom w:w="0" w:type="dxa"/>
            <w:right w:w="0"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10月22日</w:t>
            </w:r>
          </w:p>
        </w:tc>
        <w:tc>
          <w:tcPr>
            <w:tcW w:w="27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380.00 </w:t>
            </w:r>
          </w:p>
        </w:tc>
        <w:tc>
          <w:tcPr>
            <w:tcW w:w="2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124.36 </w:t>
            </w:r>
          </w:p>
        </w:tc>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417.25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(10月23日-10月29日)，国际原油期货震荡下行，据测算第五个工作日参考原油变化率为-3.16%。受此影响，国内成品油市场购销氛围持淡，各地主营单位汽柴油销售执行优惠政策。与此同时，山东地炼成品油行情稳中下滑，其中炼厂多以汽油跌价为主，其主流成交优惠100元/吨左右。具体来看出货方面：外盘油价跌宕起伏且向下运行，区内油市业者对后市多持看空预期，加上终端消费能力不足导致社会单位库存高企，中间商大单囤货操作甚少，仅少数下游用户逢低买进，市场整体出货表现欠佳，因此地炼方面平均产销比在90-100%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本周(10月23日-10月29日)，原油震荡下滑 区内油价弱势下探 具体分析如下，周内国际油价震荡下挫，变化率负向加深运行，消息面对市场形成利空打压。地炼汽柴油价格承压下探。主营成本面缺乏支撑，为积极出货，成品油报价弱势下滑，部分单位高挂低卖，优惠空间十分宽松。因汽柴油需求端走势稍有分化，故汽油跌势较大，柴油报价则相对坚挺。而市场观望情绪有增无减，下游备货操作十分谨慎，整体购销气氛十分清淡。后市来看，国际油价或仍有一定下行空间，本轮零售价下调概率较大，消息面将维持利空发展，月末主营销售进度陆续完成，或侧重保利，价格相对坚挺，不过步入下周，进入新一销售周期，主营汽柴油价格或难改下行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22日-10月29日)，华南地区汽柴油市场整体延续平稳走势，交投气氛清淡难改。具体来看，周内国际原油期价呈现震荡下行走势，拖累成品油下调窗口不断拉宽，消息面对油价形成一定的打压，市场看跌情绪浓厚，终端企业购进热情不高，特别是汽油市场，资源消耗量明显减少，新单成交稀少，主营单位出货压力较大，实际成交价格维持优惠，不过广东省内部分公司销售任务已经完成，市场保利为主，价格面维持坚挺守稳走势。福建地区汽柴油市场延续平稳走势，实际成交仍保持量大优惠政策，终端需求维持平稳，成交疲软。随着美国进入消费淡季，加之疫情导致的需求下降，短期内国际原油市场仍存走跌空间，本轮成品油下调窗口基本确定开启，市场操作心态谨慎，多持币观望为主，不排除有小幅下滑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本周(10月23日-10月29日)，原油走势震荡下行 区内汽柴承压走低 本周内国际油价走势震荡下行，国内调价预期击穿下调红线由搁浅转为下调，市场消息面支撑受限，下游入市心态低迷。进入月度下旬主营单位销售进度普遍不及预期，消息面支撑受限，山东、山西、河北、天津地区主营单位报价普遍下调50-100元/吨，其余主营单位报价基本稳定，但实际成交多积极性延续优惠，一单一价，主营单位继续积极出货为主，下游适度刚需补货为主，大单操作积极性不高。临近周末原油走势大跌超5%，国内汽柴油调价所对标的挂靠原油均价触及40美元/桶地板价，市场观望气氛较重，购销气氛继续僵持。后市而言，国际油价短期内反弹动力不足，本轮调价下调基调基本落实，国内市场消息面支撑不足，预计区内油价走势仍有回落空间，考虑柴油需求好于汽油，且华北地区负号资源陆续上市，预计汽油跌幅将大于柴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23日-10月29日)，华东地区成品油行情趋弱整理，市场整体购进意识不强。具体来看，周内国际油价大幅下挫，消息面利空指引，原油变化率负向加深。与此同时，山东地炼汽柴油均价大幅下调，主营外采成本下滑。月底区内大部分主营保持价格坚挺，个别主营小幅下调汽柴油价格，且各主营已陆续完成销售任务，优惠政策有所收紧，加之本轮零售价调价预期或将开启“地板价”保护机制，市场忧虑情绪加重，汽柴油需求低迷，下游业者入市补货谨慎，成交多散户小单，故市场整体购进意识淡薄。后期来看，国际原油或震荡下行，消息面或利空因素主导。进入新一轮销售周期，各主营优惠幅度加大，故短期内华东地区成品油价格或弱势整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23日-10月29日)，西南地区汽柴行情维持下行趋势，整体交投氛围平淡。分析来看：周内国际油价震荡走跌，变化率负向区间延伸，本轮零售价下调概率持增，消息面利空对市场打压明显。此外，临近月末，部分地区主营继续充足，成交价格走跌，且加大优惠力度，整体行情继续下移。虽然工程基建等行业仍积极赶工，物流运输亦活跃，柴油需求尚可，但业者前期备货较多，且考虑到后市行情仍存下行风险，因此多选择消库为主，入市补货有限;汽油需求逐步转淡，业者操作意向持低，市场成交稀少。就后市而言，国际原油期价弱势震荡，消息面利空难以消散。业者消库之余逢低采购，市场成交气氛平平。主营单位出货不畅，预计近期西南地区汽柴行情下行压力较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23日-10月29日)，西北地炼汽柴行情维持淡稳运行，市场成交气氛平平。分析来看：周内国际油价震荡走跌，变化率负向加深，本轮零售价下调预期增强，市场观望气氛浓郁。同时，天气转冷私家车短途游减少，加之，局部地区疫情反弹，居民出行愈加谨慎，汽油需求转入平淡，业者刚需补货为主;柴油正值需求旺季，但疫情影响下，下游需求不及往年，加之，社会库存较为充足，下游补货亦谨慎，市场成交难见活跃。销售公司出货一般，但考虑到成本因素，因此仍稳价待市。就后市而言，国际原油期价或维持弱势震荡，成品油调价“地板价”保护机制或将开启，但本轮零售价向下调整趋势仍无法改变，消息面利空难消。业者消库之余按需补货，市场成交难有提升。预计短线西北地炼汽柴行情存下行压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受到疫情的打压，国际油价仍有下行的空间，但随着美国大选的临近，油价有望逐步缩小震荡范围。以WTI为例，主流运行区间在36-41(均值38.50)美元/桶之间，环比下跌0.70美元/桶或1.79%。在无实质性利好因素出现提振前，山东地区成品油行情恐将持续弱势，买卖双方操作十分谨慎，市场观望气氛仍存。综上所述，预计山东地炼汽柴油价格稳中走低，跌幅在100元/吨。</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2020/10/29</w:t>
            </w:r>
          </w:p>
        </w:tc>
        <w:tc>
          <w:tcPr>
            <w:tcW w:w="12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2020/10/22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2020/10/29</w:t>
            </w:r>
          </w:p>
        </w:tc>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2020/10/22</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bl>
    <w:p>
      <w:pPr>
        <w:pStyle w:val="3"/>
        <w:spacing w:before="120" w:after="120" w:line="240" w:lineRule="auto"/>
        <w:rPr>
          <w:rFonts w:hint="eastAsia" w:ascii="宋体" w:hAnsi="宋体"/>
          <w:b/>
          <w:sz w:val="30"/>
          <w:szCs w:val="3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p>
      <w:pPr>
        <w:rPr>
          <w:rFonts w:hint="eastAsia"/>
          <w:bCs/>
          <w:szCs w:val="21"/>
          <w:lang w:val="en-US" w:eastAsia="zh-CN"/>
        </w:rPr>
      </w:pPr>
    </w:p>
    <w:tbl>
      <w:tblPr>
        <w:tblStyle w:val="24"/>
        <w:tblW w:w="9705" w:type="dxa"/>
        <w:tblInd w:w="0" w:type="dxa"/>
        <w:shd w:val="clear" w:color="auto" w:fill="auto"/>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2020/10/29</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bidi w:val="0"/>
        <w:rPr>
          <w:rFonts w:hint="eastAsia"/>
          <w:lang w:val="en-US" w:eastAsia="zh-CN"/>
        </w:rPr>
      </w:pPr>
      <w:bookmarkStart w:id="15" w:name="_Toc19013"/>
      <w:r>
        <w:rPr>
          <w:rFonts w:hint="eastAsia"/>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tbl>
      <w:tblPr>
        <w:tblStyle w:val="24"/>
        <w:tblW w:w="9630" w:type="dxa"/>
        <w:tblInd w:w="0" w:type="dxa"/>
        <w:shd w:val="clear" w:color="auto" w:fill="auto"/>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2020/10/29</w:t>
            </w:r>
          </w:p>
        </w:tc>
        <w:tc>
          <w:tcPr>
            <w:tcW w:w="13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2020/10/22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10784"/>
      <w:r>
        <w:rPr>
          <w:rFonts w:hint="eastAsia" w:ascii="宋体" w:hAnsi="宋体"/>
          <w:b/>
          <w:sz w:val="30"/>
          <w:szCs w:val="30"/>
          <w:lang w:val="en-US" w:eastAsia="zh-CN"/>
        </w:rPr>
        <w:t>四、2020年9月份进出口统计数据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555" w:type="dxa"/>
        <w:tblInd w:w="0" w:type="dxa"/>
        <w:shd w:val="clear" w:color="auto" w:fill="auto"/>
        <w:tblLayout w:type="autofit"/>
        <w:tblCellMar>
          <w:top w:w="0" w:type="dxa"/>
          <w:left w:w="0" w:type="dxa"/>
          <w:bottom w:w="0" w:type="dxa"/>
          <w:right w:w="0" w:type="dxa"/>
        </w:tblCellMar>
      </w:tblPr>
      <w:tblGrid>
        <w:gridCol w:w="1965"/>
        <w:gridCol w:w="2070"/>
        <w:gridCol w:w="2760"/>
        <w:gridCol w:w="2760"/>
      </w:tblGrid>
      <w:tr>
        <w:tblPrEx>
          <w:shd w:val="clear" w:color="auto" w:fill="auto"/>
          <w:tblCellMar>
            <w:top w:w="0" w:type="dxa"/>
            <w:left w:w="0" w:type="dxa"/>
            <w:bottom w:w="0" w:type="dxa"/>
            <w:right w:w="0" w:type="dxa"/>
          </w:tblCellMar>
        </w:tblPrEx>
        <w:trPr>
          <w:trHeight w:val="540" w:hRule="atLeast"/>
        </w:trPr>
        <w:tc>
          <w:tcPr>
            <w:tcW w:w="19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出口目的地</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数量（吨）</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出口金额（美元）</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出口均价（美元/吨）</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巴基斯坦</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38326450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358.19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205480.8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79011236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100056.6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38793849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387.72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4924.38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2049005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416.09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6183.15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2371622</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墨西哥</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71100.49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27201080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382.57</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尼日利亚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12417200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29487.86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4279507</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145.13</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530001</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191074668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68690.13</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25883116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376.81</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5619.836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2048146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364.45</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8"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31298"/>
      <w:bookmarkStart w:id="21"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8</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137" w:type="pct"/>
        <w:tblInd w:w="0" w:type="dxa"/>
        <w:tblLayout w:type="fixed"/>
        <w:tblCellMar>
          <w:top w:w="0" w:type="dxa"/>
          <w:left w:w="108" w:type="dxa"/>
          <w:bottom w:w="0" w:type="dxa"/>
          <w:right w:w="108" w:type="dxa"/>
        </w:tblCellMar>
      </w:tblPr>
      <w:tblGrid>
        <w:gridCol w:w="555"/>
        <w:gridCol w:w="1005"/>
        <w:gridCol w:w="750"/>
        <w:gridCol w:w="1710"/>
        <w:gridCol w:w="1575"/>
        <w:gridCol w:w="1559"/>
        <w:gridCol w:w="1398"/>
        <w:gridCol w:w="1573"/>
      </w:tblGrid>
      <w:tr>
        <w:tblPrEx>
          <w:tblCellMar>
            <w:top w:w="0" w:type="dxa"/>
            <w:left w:w="108" w:type="dxa"/>
            <w:bottom w:w="0" w:type="dxa"/>
            <w:right w:w="108" w:type="dxa"/>
          </w:tblCellMar>
        </w:tblPrEx>
        <w:trPr>
          <w:trHeight w:val="1230" w:hRule="atLeast"/>
        </w:trPr>
        <w:tc>
          <w:tcPr>
            <w:tcW w:w="274"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产品</w:t>
            </w:r>
          </w:p>
        </w:tc>
        <w:tc>
          <w:tcPr>
            <w:tcW w:w="496"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年度</w:t>
            </w:r>
          </w:p>
        </w:tc>
        <w:tc>
          <w:tcPr>
            <w:tcW w:w="370"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月份</w:t>
            </w:r>
          </w:p>
        </w:tc>
        <w:tc>
          <w:tcPr>
            <w:tcW w:w="844"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产销国</w:t>
            </w:r>
          </w:p>
        </w:tc>
        <w:tc>
          <w:tcPr>
            <w:tcW w:w="777"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进口数量/吨</w:t>
            </w:r>
          </w:p>
        </w:tc>
        <w:tc>
          <w:tcPr>
            <w:tcW w:w="769"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进口金额/美元</w:t>
            </w:r>
          </w:p>
        </w:tc>
        <w:tc>
          <w:tcPr>
            <w:tcW w:w="690"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出口数量/吨</w:t>
            </w:r>
          </w:p>
        </w:tc>
        <w:tc>
          <w:tcPr>
            <w:tcW w:w="776"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出口金额/美元</w:t>
            </w:r>
          </w:p>
        </w:tc>
      </w:tr>
      <w:tr>
        <w:tblPrEx>
          <w:tblCellMar>
            <w:top w:w="0" w:type="dxa"/>
            <w:left w:w="108" w:type="dxa"/>
            <w:bottom w:w="0" w:type="dxa"/>
            <w:right w:w="108" w:type="dxa"/>
          </w:tblCellMar>
        </w:tblPrEx>
        <w:trPr>
          <w:trHeight w:val="825" w:hRule="atLeast"/>
        </w:trPr>
        <w:tc>
          <w:tcPr>
            <w:tcW w:w="274" w:type="pct"/>
            <w:vMerge w:val="restart"/>
            <w:tcBorders>
              <w:top w:val="nil"/>
              <w:left w:val="single" w:color="333333" w:sz="8" w:space="0"/>
              <w:bottom w:val="single" w:color="333333" w:sz="8" w:space="0"/>
              <w:right w:val="single" w:color="333333" w:sz="8" w:space="0"/>
            </w:tcBorders>
            <w:shd w:val="clear" w:color="auto" w:fill="auto"/>
            <w:noWrap w:val="0"/>
            <w:vAlign w:val="bottom"/>
          </w:tcPr>
          <w:p>
            <w:pPr>
              <w:widowControl/>
              <w:jc w:val="center"/>
              <w:rPr>
                <w:rFonts w:hint="eastAsia" w:asciiTheme="minorEastAsia" w:hAnsiTheme="minorEastAsia" w:eastAsiaTheme="minorEastAsia" w:cstheme="minorEastAsia"/>
                <w:b/>
                <w:bCs/>
                <w:color w:val="191919"/>
                <w:kern w:val="0"/>
                <w:sz w:val="20"/>
                <w:szCs w:val="20"/>
              </w:rPr>
            </w:pPr>
            <w:r>
              <w:rPr>
                <w:rFonts w:hint="eastAsia" w:asciiTheme="minorEastAsia" w:hAnsiTheme="minorEastAsia" w:eastAsiaTheme="minorEastAsia" w:cstheme="minorEastAsia"/>
                <w:b/>
                <w:bCs/>
                <w:color w:val="191919"/>
                <w:kern w:val="0"/>
                <w:sz w:val="20"/>
                <w:szCs w:val="20"/>
              </w:rPr>
              <w:t>石油原油(包括从沥青矿物提取的原油)</w:t>
            </w: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阿根廷</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71316.43 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17868306.00 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阿联酋</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4205683.86 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1368283591.00 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阿曼</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2584584.86 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815576799.00 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埃及</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229625.06 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70002711.00 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安哥拉</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2990834.24 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938958752.00 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澳大利亚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107956.14 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32334311.00 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123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巴布亚新几内亚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78407.40 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24714478.00 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巴西</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4146542.31 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1286525947.00 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赤道几内亚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584118.76 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180343099.00 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俄罗斯联邦</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5800189.18 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1796373587.00 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厄瓜多尔</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859003.39 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255839592.00 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刚果(布)</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1168787.15 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400308814.00 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刚果(金)</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124466.00 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44548367.00 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哥伦比亚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892294.91 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200301406.00 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圭亚那</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102694.04 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35314318.00 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哈萨克斯坦</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146815.15 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51569658.00 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加拿大</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519814.07 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125677799.00 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加纳</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260315.07 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54071426.00 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加蓬</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501751.72 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169753289.00 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喀麦隆</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133863.47 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46118078.00 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卡塔尔</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1129976.87 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377213431.00 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科特迪瓦</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132125.00 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35816439.00 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科威特</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2557491.51 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844609801.00 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马来西亚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816816.34 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234458213.00 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美国</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2223803.98 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681426196.00 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蒙古</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53760.33 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12296515.00 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墨西哥</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65293.27 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17229747.00 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南苏丹共和国</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246966.16 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82985767.00 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尼日利亚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972665.07 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322918371.00 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挪威</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1412243.00 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444426282.00 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沙特阿拉伯</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5258743.04 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1671180947.00 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苏丹</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78019.50 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26877724.00 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泰国</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77786.10 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22981977.00 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82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土库曼斯坦</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97019.56 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33874446.00 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3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也门</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481181.58 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165189404.00 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6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伊拉克</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4595664.28 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1448281917.00 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6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印度尼西亚</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171772.80 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52228877.00 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9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英国</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1315304.68 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432266603.00 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越南</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153924.44 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57730809.00 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乍得</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133017.78 </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44448106.00 </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r>
      <w:tr>
        <w:tblPrEx>
          <w:tblCellMar>
            <w:top w:w="0" w:type="dxa"/>
            <w:left w:w="108" w:type="dxa"/>
            <w:bottom w:w="0" w:type="dxa"/>
            <w:right w:w="108" w:type="dxa"/>
          </w:tblCellMar>
        </w:tblPrEx>
        <w:trPr>
          <w:trHeight w:val="645"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韩国</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95980.00 </w:t>
            </w:r>
          </w:p>
        </w:tc>
        <w:tc>
          <w:tcPr>
            <w:tcW w:w="776" w:type="pct"/>
            <w:tcBorders>
              <w:top w:val="nil"/>
              <w:left w:val="nil"/>
              <w:bottom w:val="single" w:color="333333" w:sz="8" w:space="0"/>
              <w:right w:val="single" w:color="333333" w:sz="8" w:space="0"/>
            </w:tcBorders>
            <w:shd w:val="clear" w:color="000000" w:fill="FFFFFF"/>
            <w:noWrap w:val="0"/>
            <w:vAlign w:val="center"/>
          </w:tcPr>
          <w:p>
            <w:pPr>
              <w:widowControl/>
              <w:jc w:val="center"/>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29400000</w:t>
            </w:r>
          </w:p>
        </w:tc>
      </w:tr>
      <w:tr>
        <w:tblPrEx>
          <w:tblCellMar>
            <w:top w:w="0" w:type="dxa"/>
            <w:left w:w="108" w:type="dxa"/>
            <w:bottom w:w="0" w:type="dxa"/>
            <w:right w:w="108" w:type="dxa"/>
          </w:tblCellMar>
        </w:tblPrEx>
        <w:trPr>
          <w:trHeight w:val="420" w:hRule="atLeast"/>
        </w:trPr>
        <w:tc>
          <w:tcPr>
            <w:tcW w:w="274"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0"/>
                <w:szCs w:val="20"/>
              </w:rPr>
            </w:pPr>
          </w:p>
        </w:tc>
        <w:tc>
          <w:tcPr>
            <w:tcW w:w="49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2020年</w:t>
            </w:r>
          </w:p>
        </w:tc>
        <w:tc>
          <w:tcPr>
            <w:tcW w:w="37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8月</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缅甸</w:t>
            </w:r>
          </w:p>
        </w:tc>
        <w:tc>
          <w:tcPr>
            <w:tcW w:w="777"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769"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w:t>
            </w:r>
          </w:p>
        </w:tc>
        <w:tc>
          <w:tcPr>
            <w:tcW w:w="690"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136418.93 </w:t>
            </w:r>
          </w:p>
        </w:tc>
        <w:tc>
          <w:tcPr>
            <w:tcW w:w="776" w:type="pct"/>
            <w:tcBorders>
              <w:top w:val="nil"/>
              <w:left w:val="nil"/>
              <w:bottom w:val="single" w:color="333333" w:sz="8" w:space="0"/>
              <w:right w:val="single" w:color="333333" w:sz="8" w:space="0"/>
            </w:tcBorders>
            <w:shd w:val="clear" w:color="000000" w:fill="FFFFFF"/>
            <w:noWrap w:val="0"/>
            <w:vAlign w:val="bottom"/>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41337532</w:t>
            </w:r>
          </w:p>
        </w:tc>
      </w:tr>
      <w:tr>
        <w:tblPrEx>
          <w:tblCellMar>
            <w:top w:w="0" w:type="dxa"/>
            <w:left w:w="108" w:type="dxa"/>
            <w:bottom w:w="0" w:type="dxa"/>
            <w:right w:w="108" w:type="dxa"/>
          </w:tblCellMar>
        </w:tblPrEx>
        <w:trPr>
          <w:trHeight w:val="555" w:hRule="atLeast"/>
        </w:trPr>
        <w:tc>
          <w:tcPr>
            <w:tcW w:w="1985"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Theme="minorEastAsia" w:hAnsiTheme="minorEastAsia" w:eastAsiaTheme="minorEastAsia" w:cstheme="minorEastAsia"/>
                <w:b/>
                <w:bCs/>
                <w:color w:val="333333"/>
                <w:kern w:val="0"/>
                <w:sz w:val="20"/>
                <w:szCs w:val="20"/>
              </w:rPr>
            </w:pPr>
            <w:r>
              <w:rPr>
                <w:rFonts w:hint="eastAsia" w:asciiTheme="minorEastAsia" w:hAnsiTheme="minorEastAsia" w:eastAsiaTheme="minorEastAsia" w:cstheme="minorEastAsia"/>
                <w:b/>
                <w:bCs/>
                <w:color w:val="333333"/>
                <w:kern w:val="0"/>
                <w:sz w:val="20"/>
                <w:szCs w:val="20"/>
              </w:rPr>
              <w:t>2020年8月合计</w:t>
            </w:r>
          </w:p>
        </w:tc>
        <w:tc>
          <w:tcPr>
            <w:tcW w:w="777" w:type="pct"/>
            <w:tcBorders>
              <w:top w:val="nil"/>
              <w:left w:val="nil"/>
              <w:bottom w:val="single" w:color="333333" w:sz="8" w:space="0"/>
              <w:right w:val="single" w:color="333333" w:sz="8" w:space="0"/>
            </w:tcBorders>
            <w:shd w:val="clear" w:color="000000" w:fill="FFFFFF"/>
            <w:noWrap w:val="0"/>
            <w:vAlign w:val="center"/>
          </w:tcPr>
          <w:p>
            <w:pPr>
              <w:widowControl/>
              <w:jc w:val="center"/>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47482638.49</w:t>
            </w:r>
          </w:p>
        </w:tc>
        <w:tc>
          <w:tcPr>
            <w:tcW w:w="769" w:type="pct"/>
            <w:tcBorders>
              <w:top w:val="nil"/>
              <w:left w:val="nil"/>
              <w:bottom w:val="single" w:color="333333" w:sz="8" w:space="0"/>
              <w:right w:val="single" w:color="333333" w:sz="8" w:space="0"/>
            </w:tcBorders>
            <w:shd w:val="clear" w:color="000000" w:fill="FFFFFF"/>
            <w:noWrap w:val="0"/>
            <w:vAlign w:val="center"/>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14922925900.00 </w:t>
            </w:r>
          </w:p>
        </w:tc>
        <w:tc>
          <w:tcPr>
            <w:tcW w:w="690" w:type="pct"/>
            <w:tcBorders>
              <w:top w:val="nil"/>
              <w:left w:val="nil"/>
              <w:bottom w:val="single" w:color="333333" w:sz="8" w:space="0"/>
              <w:right w:val="single" w:color="333333" w:sz="8" w:space="0"/>
            </w:tcBorders>
            <w:shd w:val="clear" w:color="000000" w:fill="FFFFFF"/>
            <w:noWrap w:val="0"/>
            <w:vAlign w:val="center"/>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232398.93 </w:t>
            </w:r>
          </w:p>
        </w:tc>
        <w:tc>
          <w:tcPr>
            <w:tcW w:w="776" w:type="pct"/>
            <w:tcBorders>
              <w:top w:val="nil"/>
              <w:left w:val="nil"/>
              <w:bottom w:val="single" w:color="333333" w:sz="8" w:space="0"/>
              <w:right w:val="single" w:color="333333" w:sz="8" w:space="0"/>
            </w:tcBorders>
            <w:shd w:val="clear" w:color="000000" w:fill="FFFFFF"/>
            <w:noWrap w:val="0"/>
            <w:vAlign w:val="center"/>
          </w:tcPr>
          <w:p>
            <w:pPr>
              <w:widowControl/>
              <w:jc w:val="left"/>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70737532</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684ED7"/>
    <w:rsid w:val="048101D3"/>
    <w:rsid w:val="048C7CAA"/>
    <w:rsid w:val="04987F00"/>
    <w:rsid w:val="04A45D71"/>
    <w:rsid w:val="04B04E89"/>
    <w:rsid w:val="04BF7371"/>
    <w:rsid w:val="04C829A7"/>
    <w:rsid w:val="04E22C17"/>
    <w:rsid w:val="04F36106"/>
    <w:rsid w:val="04F4133B"/>
    <w:rsid w:val="05021B01"/>
    <w:rsid w:val="05292B71"/>
    <w:rsid w:val="052C0D66"/>
    <w:rsid w:val="05314FD7"/>
    <w:rsid w:val="053B1A3D"/>
    <w:rsid w:val="05500555"/>
    <w:rsid w:val="0558720E"/>
    <w:rsid w:val="057F2A2A"/>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251C0"/>
    <w:rsid w:val="0984738F"/>
    <w:rsid w:val="098C4592"/>
    <w:rsid w:val="098C467A"/>
    <w:rsid w:val="09915D75"/>
    <w:rsid w:val="0996332C"/>
    <w:rsid w:val="09BE1AF4"/>
    <w:rsid w:val="09E0028A"/>
    <w:rsid w:val="09E31010"/>
    <w:rsid w:val="09F11ACB"/>
    <w:rsid w:val="09FB6243"/>
    <w:rsid w:val="0A06506B"/>
    <w:rsid w:val="0A0A6618"/>
    <w:rsid w:val="0A29795D"/>
    <w:rsid w:val="0A2D68BE"/>
    <w:rsid w:val="0A3C22BA"/>
    <w:rsid w:val="0A3D34F3"/>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952410"/>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0FF5E5F"/>
    <w:rsid w:val="11365062"/>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DB164D"/>
    <w:rsid w:val="13E7373B"/>
    <w:rsid w:val="13FE142E"/>
    <w:rsid w:val="14176463"/>
    <w:rsid w:val="144B6D3F"/>
    <w:rsid w:val="14546EAA"/>
    <w:rsid w:val="147759A4"/>
    <w:rsid w:val="147A75E5"/>
    <w:rsid w:val="149C7CF0"/>
    <w:rsid w:val="14BC21CE"/>
    <w:rsid w:val="14BE2339"/>
    <w:rsid w:val="14BF4DCE"/>
    <w:rsid w:val="14D56BF6"/>
    <w:rsid w:val="14E36C24"/>
    <w:rsid w:val="14F32D76"/>
    <w:rsid w:val="14F5216B"/>
    <w:rsid w:val="15060A70"/>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3EF1"/>
    <w:rsid w:val="16116F4B"/>
    <w:rsid w:val="162E280E"/>
    <w:rsid w:val="164206BE"/>
    <w:rsid w:val="16600954"/>
    <w:rsid w:val="16734EEE"/>
    <w:rsid w:val="1691331C"/>
    <w:rsid w:val="16D82413"/>
    <w:rsid w:val="16E22B33"/>
    <w:rsid w:val="16F85570"/>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CA4E8D"/>
    <w:rsid w:val="18FC46F8"/>
    <w:rsid w:val="191B1724"/>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E2D20"/>
    <w:rsid w:val="1ACC4B7F"/>
    <w:rsid w:val="1AD34CD1"/>
    <w:rsid w:val="1AD417D6"/>
    <w:rsid w:val="1AE7665A"/>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487015"/>
    <w:rsid w:val="1D547E28"/>
    <w:rsid w:val="1D655DB6"/>
    <w:rsid w:val="1D980258"/>
    <w:rsid w:val="1D9C1F14"/>
    <w:rsid w:val="1DB113DA"/>
    <w:rsid w:val="1DFB4E0B"/>
    <w:rsid w:val="1E196DA1"/>
    <w:rsid w:val="1E2278F4"/>
    <w:rsid w:val="1E4062B7"/>
    <w:rsid w:val="1E5542CC"/>
    <w:rsid w:val="1E6D6ABE"/>
    <w:rsid w:val="1E755624"/>
    <w:rsid w:val="1E8C73FA"/>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0C55A62"/>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B677AD"/>
    <w:rsid w:val="25B904A8"/>
    <w:rsid w:val="25FD0304"/>
    <w:rsid w:val="261447E7"/>
    <w:rsid w:val="26162D47"/>
    <w:rsid w:val="26417898"/>
    <w:rsid w:val="26442276"/>
    <w:rsid w:val="26552532"/>
    <w:rsid w:val="26AD0D8B"/>
    <w:rsid w:val="26C17431"/>
    <w:rsid w:val="26C545A4"/>
    <w:rsid w:val="26C94300"/>
    <w:rsid w:val="26DF7D7C"/>
    <w:rsid w:val="26EE1723"/>
    <w:rsid w:val="26F154C7"/>
    <w:rsid w:val="26FD7030"/>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B71571"/>
    <w:rsid w:val="28BA104F"/>
    <w:rsid w:val="28C132F2"/>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B26F1"/>
    <w:rsid w:val="2AB25451"/>
    <w:rsid w:val="2AC063B7"/>
    <w:rsid w:val="2ACB5B48"/>
    <w:rsid w:val="2ACD0874"/>
    <w:rsid w:val="2AD267B8"/>
    <w:rsid w:val="2AD8059C"/>
    <w:rsid w:val="2B0A5818"/>
    <w:rsid w:val="2B0D737C"/>
    <w:rsid w:val="2B0F004D"/>
    <w:rsid w:val="2B154A20"/>
    <w:rsid w:val="2B6638DE"/>
    <w:rsid w:val="2B84406F"/>
    <w:rsid w:val="2B8F58E2"/>
    <w:rsid w:val="2BA07FAD"/>
    <w:rsid w:val="2BBF0DDA"/>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427218"/>
    <w:rsid w:val="30664FDE"/>
    <w:rsid w:val="30A00CB5"/>
    <w:rsid w:val="30AF5F22"/>
    <w:rsid w:val="30C14186"/>
    <w:rsid w:val="30D71496"/>
    <w:rsid w:val="30E73B0D"/>
    <w:rsid w:val="30FC61C2"/>
    <w:rsid w:val="30FD55E0"/>
    <w:rsid w:val="310F6F60"/>
    <w:rsid w:val="311333E6"/>
    <w:rsid w:val="311467EF"/>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555269"/>
    <w:rsid w:val="34B63281"/>
    <w:rsid w:val="34C105B0"/>
    <w:rsid w:val="34CA39B2"/>
    <w:rsid w:val="34D564C3"/>
    <w:rsid w:val="34DC79C0"/>
    <w:rsid w:val="34EC4B86"/>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B523AB"/>
    <w:rsid w:val="36C76D40"/>
    <w:rsid w:val="36F44E23"/>
    <w:rsid w:val="371D2966"/>
    <w:rsid w:val="373062E8"/>
    <w:rsid w:val="375C1AC9"/>
    <w:rsid w:val="37785098"/>
    <w:rsid w:val="377E7331"/>
    <w:rsid w:val="37A6234C"/>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95A0D"/>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567019"/>
    <w:rsid w:val="3B691338"/>
    <w:rsid w:val="3BA60160"/>
    <w:rsid w:val="3BB46CD1"/>
    <w:rsid w:val="3BB6128D"/>
    <w:rsid w:val="3BD11411"/>
    <w:rsid w:val="3BD837A5"/>
    <w:rsid w:val="3BED4242"/>
    <w:rsid w:val="3C317DDD"/>
    <w:rsid w:val="3C3D3F09"/>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8F0C9A"/>
    <w:rsid w:val="3E9953AC"/>
    <w:rsid w:val="3E9D3F84"/>
    <w:rsid w:val="3E9F3605"/>
    <w:rsid w:val="3EEC1C8D"/>
    <w:rsid w:val="3F0C0C5D"/>
    <w:rsid w:val="3F310E2B"/>
    <w:rsid w:val="3F3E5B85"/>
    <w:rsid w:val="3F4D19AF"/>
    <w:rsid w:val="3F691A99"/>
    <w:rsid w:val="3F837DDF"/>
    <w:rsid w:val="3FA21405"/>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1FE6085"/>
    <w:rsid w:val="42013C9E"/>
    <w:rsid w:val="420F24CA"/>
    <w:rsid w:val="421C0994"/>
    <w:rsid w:val="424F02B6"/>
    <w:rsid w:val="42683145"/>
    <w:rsid w:val="427133C0"/>
    <w:rsid w:val="42715180"/>
    <w:rsid w:val="4277762F"/>
    <w:rsid w:val="429D7D7D"/>
    <w:rsid w:val="42B23DF0"/>
    <w:rsid w:val="42B45768"/>
    <w:rsid w:val="42DD7341"/>
    <w:rsid w:val="42E637C3"/>
    <w:rsid w:val="42FD1410"/>
    <w:rsid w:val="43184FA0"/>
    <w:rsid w:val="431F563A"/>
    <w:rsid w:val="432D0CD2"/>
    <w:rsid w:val="4348259E"/>
    <w:rsid w:val="434C0977"/>
    <w:rsid w:val="434D5EB2"/>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7E0115"/>
    <w:rsid w:val="459B774E"/>
    <w:rsid w:val="45B72AB1"/>
    <w:rsid w:val="45CF5AD4"/>
    <w:rsid w:val="45DD06D9"/>
    <w:rsid w:val="460D21F2"/>
    <w:rsid w:val="460E0469"/>
    <w:rsid w:val="460E0A15"/>
    <w:rsid w:val="4635298E"/>
    <w:rsid w:val="464050BB"/>
    <w:rsid w:val="466B6702"/>
    <w:rsid w:val="466F037A"/>
    <w:rsid w:val="467737E1"/>
    <w:rsid w:val="46A075FA"/>
    <w:rsid w:val="46A359DC"/>
    <w:rsid w:val="46D7121E"/>
    <w:rsid w:val="46E07671"/>
    <w:rsid w:val="46FF57CE"/>
    <w:rsid w:val="47154F60"/>
    <w:rsid w:val="47700BCB"/>
    <w:rsid w:val="47C254B8"/>
    <w:rsid w:val="47DF082A"/>
    <w:rsid w:val="47EB5003"/>
    <w:rsid w:val="48081128"/>
    <w:rsid w:val="483A31DC"/>
    <w:rsid w:val="484715CC"/>
    <w:rsid w:val="485D616F"/>
    <w:rsid w:val="4873370F"/>
    <w:rsid w:val="48942C25"/>
    <w:rsid w:val="4898666C"/>
    <w:rsid w:val="489B75DE"/>
    <w:rsid w:val="489F44D2"/>
    <w:rsid w:val="48B5305A"/>
    <w:rsid w:val="48B63FE7"/>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D0A349B"/>
    <w:rsid w:val="4D0D2E78"/>
    <w:rsid w:val="4D0F04ED"/>
    <w:rsid w:val="4D384A7C"/>
    <w:rsid w:val="4D3A0411"/>
    <w:rsid w:val="4D427C91"/>
    <w:rsid w:val="4D7706F2"/>
    <w:rsid w:val="4DBE12C2"/>
    <w:rsid w:val="4DCE6ED3"/>
    <w:rsid w:val="4E095444"/>
    <w:rsid w:val="4E0E40E2"/>
    <w:rsid w:val="4E333BBB"/>
    <w:rsid w:val="4E665F7B"/>
    <w:rsid w:val="4E6A06E9"/>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371519"/>
    <w:rsid w:val="503D6ACE"/>
    <w:rsid w:val="505A0A75"/>
    <w:rsid w:val="509E2BD3"/>
    <w:rsid w:val="50C04426"/>
    <w:rsid w:val="50C95413"/>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15442E"/>
    <w:rsid w:val="533907AA"/>
    <w:rsid w:val="5341530E"/>
    <w:rsid w:val="534326DA"/>
    <w:rsid w:val="53434396"/>
    <w:rsid w:val="534D112E"/>
    <w:rsid w:val="53761C93"/>
    <w:rsid w:val="537B0A8C"/>
    <w:rsid w:val="5393301A"/>
    <w:rsid w:val="53971518"/>
    <w:rsid w:val="5399073D"/>
    <w:rsid w:val="53A84C2D"/>
    <w:rsid w:val="53AB2CD5"/>
    <w:rsid w:val="53AF23D8"/>
    <w:rsid w:val="53B31343"/>
    <w:rsid w:val="53B91D8C"/>
    <w:rsid w:val="53D82514"/>
    <w:rsid w:val="53E56E6E"/>
    <w:rsid w:val="53EB2495"/>
    <w:rsid w:val="53F17662"/>
    <w:rsid w:val="54010C17"/>
    <w:rsid w:val="542C2C82"/>
    <w:rsid w:val="543F012A"/>
    <w:rsid w:val="54635F00"/>
    <w:rsid w:val="54661F54"/>
    <w:rsid w:val="546C3F2D"/>
    <w:rsid w:val="547F46DA"/>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412A61"/>
    <w:rsid w:val="5A527BDD"/>
    <w:rsid w:val="5A905E59"/>
    <w:rsid w:val="5A9311E7"/>
    <w:rsid w:val="5AA72593"/>
    <w:rsid w:val="5AD0373D"/>
    <w:rsid w:val="5AF81B7B"/>
    <w:rsid w:val="5AF86253"/>
    <w:rsid w:val="5B081862"/>
    <w:rsid w:val="5B1C3DCA"/>
    <w:rsid w:val="5B24355B"/>
    <w:rsid w:val="5B340596"/>
    <w:rsid w:val="5B3F26B3"/>
    <w:rsid w:val="5B467F94"/>
    <w:rsid w:val="5B4B70AC"/>
    <w:rsid w:val="5B8A7522"/>
    <w:rsid w:val="5BA53E1C"/>
    <w:rsid w:val="5BA92AAB"/>
    <w:rsid w:val="5BB41290"/>
    <w:rsid w:val="5BC50503"/>
    <w:rsid w:val="5BF50EB6"/>
    <w:rsid w:val="5BF92128"/>
    <w:rsid w:val="5BFA7DB5"/>
    <w:rsid w:val="5BFB1F01"/>
    <w:rsid w:val="5C075DA6"/>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A1268E"/>
    <w:rsid w:val="5ED20F44"/>
    <w:rsid w:val="5EE7073E"/>
    <w:rsid w:val="5EF67A22"/>
    <w:rsid w:val="5EFB4ED5"/>
    <w:rsid w:val="5F123BC6"/>
    <w:rsid w:val="5F184877"/>
    <w:rsid w:val="5F1A7A37"/>
    <w:rsid w:val="5F2E3F46"/>
    <w:rsid w:val="5F474C09"/>
    <w:rsid w:val="5F475D4B"/>
    <w:rsid w:val="5F63419E"/>
    <w:rsid w:val="5F736746"/>
    <w:rsid w:val="5F880842"/>
    <w:rsid w:val="5FD95A66"/>
    <w:rsid w:val="5FDF7A00"/>
    <w:rsid w:val="5FE12AC5"/>
    <w:rsid w:val="5FF309C7"/>
    <w:rsid w:val="5FFC4765"/>
    <w:rsid w:val="60046C0F"/>
    <w:rsid w:val="600E4F7F"/>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7E3F09"/>
    <w:rsid w:val="64870014"/>
    <w:rsid w:val="64B76AA3"/>
    <w:rsid w:val="64C61C82"/>
    <w:rsid w:val="64D124DB"/>
    <w:rsid w:val="65233DA8"/>
    <w:rsid w:val="652A1A84"/>
    <w:rsid w:val="652A5D21"/>
    <w:rsid w:val="65480BBE"/>
    <w:rsid w:val="6554639C"/>
    <w:rsid w:val="65687D20"/>
    <w:rsid w:val="65933B3C"/>
    <w:rsid w:val="65B955CA"/>
    <w:rsid w:val="65BE6C54"/>
    <w:rsid w:val="65CC3546"/>
    <w:rsid w:val="65CE71FF"/>
    <w:rsid w:val="65EE73B7"/>
    <w:rsid w:val="661A0E12"/>
    <w:rsid w:val="66214D7C"/>
    <w:rsid w:val="6624580B"/>
    <w:rsid w:val="667B6C3F"/>
    <w:rsid w:val="66933BD2"/>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432C"/>
    <w:rsid w:val="68382592"/>
    <w:rsid w:val="684A32DA"/>
    <w:rsid w:val="68524FFC"/>
    <w:rsid w:val="68784674"/>
    <w:rsid w:val="687C00C8"/>
    <w:rsid w:val="687C4042"/>
    <w:rsid w:val="68A742AD"/>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93C93"/>
    <w:rsid w:val="6BBC51E6"/>
    <w:rsid w:val="6BBF609A"/>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F12FA"/>
    <w:rsid w:val="6D206AE2"/>
    <w:rsid w:val="6D5941BB"/>
    <w:rsid w:val="6D5B0CBD"/>
    <w:rsid w:val="6D8A08D8"/>
    <w:rsid w:val="6D961017"/>
    <w:rsid w:val="6DCE3EDB"/>
    <w:rsid w:val="6DD23F1E"/>
    <w:rsid w:val="6DDB4275"/>
    <w:rsid w:val="6DEE2081"/>
    <w:rsid w:val="6E0135EB"/>
    <w:rsid w:val="6E210E7D"/>
    <w:rsid w:val="6E336938"/>
    <w:rsid w:val="6E360304"/>
    <w:rsid w:val="6E565A56"/>
    <w:rsid w:val="6E5D68D3"/>
    <w:rsid w:val="6E682450"/>
    <w:rsid w:val="6E7251F0"/>
    <w:rsid w:val="6E757524"/>
    <w:rsid w:val="6E7934F3"/>
    <w:rsid w:val="6E9C5623"/>
    <w:rsid w:val="6E9E05A5"/>
    <w:rsid w:val="6EAD6286"/>
    <w:rsid w:val="6EB24C59"/>
    <w:rsid w:val="6EBD3CCD"/>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CA3FB8"/>
    <w:rsid w:val="73E63732"/>
    <w:rsid w:val="73EC345F"/>
    <w:rsid w:val="73FD1118"/>
    <w:rsid w:val="74090510"/>
    <w:rsid w:val="740E2D2D"/>
    <w:rsid w:val="7410282D"/>
    <w:rsid w:val="741752A2"/>
    <w:rsid w:val="74223A5C"/>
    <w:rsid w:val="746B6757"/>
    <w:rsid w:val="74780C44"/>
    <w:rsid w:val="747B5C9D"/>
    <w:rsid w:val="747F1177"/>
    <w:rsid w:val="748028C0"/>
    <w:rsid w:val="74A471EE"/>
    <w:rsid w:val="74C768EE"/>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827423F"/>
    <w:rsid w:val="78386307"/>
    <w:rsid w:val="78493B6B"/>
    <w:rsid w:val="7850391E"/>
    <w:rsid w:val="78597E32"/>
    <w:rsid w:val="78703EBE"/>
    <w:rsid w:val="78805A36"/>
    <w:rsid w:val="78830880"/>
    <w:rsid w:val="78A51D8F"/>
    <w:rsid w:val="78AE0946"/>
    <w:rsid w:val="78D1727E"/>
    <w:rsid w:val="78D17516"/>
    <w:rsid w:val="78D96E40"/>
    <w:rsid w:val="7911644D"/>
    <w:rsid w:val="792078D7"/>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81B8B"/>
    <w:rsid w:val="7BE97D38"/>
    <w:rsid w:val="7C272B3E"/>
    <w:rsid w:val="7C471D4F"/>
    <w:rsid w:val="7C5A71C2"/>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5733E1"/>
    <w:rsid w:val="7E660C33"/>
    <w:rsid w:val="7E6637F7"/>
    <w:rsid w:val="7E707801"/>
    <w:rsid w:val="7E733B66"/>
    <w:rsid w:val="7E8A121F"/>
    <w:rsid w:val="7EC12AAE"/>
    <w:rsid w:val="7EC52141"/>
    <w:rsid w:val="7EC73D34"/>
    <w:rsid w:val="7ED12FEE"/>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若相惜、卟弃-</cp:lastModifiedBy>
  <dcterms:modified xsi:type="dcterms:W3CDTF">2020-10-29T08:35:52Z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ies>
</file>