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bookmarkStart w:id="21" w:name="_GoBack"/>
      <w:r>
        <w:rPr>
          <w:rFonts w:ascii="宋体" w:hAnsi="宋体"/>
          <w:sz w:val="72"/>
          <w:szCs w:val="72"/>
        </w:rPr>
        <w:drawing>
          <wp:anchor distT="0" distB="0" distL="114300" distR="114300" simplePos="0" relativeHeight="251657216" behindDoc="1" locked="0" layoutInCell="1" allowOverlap="1">
            <wp:simplePos x="0" y="0"/>
            <wp:positionH relativeFrom="column">
              <wp:posOffset>-892810</wp:posOffset>
            </wp:positionH>
            <wp:positionV relativeFrom="paragraph">
              <wp:posOffset>-962025</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bookmarkEnd w:id="21"/>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11.26</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rPr>
          <w:color w:val="auto"/>
          <w:highlight w:val="none"/>
        </w:rPr>
      </w:pPr>
      <w:r>
        <w:rPr>
          <w:b w:val="0"/>
          <w:color w:val="auto"/>
          <w:sz w:val="24"/>
          <w:szCs w:val="24"/>
          <w:highlight w:val="none"/>
        </w:rPr>
        <w:fldChar w:fldCharType="begin"/>
      </w:r>
      <w:r>
        <w:rPr>
          <w:b w:val="0"/>
          <w:color w:val="auto"/>
          <w:sz w:val="24"/>
          <w:szCs w:val="24"/>
          <w:highlight w:val="none"/>
        </w:rPr>
        <w:instrText xml:space="preserve"> TOC \o "1-3" \h \z </w:instrText>
      </w:r>
      <w:r>
        <w:rPr>
          <w:b w:val="0"/>
          <w:color w:val="auto"/>
          <w:sz w:val="24"/>
          <w:szCs w:val="24"/>
          <w:highlight w:val="none"/>
        </w:rPr>
        <w:fldChar w:fldCharType="separate"/>
      </w:r>
      <w:r>
        <w:rPr>
          <w:color w:val="auto"/>
          <w:szCs w:val="24"/>
          <w:highlight w:val="none"/>
        </w:rPr>
        <w:fldChar w:fldCharType="begin"/>
      </w:r>
      <w:r>
        <w:rPr>
          <w:color w:val="auto"/>
          <w:szCs w:val="24"/>
          <w:highlight w:val="none"/>
        </w:rPr>
        <w:instrText xml:space="preserve"> HYPERLINK \l _Toc28204 </w:instrText>
      </w:r>
      <w:r>
        <w:rPr>
          <w:color w:val="auto"/>
          <w:szCs w:val="24"/>
          <w:highlight w:val="none"/>
        </w:rPr>
        <w:fldChar w:fldCharType="separate"/>
      </w:r>
      <w:r>
        <w:rPr>
          <w:rFonts w:hint="eastAsia"/>
          <w:color w:val="auto"/>
          <w:highlight w:val="none"/>
        </w:rPr>
        <w:t>一、国际原油市场回顾 </w:t>
      </w:r>
      <w:r>
        <w:rPr>
          <w:color w:val="auto"/>
          <w:highlight w:val="none"/>
        </w:rPr>
        <w:tab/>
      </w:r>
      <w:r>
        <w:rPr>
          <w:color w:val="auto"/>
          <w:highlight w:val="none"/>
        </w:rPr>
        <w:fldChar w:fldCharType="begin"/>
      </w:r>
      <w:r>
        <w:rPr>
          <w:color w:val="auto"/>
          <w:highlight w:val="none"/>
        </w:rPr>
        <w:instrText xml:space="preserve"> PAGEREF _Toc28204 </w:instrText>
      </w:r>
      <w:r>
        <w:rPr>
          <w:color w:val="auto"/>
          <w:highlight w:val="none"/>
        </w:rPr>
        <w:fldChar w:fldCharType="separate"/>
      </w:r>
      <w:r>
        <w:rPr>
          <w:color w:val="auto"/>
          <w:highlight w:val="none"/>
        </w:rPr>
        <w:t>3</w:t>
      </w:r>
      <w:r>
        <w:rPr>
          <w:color w:val="auto"/>
          <w:highlight w:val="none"/>
        </w:rPr>
        <w:fldChar w:fldCharType="end"/>
      </w:r>
      <w:r>
        <w:rPr>
          <w:color w:val="auto"/>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_Toc31041 </w:instrText>
      </w:r>
      <w:r>
        <w:rPr>
          <w:rFonts w:ascii="宋体" w:hAnsi="宋体"/>
          <w:color w:val="auto"/>
          <w:kern w:val="2"/>
          <w:szCs w:val="24"/>
          <w:highlight w:val="none"/>
        </w:rPr>
        <w:fldChar w:fldCharType="separate"/>
      </w:r>
      <w:r>
        <w:rPr>
          <w:rFonts w:hint="eastAsia" w:ascii="宋体" w:hAnsi="宋体"/>
          <w:color w:val="auto"/>
          <w:szCs w:val="30"/>
          <w:highlight w:val="none"/>
        </w:rPr>
        <w:t>1.1国际原油收盘价涨跌情况（单位：美元/桶）</w:t>
      </w:r>
      <w:r>
        <w:rPr>
          <w:color w:val="auto"/>
          <w:highlight w:val="none"/>
        </w:rPr>
        <w:tab/>
      </w:r>
      <w:r>
        <w:rPr>
          <w:color w:val="auto"/>
          <w:highlight w:val="none"/>
        </w:rPr>
        <w:fldChar w:fldCharType="begin"/>
      </w:r>
      <w:r>
        <w:rPr>
          <w:color w:val="auto"/>
          <w:highlight w:val="none"/>
        </w:rPr>
        <w:instrText xml:space="preserve"> PAGEREF _Toc31041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_Toc13265 </w:instrText>
      </w:r>
      <w:r>
        <w:rPr>
          <w:rFonts w:ascii="宋体" w:hAnsi="宋体"/>
          <w:color w:val="auto"/>
          <w:kern w:val="2"/>
          <w:szCs w:val="24"/>
          <w:highlight w:val="none"/>
        </w:rPr>
        <w:fldChar w:fldCharType="separate"/>
      </w:r>
      <w:r>
        <w:rPr>
          <w:rFonts w:hint="eastAsia" w:ascii="宋体" w:hAnsi="宋体"/>
          <w:color w:val="auto"/>
          <w:szCs w:val="30"/>
          <w:highlight w:val="none"/>
        </w:rPr>
        <w:t>1.</w:t>
      </w:r>
      <w:r>
        <w:rPr>
          <w:rFonts w:ascii="宋体" w:hAnsi="宋体"/>
          <w:color w:val="auto"/>
          <w:szCs w:val="30"/>
          <w:highlight w:val="none"/>
        </w:rPr>
        <w:t>2</w:t>
      </w:r>
      <w:r>
        <w:rPr>
          <w:rFonts w:hint="eastAsia" w:ascii="宋体" w:hAnsi="宋体"/>
          <w:color w:val="auto"/>
          <w:szCs w:val="30"/>
          <w:highlight w:val="none"/>
        </w:rPr>
        <w:t xml:space="preserve"> </w:t>
      </w:r>
      <w:r>
        <w:rPr>
          <w:rFonts w:ascii="宋体" w:hAnsi="宋体"/>
          <w:color w:val="auto"/>
          <w:szCs w:val="30"/>
          <w:highlight w:val="none"/>
        </w:rPr>
        <w:t>20</w:t>
      </w:r>
      <w:r>
        <w:rPr>
          <w:rFonts w:hint="eastAsia" w:ascii="宋体" w:hAnsi="宋体"/>
          <w:color w:val="auto"/>
          <w:szCs w:val="30"/>
          <w:highlight w:val="none"/>
          <w:lang w:val="en-US" w:eastAsia="zh-CN"/>
        </w:rPr>
        <w:t>20</w:t>
      </w:r>
      <w:r>
        <w:rPr>
          <w:rFonts w:ascii="宋体" w:hAnsi="宋体"/>
          <w:color w:val="auto"/>
          <w:szCs w:val="30"/>
          <w:highlight w:val="none"/>
        </w:rPr>
        <w:t>年</w:t>
      </w:r>
      <w:r>
        <w:rPr>
          <w:rFonts w:hint="eastAsia" w:ascii="宋体" w:hAnsi="宋体"/>
          <w:color w:val="auto"/>
          <w:szCs w:val="30"/>
          <w:highlight w:val="none"/>
        </w:rPr>
        <w:t>国际</w:t>
      </w:r>
      <w:r>
        <w:rPr>
          <w:rFonts w:ascii="宋体" w:hAnsi="宋体"/>
          <w:color w:val="auto"/>
          <w:szCs w:val="30"/>
          <w:highlight w:val="none"/>
        </w:rPr>
        <w:t>原油价格走势图</w:t>
      </w:r>
      <w:r>
        <w:rPr>
          <w:color w:val="auto"/>
          <w:highlight w:val="none"/>
        </w:rPr>
        <w:tab/>
      </w:r>
      <w:r>
        <w:rPr>
          <w:color w:val="auto"/>
          <w:highlight w:val="none"/>
        </w:rPr>
        <w:fldChar w:fldCharType="begin"/>
      </w:r>
      <w:r>
        <w:rPr>
          <w:color w:val="auto"/>
          <w:highlight w:val="none"/>
        </w:rPr>
        <w:instrText xml:space="preserve"> PAGEREF _Toc13265 </w:instrText>
      </w:r>
      <w:r>
        <w:rPr>
          <w:color w:val="auto"/>
          <w:highlight w:val="none"/>
        </w:rPr>
        <w:fldChar w:fldCharType="separate"/>
      </w:r>
      <w:r>
        <w:rPr>
          <w:color w:val="auto"/>
          <w:highlight w:val="none"/>
        </w:rPr>
        <w:t>3</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_Toc11108 </w:instrText>
      </w:r>
      <w:r>
        <w:rPr>
          <w:rFonts w:ascii="宋体" w:hAnsi="宋体"/>
          <w:color w:val="auto"/>
          <w:kern w:val="2"/>
          <w:szCs w:val="24"/>
          <w:highlight w:val="none"/>
        </w:rPr>
        <w:fldChar w:fldCharType="separate"/>
      </w:r>
      <w:r>
        <w:rPr>
          <w:rFonts w:hint="eastAsia"/>
          <w:color w:val="auto"/>
          <w:highlight w:val="none"/>
        </w:rPr>
        <w:t>二、 近期影响国际原油市场的主要因素</w:t>
      </w:r>
      <w:r>
        <w:rPr>
          <w:color w:val="auto"/>
          <w:highlight w:val="none"/>
        </w:rPr>
        <w:tab/>
      </w:r>
      <w:r>
        <w:rPr>
          <w:color w:val="auto"/>
          <w:highlight w:val="none"/>
        </w:rPr>
        <w:fldChar w:fldCharType="begin"/>
      </w:r>
      <w:r>
        <w:rPr>
          <w:color w:val="auto"/>
          <w:highlight w:val="none"/>
        </w:rPr>
        <w:instrText xml:space="preserve"> PAGEREF _Toc11108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_Toc24274 </w:instrText>
      </w:r>
      <w:r>
        <w:rPr>
          <w:rFonts w:ascii="宋体" w:hAnsi="宋体"/>
          <w:color w:val="auto"/>
          <w:kern w:val="2"/>
          <w:szCs w:val="24"/>
          <w:highlight w:val="none"/>
        </w:rPr>
        <w:fldChar w:fldCharType="separate"/>
      </w:r>
      <w:r>
        <w:rPr>
          <w:rFonts w:hint="eastAsia" w:ascii="宋体" w:hAnsi="宋体"/>
          <w:color w:val="auto"/>
          <w:szCs w:val="30"/>
          <w:highlight w:val="none"/>
        </w:rPr>
        <w:t>2.1影响国际原油市场的主要因素</w:t>
      </w:r>
      <w:r>
        <w:rPr>
          <w:color w:val="auto"/>
          <w:highlight w:val="none"/>
        </w:rPr>
        <w:tab/>
      </w:r>
      <w:r>
        <w:rPr>
          <w:color w:val="auto"/>
          <w:highlight w:val="none"/>
        </w:rPr>
        <w:fldChar w:fldCharType="begin"/>
      </w:r>
      <w:r>
        <w:rPr>
          <w:color w:val="auto"/>
          <w:highlight w:val="none"/>
        </w:rPr>
        <w:instrText xml:space="preserve"> PAGEREF _Toc24274 </w:instrText>
      </w:r>
      <w:r>
        <w:rPr>
          <w:color w:val="auto"/>
          <w:highlight w:val="none"/>
        </w:rPr>
        <w:fldChar w:fldCharType="separate"/>
      </w:r>
      <w:r>
        <w:rPr>
          <w:color w:val="auto"/>
          <w:highlight w:val="none"/>
        </w:rPr>
        <w:t>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_Toc1606 </w:instrText>
      </w:r>
      <w:r>
        <w:rPr>
          <w:rFonts w:ascii="宋体" w:hAnsi="宋体"/>
          <w:color w:val="auto"/>
          <w:kern w:val="2"/>
          <w:szCs w:val="24"/>
          <w:highlight w:val="none"/>
        </w:rPr>
        <w:fldChar w:fldCharType="separate"/>
      </w:r>
      <w:r>
        <w:rPr>
          <w:rFonts w:hint="eastAsia" w:ascii="宋体" w:hAnsi="宋体"/>
          <w:color w:val="auto"/>
          <w:szCs w:val="30"/>
          <w:highlight w:val="none"/>
        </w:rPr>
        <w:t>2.2国际市场MTBE价格</w:t>
      </w:r>
      <w:r>
        <w:rPr>
          <w:color w:val="auto"/>
          <w:highlight w:val="none"/>
        </w:rPr>
        <w:tab/>
      </w:r>
      <w:r>
        <w:rPr>
          <w:color w:val="auto"/>
          <w:highlight w:val="none"/>
        </w:rPr>
        <w:fldChar w:fldCharType="begin"/>
      </w:r>
      <w:r>
        <w:rPr>
          <w:color w:val="auto"/>
          <w:highlight w:val="none"/>
        </w:rPr>
        <w:instrText xml:space="preserve"> PAGEREF _Toc1606 </w:instrText>
      </w:r>
      <w:r>
        <w:rPr>
          <w:color w:val="auto"/>
          <w:highlight w:val="none"/>
        </w:rPr>
        <w:fldChar w:fldCharType="separate"/>
      </w:r>
      <w:r>
        <w:rPr>
          <w:color w:val="auto"/>
          <w:highlight w:val="none"/>
        </w:rPr>
        <w:t>15</w:t>
      </w:r>
      <w:r>
        <w:rPr>
          <w:color w:val="auto"/>
          <w:highlight w:val="none"/>
        </w:rPr>
        <w:fldChar w:fldCharType="end"/>
      </w:r>
      <w:r>
        <w:rPr>
          <w:rFonts w:ascii="宋体" w:hAnsi="宋体"/>
          <w:color w:val="auto"/>
          <w:kern w:val="2"/>
          <w:szCs w:val="24"/>
          <w:highlight w:val="none"/>
        </w:rPr>
        <w:fldChar w:fldCharType="end"/>
      </w:r>
    </w:p>
    <w:p>
      <w:pPr>
        <w:pStyle w:val="16"/>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_Toc23075 </w:instrText>
      </w:r>
      <w:r>
        <w:rPr>
          <w:rFonts w:ascii="宋体" w:hAnsi="宋体"/>
          <w:color w:val="auto"/>
          <w:kern w:val="2"/>
          <w:szCs w:val="24"/>
          <w:highlight w:val="none"/>
        </w:rPr>
        <w:fldChar w:fldCharType="separate"/>
      </w:r>
      <w:r>
        <w:rPr>
          <w:rFonts w:hint="eastAsia"/>
          <w:color w:val="auto"/>
          <w:highlight w:val="none"/>
        </w:rPr>
        <w:t>三、 本周国内市场</w:t>
      </w:r>
      <w:r>
        <w:rPr>
          <w:color w:val="auto"/>
          <w:highlight w:val="none"/>
        </w:rPr>
        <w:tab/>
      </w:r>
      <w:r>
        <w:rPr>
          <w:color w:val="auto"/>
          <w:highlight w:val="none"/>
        </w:rPr>
        <w:fldChar w:fldCharType="begin"/>
      </w:r>
      <w:r>
        <w:rPr>
          <w:color w:val="auto"/>
          <w:highlight w:val="none"/>
        </w:rPr>
        <w:instrText xml:space="preserve"> PAGEREF _Toc23075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_Toc4499 </w:instrText>
      </w:r>
      <w:r>
        <w:rPr>
          <w:rFonts w:ascii="宋体" w:hAnsi="宋体"/>
          <w:color w:val="auto"/>
          <w:kern w:val="2"/>
          <w:szCs w:val="24"/>
          <w:highlight w:val="none"/>
        </w:rPr>
        <w:fldChar w:fldCharType="separate"/>
      </w:r>
      <w:r>
        <w:rPr>
          <w:rFonts w:hint="eastAsia" w:ascii="宋体" w:hAnsi="宋体"/>
          <w:color w:val="auto"/>
          <w:szCs w:val="30"/>
          <w:highlight w:val="none"/>
        </w:rPr>
        <w:t>3.1 国内炼厂装置运行情况</w:t>
      </w:r>
      <w:r>
        <w:rPr>
          <w:color w:val="auto"/>
          <w:highlight w:val="none"/>
        </w:rPr>
        <w:tab/>
      </w:r>
      <w:r>
        <w:rPr>
          <w:color w:val="auto"/>
          <w:highlight w:val="none"/>
        </w:rPr>
        <w:fldChar w:fldCharType="begin"/>
      </w:r>
      <w:r>
        <w:rPr>
          <w:color w:val="auto"/>
          <w:highlight w:val="none"/>
        </w:rPr>
        <w:instrText xml:space="preserve"> PAGEREF _Toc4499 </w:instrText>
      </w:r>
      <w:r>
        <w:rPr>
          <w:color w:val="auto"/>
          <w:highlight w:val="none"/>
        </w:rPr>
        <w:fldChar w:fldCharType="separate"/>
      </w:r>
      <w:r>
        <w:rPr>
          <w:color w:val="auto"/>
          <w:highlight w:val="none"/>
        </w:rPr>
        <w:t>16</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_Toc23841 </w:instrText>
      </w:r>
      <w:r>
        <w:rPr>
          <w:rFonts w:ascii="宋体" w:hAnsi="宋体"/>
          <w:color w:val="auto"/>
          <w:kern w:val="2"/>
          <w:szCs w:val="24"/>
          <w:highlight w:val="none"/>
        </w:rPr>
        <w:fldChar w:fldCharType="separate"/>
      </w:r>
      <w:r>
        <w:rPr>
          <w:rFonts w:hint="eastAsia" w:ascii="宋体" w:hAnsi="宋体"/>
          <w:color w:val="auto"/>
          <w:szCs w:val="30"/>
          <w:highlight w:val="none"/>
        </w:rPr>
        <w:t>3.2本周成品油市场行情</w:t>
      </w:r>
      <w:r>
        <w:rPr>
          <w:color w:val="auto"/>
          <w:highlight w:val="none"/>
        </w:rPr>
        <w:tab/>
      </w:r>
      <w:r>
        <w:rPr>
          <w:color w:val="auto"/>
          <w:highlight w:val="none"/>
        </w:rPr>
        <w:fldChar w:fldCharType="begin"/>
      </w:r>
      <w:r>
        <w:rPr>
          <w:color w:val="auto"/>
          <w:highlight w:val="none"/>
        </w:rPr>
        <w:instrText xml:space="preserve"> PAGEREF _Toc23841 </w:instrText>
      </w:r>
      <w:r>
        <w:rPr>
          <w:color w:val="auto"/>
          <w:highlight w:val="none"/>
        </w:rPr>
        <w:fldChar w:fldCharType="separate"/>
      </w:r>
      <w:r>
        <w:rPr>
          <w:color w:val="auto"/>
          <w:highlight w:val="none"/>
        </w:rPr>
        <w:t>18</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_Toc17420 </w:instrText>
      </w:r>
      <w:r>
        <w:rPr>
          <w:rFonts w:ascii="宋体" w:hAnsi="宋体"/>
          <w:color w:val="auto"/>
          <w:kern w:val="2"/>
          <w:szCs w:val="24"/>
          <w:highlight w:val="none"/>
        </w:rPr>
        <w:fldChar w:fldCharType="separate"/>
      </w:r>
      <w:r>
        <w:rPr>
          <w:rFonts w:hint="eastAsia" w:ascii="宋体" w:hAnsi="宋体"/>
          <w:color w:val="auto"/>
          <w:szCs w:val="30"/>
          <w:highlight w:val="none"/>
        </w:rPr>
        <w:t>3.3 国内汽油价格周报</w:t>
      </w:r>
      <w:r>
        <w:rPr>
          <w:color w:val="auto"/>
          <w:highlight w:val="none"/>
        </w:rPr>
        <w:tab/>
      </w:r>
      <w:r>
        <w:rPr>
          <w:color w:val="auto"/>
          <w:highlight w:val="none"/>
        </w:rPr>
        <w:fldChar w:fldCharType="begin"/>
      </w:r>
      <w:r>
        <w:rPr>
          <w:color w:val="auto"/>
          <w:highlight w:val="none"/>
        </w:rPr>
        <w:instrText xml:space="preserve"> PAGEREF _Toc17420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_Toc5370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3.4国内柴油价格周报</w:t>
      </w:r>
      <w:r>
        <w:rPr>
          <w:color w:val="auto"/>
          <w:highlight w:val="none"/>
        </w:rPr>
        <w:tab/>
      </w:r>
      <w:r>
        <w:rPr>
          <w:color w:val="auto"/>
          <w:highlight w:val="none"/>
        </w:rPr>
        <w:fldChar w:fldCharType="begin"/>
      </w:r>
      <w:r>
        <w:rPr>
          <w:color w:val="auto"/>
          <w:highlight w:val="none"/>
        </w:rPr>
        <w:instrText xml:space="preserve"> PAGEREF _Toc5370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_Toc10709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3.5 山东地炼汽油出厂价格周报</w:t>
      </w:r>
      <w:r>
        <w:rPr>
          <w:color w:val="auto"/>
          <w:highlight w:val="none"/>
        </w:rPr>
        <w:tab/>
      </w:r>
      <w:r>
        <w:rPr>
          <w:color w:val="auto"/>
          <w:highlight w:val="none"/>
        </w:rPr>
        <w:fldChar w:fldCharType="begin"/>
      </w:r>
      <w:r>
        <w:rPr>
          <w:color w:val="auto"/>
          <w:highlight w:val="none"/>
        </w:rPr>
        <w:instrText xml:space="preserve"> PAGEREF _Toc10709 </w:instrText>
      </w:r>
      <w:r>
        <w:rPr>
          <w:color w:val="auto"/>
          <w:highlight w:val="none"/>
        </w:rPr>
        <w:fldChar w:fldCharType="separate"/>
      </w:r>
      <w:r>
        <w:rPr>
          <w:color w:val="auto"/>
          <w:highlight w:val="none"/>
        </w:rPr>
        <w:t>27</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_Toc19013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3.6 山东地炼柴油出厂价格周报</w:t>
      </w:r>
      <w:r>
        <w:rPr>
          <w:color w:val="auto"/>
          <w:highlight w:val="none"/>
        </w:rPr>
        <w:tab/>
      </w:r>
      <w:r>
        <w:rPr>
          <w:color w:val="auto"/>
          <w:highlight w:val="none"/>
        </w:rPr>
        <w:fldChar w:fldCharType="begin"/>
      </w:r>
      <w:r>
        <w:rPr>
          <w:color w:val="auto"/>
          <w:highlight w:val="none"/>
        </w:rPr>
        <w:instrText xml:space="preserve"> PAGEREF _Toc19013 </w:instrText>
      </w:r>
      <w:r>
        <w:rPr>
          <w:color w:val="auto"/>
          <w:highlight w:val="none"/>
        </w:rPr>
        <w:fldChar w:fldCharType="separate"/>
      </w:r>
      <w:r>
        <w:rPr>
          <w:color w:val="auto"/>
          <w:highlight w:val="none"/>
        </w:rPr>
        <w:t>29</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_Toc10784 </w:instrText>
      </w:r>
      <w:r>
        <w:rPr>
          <w:rFonts w:ascii="宋体" w:hAnsi="宋体"/>
          <w:color w:val="auto"/>
          <w:kern w:val="2"/>
          <w:szCs w:val="24"/>
          <w:highlight w:val="none"/>
        </w:rPr>
        <w:fldChar w:fldCharType="separate"/>
      </w:r>
      <w:r>
        <w:rPr>
          <w:rFonts w:hint="eastAsia" w:ascii="宋体" w:hAnsi="宋体"/>
          <w:color w:val="auto"/>
          <w:szCs w:val="30"/>
          <w:highlight w:val="none"/>
          <w:lang w:val="en-US" w:eastAsia="zh-CN"/>
        </w:rPr>
        <w:t>四、2020年9月份进出口统计数据</w:t>
      </w:r>
      <w:r>
        <w:rPr>
          <w:color w:val="auto"/>
          <w:highlight w:val="none"/>
        </w:rPr>
        <w:tab/>
      </w:r>
      <w:r>
        <w:rPr>
          <w:color w:val="auto"/>
          <w:highlight w:val="none"/>
        </w:rPr>
        <w:fldChar w:fldCharType="begin"/>
      </w:r>
      <w:r>
        <w:rPr>
          <w:color w:val="auto"/>
          <w:highlight w:val="none"/>
        </w:rPr>
        <w:instrText xml:space="preserve"> PAGEREF _Toc10784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_Toc27774 </w:instrText>
      </w:r>
      <w:r>
        <w:rPr>
          <w:rFonts w:ascii="宋体" w:hAnsi="宋体"/>
          <w:color w:val="auto"/>
          <w:kern w:val="2"/>
          <w:szCs w:val="24"/>
          <w:highlight w:val="none"/>
        </w:rPr>
        <w:fldChar w:fldCharType="separate"/>
      </w:r>
      <w:r>
        <w:rPr>
          <w:rFonts w:hint="eastAsia" w:ascii="宋体" w:hAnsi="宋体"/>
          <w:color w:val="auto"/>
          <w:szCs w:val="30"/>
          <w:highlight w:val="none"/>
        </w:rPr>
        <w:t>4.1 20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份全国车用汽油和航空汽油进出口统计数据</w:t>
      </w:r>
      <w:r>
        <w:rPr>
          <w:color w:val="auto"/>
          <w:highlight w:val="none"/>
        </w:rPr>
        <w:tab/>
      </w:r>
      <w:r>
        <w:rPr>
          <w:color w:val="auto"/>
          <w:highlight w:val="none"/>
        </w:rPr>
        <w:fldChar w:fldCharType="begin"/>
      </w:r>
      <w:r>
        <w:rPr>
          <w:color w:val="auto"/>
          <w:highlight w:val="none"/>
        </w:rPr>
        <w:instrText xml:space="preserve"> PAGEREF _Toc27774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_Toc20292 </w:instrText>
      </w:r>
      <w:r>
        <w:rPr>
          <w:rFonts w:ascii="宋体" w:hAnsi="宋体"/>
          <w:color w:val="auto"/>
          <w:kern w:val="2"/>
          <w:szCs w:val="24"/>
          <w:highlight w:val="none"/>
        </w:rPr>
        <w:fldChar w:fldCharType="separate"/>
      </w:r>
      <w:r>
        <w:rPr>
          <w:rFonts w:hint="eastAsia" w:ascii="宋体" w:hAnsi="宋体"/>
          <w:color w:val="auto"/>
          <w:szCs w:val="30"/>
          <w:highlight w:val="none"/>
        </w:rPr>
        <w:t>4.2 201</w:t>
      </w:r>
      <w:r>
        <w:rPr>
          <w:rFonts w:hint="eastAsia" w:ascii="宋体" w:hAnsi="宋体"/>
          <w:color w:val="auto"/>
          <w:szCs w:val="30"/>
          <w:highlight w:val="none"/>
          <w:lang w:val="en-US" w:eastAsia="zh-CN"/>
        </w:rPr>
        <w:t>8</w:t>
      </w:r>
      <w:r>
        <w:rPr>
          <w:rFonts w:hint="eastAsia" w:ascii="宋体" w:hAnsi="宋体"/>
          <w:color w:val="auto"/>
          <w:szCs w:val="30"/>
          <w:highlight w:val="none"/>
        </w:rPr>
        <w:t>年1</w:t>
      </w:r>
      <w:r>
        <w:rPr>
          <w:rFonts w:hint="eastAsia" w:ascii="宋体" w:hAnsi="宋体"/>
          <w:color w:val="auto"/>
          <w:szCs w:val="30"/>
          <w:highlight w:val="none"/>
          <w:lang w:val="en-US" w:eastAsia="zh-CN"/>
        </w:rPr>
        <w:t>1</w:t>
      </w:r>
      <w:r>
        <w:rPr>
          <w:rFonts w:hint="eastAsia" w:ascii="宋体" w:hAnsi="宋体"/>
          <w:color w:val="auto"/>
          <w:szCs w:val="30"/>
          <w:highlight w:val="none"/>
        </w:rPr>
        <w:t>月份全国轻柴油进出口统计数据</w:t>
      </w:r>
      <w:r>
        <w:rPr>
          <w:color w:val="auto"/>
          <w:highlight w:val="none"/>
        </w:rPr>
        <w:tab/>
      </w:r>
      <w:r>
        <w:rPr>
          <w:color w:val="auto"/>
          <w:highlight w:val="none"/>
        </w:rPr>
        <w:fldChar w:fldCharType="begin"/>
      </w:r>
      <w:r>
        <w:rPr>
          <w:color w:val="auto"/>
          <w:highlight w:val="none"/>
        </w:rPr>
        <w:instrText xml:space="preserve"> PAGEREF _Toc20292 </w:instrText>
      </w:r>
      <w:r>
        <w:rPr>
          <w:color w:val="auto"/>
          <w:highlight w:val="none"/>
        </w:rPr>
        <w:fldChar w:fldCharType="separate"/>
      </w:r>
      <w:r>
        <w:rPr>
          <w:color w:val="auto"/>
          <w:highlight w:val="none"/>
        </w:rPr>
        <w:t>32</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_Toc31298 </w:instrText>
      </w:r>
      <w:r>
        <w:rPr>
          <w:rFonts w:ascii="宋体" w:hAnsi="宋体"/>
          <w:color w:val="auto"/>
          <w:kern w:val="2"/>
          <w:szCs w:val="24"/>
          <w:highlight w:val="none"/>
        </w:rPr>
        <w:fldChar w:fldCharType="separate"/>
      </w:r>
      <w:r>
        <w:rPr>
          <w:rFonts w:hint="eastAsia" w:ascii="宋体" w:hAnsi="宋体"/>
          <w:color w:val="auto"/>
          <w:szCs w:val="30"/>
          <w:highlight w:val="none"/>
        </w:rPr>
        <w:t>4.3 20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月份全国原油进出口统计数据</w:t>
      </w:r>
      <w:r>
        <w:rPr>
          <w:color w:val="auto"/>
          <w:highlight w:val="none"/>
        </w:rPr>
        <w:tab/>
      </w:r>
      <w:r>
        <w:rPr>
          <w:color w:val="auto"/>
          <w:highlight w:val="none"/>
        </w:rPr>
        <w:fldChar w:fldCharType="begin"/>
      </w:r>
      <w:r>
        <w:rPr>
          <w:color w:val="auto"/>
          <w:highlight w:val="none"/>
        </w:rPr>
        <w:instrText xml:space="preserve"> PAGEREF _Toc31298 </w:instrText>
      </w:r>
      <w:r>
        <w:rPr>
          <w:color w:val="auto"/>
          <w:highlight w:val="none"/>
        </w:rPr>
        <w:fldChar w:fldCharType="separate"/>
      </w:r>
      <w:r>
        <w:rPr>
          <w:color w:val="auto"/>
          <w:highlight w:val="none"/>
        </w:rPr>
        <w:t>33</w:t>
      </w:r>
      <w:r>
        <w:rPr>
          <w:color w:val="auto"/>
          <w:highlight w:val="none"/>
        </w:rPr>
        <w:fldChar w:fldCharType="end"/>
      </w:r>
      <w:r>
        <w:rPr>
          <w:rFonts w:ascii="宋体" w:hAnsi="宋体"/>
          <w:color w:val="auto"/>
          <w:kern w:val="2"/>
          <w:szCs w:val="24"/>
          <w:highlight w:val="none"/>
        </w:rPr>
        <w:fldChar w:fldCharType="end"/>
      </w:r>
    </w:p>
    <w:p>
      <w:pPr>
        <w:pStyle w:val="20"/>
        <w:tabs>
          <w:tab w:val="right" w:leader="dot" w:pos="9638"/>
          <w:tab w:val="clear" w:pos="9170"/>
        </w:tabs>
        <w:rPr>
          <w:color w:val="auto"/>
          <w:highlight w:val="none"/>
        </w:rPr>
      </w:pPr>
      <w:r>
        <w:rPr>
          <w:rFonts w:ascii="宋体" w:hAnsi="宋体"/>
          <w:color w:val="auto"/>
          <w:kern w:val="2"/>
          <w:szCs w:val="24"/>
          <w:highlight w:val="none"/>
        </w:rPr>
        <w:fldChar w:fldCharType="begin"/>
      </w:r>
      <w:r>
        <w:rPr>
          <w:rFonts w:ascii="宋体" w:hAnsi="宋体"/>
          <w:color w:val="auto"/>
          <w:kern w:val="2"/>
          <w:szCs w:val="24"/>
          <w:highlight w:val="none"/>
        </w:rPr>
        <w:instrText xml:space="preserve"> HYPERLINK \l _Toc19589 </w:instrText>
      </w:r>
      <w:r>
        <w:rPr>
          <w:rFonts w:ascii="宋体" w:hAnsi="宋体"/>
          <w:color w:val="auto"/>
          <w:kern w:val="2"/>
          <w:szCs w:val="24"/>
          <w:highlight w:val="none"/>
        </w:rPr>
        <w:fldChar w:fldCharType="separate"/>
      </w:r>
      <w:r>
        <w:rPr>
          <w:rFonts w:hint="eastAsia" w:ascii="宋体" w:hAnsi="宋体"/>
          <w:color w:val="auto"/>
          <w:szCs w:val="30"/>
          <w:highlight w:val="none"/>
        </w:rPr>
        <w:t>4.4 20</w:t>
      </w:r>
      <w:r>
        <w:rPr>
          <w:rFonts w:hint="eastAsia" w:ascii="宋体" w:hAnsi="宋体"/>
          <w:color w:val="auto"/>
          <w:szCs w:val="30"/>
          <w:highlight w:val="none"/>
          <w:lang w:val="en-US" w:eastAsia="zh-CN"/>
        </w:rPr>
        <w:t>20</w:t>
      </w:r>
      <w:r>
        <w:rPr>
          <w:rFonts w:hint="eastAsia" w:ascii="宋体" w:hAnsi="宋体"/>
          <w:color w:val="auto"/>
          <w:szCs w:val="30"/>
          <w:highlight w:val="none"/>
        </w:rPr>
        <w:t>年</w:t>
      </w:r>
      <w:r>
        <w:rPr>
          <w:rFonts w:hint="eastAsia" w:ascii="宋体" w:hAnsi="宋体"/>
          <w:color w:val="auto"/>
          <w:szCs w:val="30"/>
          <w:highlight w:val="none"/>
          <w:lang w:val="en-US" w:eastAsia="zh-CN"/>
        </w:rPr>
        <w:t>9</w:t>
      </w:r>
      <w:r>
        <w:rPr>
          <w:rFonts w:hint="eastAsia" w:ascii="宋体" w:hAnsi="宋体"/>
          <w:color w:val="auto"/>
          <w:szCs w:val="30"/>
          <w:highlight w:val="none"/>
        </w:rPr>
        <w:t>月份全国航空煤油进出口统计数据</w:t>
      </w:r>
      <w:r>
        <w:rPr>
          <w:color w:val="auto"/>
          <w:highlight w:val="none"/>
        </w:rPr>
        <w:tab/>
      </w:r>
      <w:r>
        <w:rPr>
          <w:color w:val="auto"/>
          <w:highlight w:val="none"/>
        </w:rPr>
        <w:fldChar w:fldCharType="begin"/>
      </w:r>
      <w:r>
        <w:rPr>
          <w:color w:val="auto"/>
          <w:highlight w:val="none"/>
        </w:rPr>
        <w:instrText xml:space="preserve"> PAGEREF _Toc19589 </w:instrText>
      </w:r>
      <w:r>
        <w:rPr>
          <w:color w:val="auto"/>
          <w:highlight w:val="none"/>
        </w:rPr>
        <w:fldChar w:fldCharType="separate"/>
      </w:r>
      <w:r>
        <w:rPr>
          <w:color w:val="auto"/>
          <w:highlight w:val="none"/>
        </w:rPr>
        <w:t>34</w:t>
      </w:r>
      <w:r>
        <w:rPr>
          <w:color w:val="auto"/>
          <w:highlight w:val="none"/>
        </w:rPr>
        <w:fldChar w:fldCharType="end"/>
      </w:r>
      <w:r>
        <w:rPr>
          <w:rFonts w:ascii="宋体" w:hAnsi="宋体"/>
          <w:color w:val="auto"/>
          <w:kern w:val="2"/>
          <w:szCs w:val="24"/>
          <w:highlight w:val="none"/>
        </w:rPr>
        <w:fldChar w:fldCharType="end"/>
      </w:r>
    </w:p>
    <w:p>
      <w:pPr>
        <w:pStyle w:val="2"/>
        <w:spacing w:before="120" w:after="0" w:line="240" w:lineRule="auto"/>
        <w:rPr>
          <w:rFonts w:ascii="宋体" w:hAnsi="宋体"/>
          <w:b/>
          <w:color w:val="auto"/>
          <w:sz w:val="24"/>
          <w:szCs w:val="24"/>
          <w:highlight w:val="none"/>
        </w:rPr>
      </w:pPr>
      <w:r>
        <w:rPr>
          <w:rFonts w:ascii="宋体" w:hAnsi="宋体"/>
          <w:color w:val="auto"/>
          <w:kern w:val="2"/>
          <w:szCs w:val="24"/>
          <w:highlight w:val="none"/>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28204"/>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31041"/>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41.74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44.2</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原油收盘上涨，新冠疫苗将提振燃料需求的乐观情绪仍提振原油上涨，且日内公布的EIA原油库存意外减少也为油价提供利好。</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2020/11/20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42.15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44.96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原油收盘大幅上涨，连续三种候选新冠病毒疫苗的研究取得突破，激发了石油需求加速复苏的希望，提振油价上行。此外，市场对OPEC延长减产时间的乐观预期也利好原油。</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2020/11/23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43.06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46.06</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原油收盘上涨，也门胡塞武装袭击沙特阿美石油公司的一个储配站致使中东地缘局势升温。此外，新冠疫苗的研发取得积极进展也支撑油价。</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2020/11/24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44.91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47.86</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辉瑞正式提交疫苗紧急使用授权，新冠疫苗有望快速投入使用，加之市场对OPEC延长减产保持乐观预期，油价收盘小幅上涨。</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2020/11/25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45.71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48.61</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美国EIA原油库存持续增加以及国际能源署下调原油需求预期导致油价承压,加之疫情导致的需求下降仍令市场担忧，原油收盘小幅下跌。</w:t>
            </w:r>
          </w:p>
        </w:tc>
      </w:tr>
    </w:tbl>
    <w:p>
      <w:pPr>
        <w:jc w:val="center"/>
        <w:rPr>
          <w:rFonts w:hint="eastAsia"/>
        </w:rPr>
      </w:pPr>
    </w:p>
    <w:p>
      <w:pPr>
        <w:pStyle w:val="3"/>
        <w:spacing w:before="120" w:after="120" w:line="240" w:lineRule="auto"/>
        <w:rPr>
          <w:rFonts w:hint="eastAsia" w:ascii="宋体" w:hAnsi="宋体"/>
          <w:b/>
          <w:sz w:val="30"/>
          <w:szCs w:val="30"/>
        </w:rPr>
      </w:pPr>
      <w:bookmarkStart w:id="2" w:name="_Toc13265"/>
      <w:r>
        <w:rPr>
          <w:rFonts w:hint="eastAsia" w:ascii="宋体" w:hAnsi="宋体"/>
          <w:b/>
          <w:sz w:val="30"/>
          <w:szCs w:val="30"/>
        </w:rPr>
        <w:t>1.2 20</w:t>
      </w:r>
      <w:r>
        <w:rPr>
          <w:rFonts w:hint="eastAsia" w:ascii="宋体" w:hAnsi="宋体"/>
          <w:b/>
          <w:sz w:val="30"/>
          <w:szCs w:val="30"/>
          <w:lang w:val="en-US" w:eastAsia="zh-CN"/>
        </w:rPr>
        <w:t>20</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4989830" cy="3818890"/>
            <wp:effectExtent l="0" t="0" r="1270" b="1016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989830" cy="3818890"/>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1108"/>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427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55461786"/>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能源信息署(EIA)公布报告显示，截至11月13日当周美国除却战略储备的商业原油库存增幅不及预期，精炼油库存大幅度降低超预期，汽油库存超出预期。具体数据显示，美国截至11月13日当周EIA原油库存变动实际公布增长76.90万桶，预期增长160万桶，前值增长427.7万桶。此外，美国截至11月13日当周EIA汽油库存实际公布增加261.10万桶，预期增加80万桶，前值减少230.9万桶;美国截至11月13日当周EIA精炼油库存实际公布减少521.60万桶，预期减少150万桶，前值减少535.5万桶。美国石油协会(API)公布的数据显示，美国截至11月13日当周API原油库存增加417.4万桶，预期增加195万桶;汽油库存增加25.6万桶;精炼油库存减少502.4万桶。</w:t>
      </w:r>
    </w:p>
    <w:p>
      <w:pPr>
        <w:pStyle w:val="23"/>
        <w:spacing w:line="360" w:lineRule="auto"/>
        <w:ind w:firstLine="560" w:firstLineChars="200"/>
        <w:rPr>
          <w:rFonts w:hint="eastAsia" w:ascii="宋体" w:hAnsi="宋体" w:eastAsia="宋体" w:cs="宋体"/>
          <w:sz w:val="28"/>
          <w:szCs w:val="28"/>
        </w:rPr>
      </w:pPr>
    </w:p>
    <w:p>
      <w:pPr>
        <w:pStyle w:val="23"/>
        <w:spacing w:line="360" w:lineRule="auto"/>
        <w:ind w:firstLine="562" w:firstLineChars="200"/>
        <w:outlineLvl w:val="1"/>
        <w:rPr>
          <w:rFonts w:hint="eastAsia" w:ascii="宋体" w:hAnsi="宋体" w:eastAsia="宋体" w:cs="宋体"/>
          <w:b/>
          <w:sz w:val="28"/>
          <w:szCs w:val="28"/>
        </w:rPr>
      </w:pPr>
      <w:bookmarkStart w:id="6" w:name="_Toc57274580"/>
      <w:r>
        <w:rPr>
          <w:rFonts w:hint="eastAsia" w:ascii="宋体" w:hAnsi="宋体" w:eastAsia="宋体" w:cs="宋体"/>
          <w:b/>
          <w:sz w:val="28"/>
          <w:szCs w:val="28"/>
        </w:rPr>
        <w:t>2.美国经济形势</w:t>
      </w:r>
      <w:bookmarkEnd w:id="6"/>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北京时间26日凌晨，美股周三收盘涨跌不一，交投清淡。道指周二突破3万点后小幅回落。美上周首请失业救济人数意外升至五周最高，三季度GDP增长33.1%符合预期。美联储会议纪要暗示可能即将调整资产负债表。</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道指收盘跌173.77点，或0.58%，报29872.47点；纳指涨57.62点，或0.48%，报12094.40点；标普500指数跌5.76点，或0.16%，报3629.65点。</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节假日将至，周三美股交投清淡。周四是美国的感恩节假日，美股将休市。</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道指周二（11月24日）首次站上具有里程碑意义的3万点。美国正式开始政权过渡进程，降低了影响股市的政治不确定性因素；新冠疫苗研发捷报频传；市场对耶伦被提名为美国财政部长表示欢迎。</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11月迄今，道指涨幅已超13%，比3月份全球各地疫情爆发时的年内低位高出1万点。标普500指数逼近历史最高水平，分析师预计该指数今年将突破3800点。</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银在周二晚间发布的研报中表示：“经济复苏未见削弱，全球很可能会在2021年下半年重新开放，但是疫苗研发与经济复苏带来的乐观情绪已大致在股市中得到体现。现在的风险在于疫苗如何推广落实、财政刺激政策延迟以及更长的封锁期等可能性。”</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美国政权过渡进程正式开始。拜登准备提名在华尔街声望颇高的前美联储主席耶伦为下一任财政部长，消息令投资者欢呼雀跃。特朗普政府已正式开始政权过渡进程。</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在新一轮冠状病毒感染浪潮汹涌的同时，多家大型制药商的疫苗研发捷报频传，他们已表示疫苗接种指日可待。</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本周一，牛津大学和阿斯利康公司（AZN）宣布，其候选疫苗在两个大规模试验中均显示出70.4%的有效性。如果首次使用较低剂量接种，第二次再进行全剂量接种，则抗感染功效高达90%。</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在此之前，辉瑞制药（PFE）和BioNTech（BNTX）宣布已向美国食品和药物管理局（FDA）申请其疫苗的紧急使用授权（EUA），如获授权，两家公司将从12月开始在美国提供疫苗。</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如果公众能充分接种疫苗，旅行、休闲与娱乐等服务业的发展将受到极大刺激推动。</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高盛分析师在上周发布的研报中表示：“我们仍然高度确信：2021年和2022年GDP增幅将高于市场平均预期。”</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高盛称：“但鉴于冠状病毒疫情的迅速广泛传播，我们下调了对第四季度和明年第一季度GDP的预测。我们现在预计第四季度和明年第一季度的GDP年化增长率分别为3.5%和1.0%。”该银行先前的相应预测分别为4.5%和3.5%。</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不过，高盛表示：“今冬经济增长助力更大，意味着实现大规模免疫后的经济增速会更高，这将提高明年二季度及以后的经济增长速度。”</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美联储会议纪要：如有必要 将允许调整购债计划</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联储周三公布了其11月4日-5日FOMC货币政策会议的纪要文件。美联储会议纪要显示，美联储官员们参加了有关其资产购买计划的详细讨论，及其在支撑美联储就业最大化和通胀双重目标中的作用。官员们认为，在购债方面的谨慎考量是合适的。</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纪要显示，美联储官员们认为，当前的购买速度有助于保持财务状况的宽松，但他们指出，若情况发生变化，将允许调整购债计划。如有必要，可能提高购买速度或延长所购买的债券的到期时间。</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纪要称：“与会人员指出，委员会可以在适当的情况下，通过增加购买的步伐或转移到期限更长的债券购买，而不增加其购买规模，从而提供更多的宽松。或者，委员会可以酌情通过在更长的时间范围内以相同的步调和组成进行购买。”</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许多美联储官员认为，购买债券是为了防范风险。债券购买有助于防范若干风险，且很快就需要强化债券购买指引。几名政策制定者认为，资产购买可以防范长期利率面临的上行压力。多数官员倾向于在加息前缩减资产购买。</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目前，美联储每月购买1200亿美元的美国国债和抵押支持证券。美联储可以选择增加购买或延长购债的期限。</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纪要还显示，官员们担新冠病例的再度增加会破坏经济复苏。</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展望经济，美联储官员表示，他们假设到年底将不会推出任何财政刺激方案。但到今年年底，美国家庭已经节省了足够的资金来支持消费。官员们还指出，税收收据显示大多数州和市的情况并不像一些人所担心的那样糟糕。</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官员们仍然说，经济预测的风险“向下行倾斜，最新数据表明新冠疫情再次爆发的可能性增加。”会议纪要还称，委员会成员们“注意到经济活动和就业继续复苏，但仍远低于年初水平。”</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11月5日，美国联邦公开市场委员会（FOMC）公布最新利率决议，将基准利率维持在0%-0.25%区间不变，将超额准备金率（IOER）维持在0.1%不变，将贴现利率维持在0.25%不变，符合市场的普遍预期。</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据CME“美联储观察”，美联储12月维持利率在0%-0.25%区间的概率为100%，加息25个基点至0.25%-0.50%区间的概率为0%；明年1月维持利率在0%-0.25%区间的概率为100%，加息25个基点的概率为0%，与纪要公布前一致。</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美国上周首次申请失业救济人数意外升至五周最高水平</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美国上周首次申请州失业救济的人数意外跃升至一个月来最高水平，凸显出随着冠状病毒病例激增，脆弱的劳动力市场仍面临风险。</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美国劳工部周三报告称，截至11月21日当周，美国首次申请失业救济金人数增加3万，总数升至77.8万。如果不对季节性波动进行调整，该人数当周增加约7.8万。</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截至11月14日当周，持续申请失业救济的美国人减少了29.9万，降至607万。但申请补充失业救济的人数继续增加，表明越来越多的人已经用完了州失业救济金。</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由于新冠感染病例激增，一些州和地区关闭了学校，刚刚开始重新营业企业又重新关闭。与此同时，近几个月来，许多大公司都宣布裁员。</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据媒体调查，对首次申请失业救济和持续申请失业救济人数的预测中值分别为73万和600万。</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另一份数据表明，美国第三季度GDP增长33.1%，符合市场预期。70位经济学家对第三季度GDP的预测区间为上升31%至上升35%。</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具体数据面，三季度个人消费增长40.6%，前一个季度为下降33.2%。GDP价格指数增长3.6%，前一个季度为下降1.8%。三季度核心个人消费支出价格指数较前季度增长3.5%，前一个季度为下降0.8%。</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受到电脑和金属需求的支持，美国10月份耐用品订单增速快于预期，突显出制造业继续支撑经济。美国商务部公布的数据显示，耐用品--至少可以使用三年的物品--订单环比走高1.3%。9月的数据上修至增长2.1%。经济学家预测中值为增长0.8%。</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其他市场</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原油期货价格周三继续攀升，美国WTI原油与伦敦布伦特原油期货均创3月5日以来的最高收盘价。</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冠状病毒疫苗与疗法研究捷报频传，美国上周原油库存下降，提振油价上行。</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纽约商品交易所1月交割的西德州中质原油（WTI）期货价格上涨80美分，涨幅1.8%，收于每桶45.71美元。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伦敦洲际交易所1月交割的布伦特原油期货价格上涨75美分，涨幅1.6%，收于每桶48.61美元。</w:t>
      </w:r>
      <w:r>
        <w:rPr>
          <w:rFonts w:hint="eastAsia" w:ascii="宋体" w:hAnsi="宋体" w:eastAsia="宋体" w:cs="宋体"/>
          <w:color w:val="333335"/>
          <w:kern w:val="2"/>
          <w:sz w:val="28"/>
          <w:szCs w:val="28"/>
          <w:shd w:val="clear" w:color="auto" w:fill="FFFFFF"/>
        </w:rPr>
        <w:br w:type="textWrapping"/>
      </w:r>
      <w:r>
        <w:rPr>
          <w:rFonts w:hint="eastAsia" w:ascii="宋体" w:hAnsi="宋体" w:eastAsia="宋体" w:cs="宋体"/>
          <w:color w:val="333335"/>
          <w:kern w:val="2"/>
          <w:sz w:val="28"/>
          <w:szCs w:val="28"/>
          <w:shd w:val="clear" w:color="auto" w:fill="FFFFFF"/>
        </w:rPr>
        <w:t>　　周四是美国的感恩节假日，黄金市场将休市。</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p>
    <w:p>
      <w:pPr>
        <w:pStyle w:val="23"/>
        <w:rPr>
          <w:rFonts w:hint="eastAsia" w:ascii="宋体" w:hAnsi="宋体" w:eastAsia="宋体" w:cs="宋体"/>
          <w:color w:val="333335"/>
          <w:kern w:val="2"/>
          <w:sz w:val="28"/>
          <w:szCs w:val="28"/>
          <w:shd w:val="clear" w:color="auto" w:fill="FFFFFF"/>
        </w:rPr>
      </w:pPr>
    </w:p>
    <w:p>
      <w:pPr>
        <w:pStyle w:val="23"/>
        <w:ind w:firstLine="562" w:firstLineChars="200"/>
        <w:outlineLvl w:val="1"/>
        <w:rPr>
          <w:rFonts w:hint="eastAsia" w:ascii="宋体" w:hAnsi="宋体" w:eastAsia="宋体" w:cs="宋体"/>
          <w:b/>
          <w:bCs/>
          <w:sz w:val="28"/>
          <w:szCs w:val="28"/>
        </w:rPr>
      </w:pPr>
      <w:bookmarkStart w:id="7" w:name="_Toc57274581"/>
      <w:r>
        <w:rPr>
          <w:rFonts w:hint="eastAsia" w:ascii="宋体" w:hAnsi="宋体" w:eastAsia="宋体" w:cs="宋体"/>
          <w:b/>
          <w:bCs/>
          <w:sz w:val="28"/>
          <w:szCs w:val="28"/>
        </w:rPr>
        <w:t>3.世界经济形势</w:t>
      </w:r>
      <w:bookmarkEnd w:id="7"/>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月21日，习近平主席在北京以视频方式出席二十国集团领导人第十五次峰会第一阶段会议并发表重要讲话，强调二十国集团应该遵循共商共建共享原则，坚持多边主义、开放包容、互利合作、与时俱进，在后疫情时代国际秩序和全球治理方面发挥更大引领作用。</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11月24日，李克强总理同多位国际组织负责人举行第五次“1+6”圆桌对话会，就世界经济形势、中国经济形势以及后疫情全球经济治理等议题深入交流。</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后疫情时代全球经济复苏和增长备受关注。在此关键时刻，中国主动担当，积极作为，以清晰坚定的态度和积极务实的行动，有力推动国际经济合作，为世界经济复苏增长作出了重要贡献。</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第三季度，中国经济逐渐走出疫情阴霾，显示出强劲的复苏动力和潜力。国际货币基金组织10月发布的《世界经济展望报告》预测，2020年全球经济将萎缩4.4%，而中国将是全球唯一实现正增长的主要经济体。在新冠肺炎疫情大流行、世界经济面临严重衰退之际，持续恢复的中国经济为全球经济复苏注入了强大信心。</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疫情发生以来，全球产业链、供应链受到严重影响。中国有序推动复工复产，特别是全力推进外贸外资企业复工达产，以特殊时期的超常规举措力保关键环节和龙头企业正常运转，有力维护了全球产业链、供应链稳定，为全球经济复苏奠定了重要基础。</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当前，经济全球化遭遇逆风，自由贸易体制受到冲击，单边主义、保护主义上升。面对种种挑战，中国一方面集中精力办好自己的事，加快构建以国内大循环为主体、国内国际双循环相互促进的新发展格局，持续扩大对外开放，推动贸易投资自由化、便利化;另一方面坚持推动构建人类命运共同体，积极倡议各国坚定不移建设开放型世界经济，共同维护多边贸易体制。</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从服贸会、广交会，再到进博会，中国为推动国际经贸合作搭建了多个开放平台。为推动《区域全面经济伙伴关系协定》(RCEP)签署，中国全程参与谈判并发挥了积极的建设性作用。据国际智库测算，到2030年，RCEP有望每年带动成员国出口净增加5190亿美元，国民收入净增加1860亿美元，将对促进全球经济复苏发挥重要作用。</w:t>
      </w:r>
    </w:p>
    <w:p>
      <w:pPr>
        <w:pStyle w:val="23"/>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世界经济面临重重挑战，团结合作是走出阴霾、走向光明未来的最佳途径。中方愿继续同国际社会加强合作，共同促进后疫情时代全球经济复苏与增长，增进各国人民福祉。</w:t>
      </w:r>
    </w:p>
    <w:p>
      <w:pPr>
        <w:pStyle w:val="23"/>
        <w:spacing w:line="360" w:lineRule="auto"/>
        <w:ind w:firstLine="560" w:firstLineChars="200"/>
        <w:rPr>
          <w:rFonts w:hint="eastAsia" w:ascii="宋体" w:hAnsi="宋体" w:eastAsia="宋体" w:cs="宋体"/>
          <w:sz w:val="28"/>
          <w:szCs w:val="28"/>
        </w:rPr>
      </w:pPr>
    </w:p>
    <w:p>
      <w:pPr>
        <w:pStyle w:val="23"/>
        <w:numPr>
          <w:ilvl w:val="0"/>
          <w:numId w:val="0"/>
        </w:numPr>
        <w:outlineLvl w:val="1"/>
        <w:rPr>
          <w:rFonts w:hint="eastAsia" w:asciiTheme="minorEastAsia" w:hAnsiTheme="minorEastAsia" w:eastAsiaTheme="minorEastAsia" w:cstheme="minorEastAsia"/>
          <w:b/>
          <w:bCs/>
          <w:sz w:val="32"/>
          <w:szCs w:val="32"/>
        </w:rPr>
      </w:pPr>
    </w:p>
    <w:p>
      <w:pPr>
        <w:pStyle w:val="23"/>
        <w:numPr>
          <w:ilvl w:val="0"/>
          <w:numId w:val="2"/>
        </w:numPr>
        <w:outlineLvl w:val="1"/>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后市预测</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本周美国WTI原油原油价格在41.74-45.71美元/桶。布伦特原油价格在44.2-48.61美元/桶震荡。周内国际油价上涨。美国EIA原油库存意外录得下降，美国政局平稳过渡消除市场不确定性，疫苗利好也仍然施加支撑，外盘11月25日油价继续上涨。1月WTI：45.71涨0.80;1月布伦特：48.61涨0.75。基本面利好因素：1.香港时间周三晚23:30，美国能源信息署(EIA)公布的数据显示，截至11月20日当周，EIA原油库存减少75.40万桶至4.887亿桶，降幅0.2%，预期增长22.5万桶，前值增长76.9万桶;精炼油库存实际公布减少144.10万桶，预期减少225万桶，前值减少521.6万桶;上周原油出口增加8.3万桶/日至283.1万桶/日;商业原油上周进口522.8万桶/日，较前一周减少2.6万桶/日;美国原油产品四周平均供应量为1931.5万桶/日，较去年同期减少9.1%。2.据美国《国会山报》周二报道，在美国总务管理局正式批准权力过渡的第二天，拜登过渡团队已安排与特朗普政府机构和部门负责人举行大约20次会议。当日，拜登宣布了一系列人事任命，前副国务卿安东尼·布林肯将担任国务卿，希拉里竞选团队前高级政策顾问沙利文将担任国家安全顾问，马约卡斯将主管国土安全部门。但财长人选仍未公布，此前媒体报道耶伦将出任这一职位。如果得到参议院的批准，她将成为首位领导美国财政部的女性。周一，美国总统特朗普允许官员们继续向即将上台的拜登政府过渡，这也有助于缓解金融市场的不确定性。尽管特朗普誓言要继续努力对抗选举结果，但他仍让拜登获得了简报和资金。3.美国卫生部长阿扎尔周二表示，卫生部将确保纽约获得新冠疫苗。再生元的抗体治疗药物在周二开始分发，预计将有3万剂再生元的药物出运。据美国有线电视新闻网(CNN)上周日报道，美国新冠病毒疫苗研发工作小组负责人蒙塞夫·史劳依(Moncef Slaoui)表示，首批美国人最早可能在12月11日接种疫苗。上周五(11月20日)辉瑞向美国食品药品监督管理局(FDA)提交了申请，要求批准其新冠候选疫苗的紧急使用授权，FDA疫苗咨询委员会定于12月10日开会。史劳依说，这意味着如果获得批准，疫苗可能会在第二天推出。4.阿斯利康和牛津大学周一表示，根据在英国和巴西进行的一项大型阶段性临床试验的数据，他们的候选新冠疫苗在预防感染方面的有效性高达90%。三期疫苗试验的中期分析发现，如果先接种一半剂量，一个月后再接种全剂量，该实验性疫苗的有效性为90%。如果相隔一个月全剂量接种两次，有效率降至62%。牛津疫苗试验的首席研究员Andrew Pollard在一份声明中说：“这些研究结果表明，我们有一种有效的疫苗，将挽救许多人的生命。”他还表示：“令人兴奋的是，我们发现我们的一种接种方案可能有90%左右的有效性，如果使用这种方案，计划中的疫苗供应可供更多人接种。”基本面利空因素：1.香港时间周三凌晨05：30，美国石油协会(API)公布的数据显示，截至11月20日当周，API原油库存增加380万桶至4.9亿桶，预期减少33.3万桶;汽油库存增加130万桶;精炼油库存减少180万桶;库欣原油库存减少140万桶;上周汽油库存增加130万桶;上周精炼油库存减少180万桶;上周原油进口增加23.7万桶/日。2.因欧洲和美国疫情恶化、一些国家需求疲软，产量上升，表明基本面太弱，无法支撑油价，国际能源信息署(IEA)在月报中下调原油需求预期，将2020年全球原油需求预期下调40万桶/日;预计欧佩克国家的石油产量在2020年将减少130万桶/日，在2021年将增加20万桶/日。10月份全球石油供应量环比增加20万桶/日，欧佩克+产量基本持稳。除非基本面发生改变，否则重新平衡石油市场的任务将进展缓慢。3.据Worldometers实时统计数据显示，截至香港时间11月26日01时51分，全球新冠病毒确诊病例达6041万例，新增326352例至60419883例，死亡病例达141万例，新增6790例至1420634例。全球确诊病例超过10万例的国家增至64个。美国新冠病毒确诊病例达1300万例，新增48668例至13003813例，占全球确诊病例的约五分之一;死亡病例达26万例，新增686例至266584例，占全球死亡人数的近五分之一。</w:t>
      </w:r>
    </w:p>
    <w:p>
      <w:pPr>
        <w:pStyle w:val="23"/>
        <w:spacing w:line="360" w:lineRule="auto"/>
        <w:ind w:firstLine="560" w:firstLineChars="200"/>
        <w:rPr>
          <w:rFonts w:hint="eastAsia" w:ascii="宋体" w:hAnsi="宋体" w:eastAsia="宋体" w:cs="宋体"/>
          <w:color w:val="333335"/>
          <w:kern w:val="2"/>
          <w:sz w:val="28"/>
          <w:szCs w:val="28"/>
          <w:shd w:val="clear" w:color="auto" w:fill="FFFFFF"/>
        </w:rPr>
      </w:pPr>
      <w:r>
        <w:rPr>
          <w:rFonts w:hint="eastAsia" w:ascii="宋体" w:hAnsi="宋体" w:eastAsia="宋体" w:cs="宋体"/>
          <w:color w:val="333335"/>
          <w:kern w:val="2"/>
          <w:sz w:val="28"/>
          <w:szCs w:val="28"/>
          <w:shd w:val="clear" w:color="auto" w:fill="FFFFFF"/>
        </w:rPr>
        <w:t>预测下周WTI油价将触及40-46美元/桶，布油在之后几个月触及43-49美元/桶。</w:t>
      </w:r>
    </w:p>
    <w:p>
      <w:pPr>
        <w:pStyle w:val="23"/>
        <w:numPr>
          <w:ilvl w:val="0"/>
          <w:numId w:val="0"/>
        </w:numPr>
        <w:outlineLvl w:val="1"/>
        <w:rPr>
          <w:rFonts w:hint="eastAsia" w:asciiTheme="minorEastAsia" w:hAnsiTheme="minorEastAsia" w:eastAsiaTheme="minorEastAsia" w:cstheme="minorEastAsia"/>
          <w:b/>
          <w:bCs/>
          <w:sz w:val="32"/>
          <w:szCs w:val="32"/>
        </w:rPr>
      </w:pPr>
    </w:p>
    <w:p>
      <w:pPr>
        <w:pStyle w:val="3"/>
        <w:spacing w:before="120" w:after="120" w:line="240" w:lineRule="auto"/>
        <w:rPr>
          <w:rFonts w:hint="eastAsia" w:ascii="宋体" w:hAnsi="宋体"/>
          <w:b/>
          <w:sz w:val="30"/>
          <w:szCs w:val="30"/>
          <w:highlight w:val="none"/>
        </w:rPr>
      </w:pPr>
      <w:bookmarkStart w:id="8" w:name="_Toc1606"/>
      <w:r>
        <w:rPr>
          <w:rFonts w:hint="eastAsia" w:ascii="宋体" w:hAnsi="宋体"/>
          <w:b/>
          <w:sz w:val="30"/>
          <w:szCs w:val="30"/>
          <w:highlight w:val="none"/>
        </w:rPr>
        <w:t>2.2国际市场MTBE价格</w:t>
      </w:r>
      <w:bookmarkEnd w:id="8"/>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23075"/>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auto" w:sz="4" w:space="0"/>
              <w:left w:val="single" w:color="auto" w:sz="4" w:space="0"/>
              <w:bottom w:val="single" w:color="auto" w:sz="4" w:space="0"/>
              <w:right w:val="single" w:color="auto"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11月25日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464.50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138.67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453.75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11月24日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444.50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135.75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445.25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11月23日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436.50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127.65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422.00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11月20日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425.50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124.77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414.75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11月19日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420.00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123.50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409.00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4499"/>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69"/>
        <w:gridCol w:w="1627"/>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56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炼厂名称</w:t>
            </w:r>
          </w:p>
        </w:tc>
        <w:tc>
          <w:tcPr>
            <w:tcW w:w="162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燕山石化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塔河石化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上海石化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镇海炼化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茂名石化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2020年7月中旬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北海炼化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天津石化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齐鲁石化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2020年9中上旬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武汉石化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850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青岛石化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2020年10中旬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大连石化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广西石化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宁夏石化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云南石化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1300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2020年12月中上旬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2021年1月底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9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锦西石化</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2020年7月中上旬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惠州炼厂</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1000</w:t>
            </w:r>
          </w:p>
        </w:tc>
        <w:tc>
          <w:tcPr>
            <w:tcW w:w="4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kern w:val="0"/>
                <w:szCs w:val="21"/>
                <w:lang w:val="en-US" w:eastAsia="zh-CN"/>
              </w:rPr>
            </w:pPr>
            <w:r>
              <w:rPr>
                <w:rFonts w:hint="eastAsia" w:asciiTheme="minorEastAsia" w:hAnsiTheme="minorEastAsia" w:eastAsiaTheme="minorEastAsia" w:cstheme="minorEastAsia"/>
                <w:i w:val="0"/>
                <w:color w:val="000000"/>
                <w:kern w:val="0"/>
                <w:sz w:val="21"/>
                <w:szCs w:val="21"/>
                <w:u w:val="none"/>
                <w:lang w:val="en-US" w:eastAsia="zh-CN" w:bidi="ar"/>
              </w:rPr>
              <w:t>检修延至2021年2月-4月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270" w:hRule="atLeast"/>
        </w:trPr>
        <w:tc>
          <w:tcPr>
            <w:tcW w:w="156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中海油气(泰州)</w:t>
            </w:r>
          </w:p>
        </w:tc>
        <w:tc>
          <w:tcPr>
            <w:tcW w:w="162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2020年4月下旬</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522"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277"/>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2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2019年9月1</w:t>
            </w:r>
            <w:r>
              <w:rPr>
                <w:rFonts w:hint="eastAsia" w:ascii="宋体" w:hAnsi="宋体" w:cs="宋体"/>
                <w:i w:val="0"/>
                <w:color w:val="000000"/>
                <w:kern w:val="0"/>
                <w:sz w:val="21"/>
                <w:szCs w:val="21"/>
                <w:u w:val="none"/>
                <w:lang w:val="en-US" w:eastAsia="zh-CN" w:bidi="ar"/>
              </w:rPr>
              <w:t>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w:t>
            </w:r>
            <w:r>
              <w:rPr>
                <w:rFonts w:hint="eastAsia" w:ascii="宋体" w:hAnsi="宋体" w:cs="宋体"/>
                <w:i w:val="0"/>
                <w:color w:val="000000"/>
                <w:kern w:val="0"/>
                <w:sz w:val="21"/>
                <w:szCs w:val="21"/>
                <w:u w:val="none"/>
                <w:lang w:val="en-US" w:eastAsia="zh-CN" w:bidi="ar"/>
              </w:rPr>
              <w:t>20</w:t>
            </w:r>
            <w:r>
              <w:rPr>
                <w:rFonts w:hint="eastAsia" w:ascii="宋体" w:hAnsi="宋体" w:eastAsia="宋体" w:cs="宋体"/>
                <w:i w:val="0"/>
                <w:color w:val="000000"/>
                <w:kern w:val="0"/>
                <w:sz w:val="21"/>
                <w:szCs w:val="21"/>
                <w:u w:val="none"/>
                <w:lang w:val="en-US" w:eastAsia="zh-CN" w:bidi="ar"/>
              </w:rPr>
              <w:t>年</w:t>
            </w:r>
            <w:r>
              <w:rPr>
                <w:rFonts w:hint="eastAsia" w:ascii="宋体" w:hAnsi="宋体" w:cs="宋体"/>
                <w:i w:val="0"/>
                <w:color w:val="000000"/>
                <w:kern w:val="0"/>
                <w:sz w:val="21"/>
                <w:szCs w:val="21"/>
                <w:u w:val="none"/>
                <w:lang w:val="en-US" w:eastAsia="zh-CN" w:bidi="ar"/>
              </w:rPr>
              <w:t>6</w:t>
            </w:r>
            <w:r>
              <w:rPr>
                <w:rFonts w:hint="eastAsia" w:ascii="宋体" w:hAnsi="宋体" w:eastAsia="宋体" w:cs="宋体"/>
                <w:i w:val="0"/>
                <w:color w:val="000000"/>
                <w:kern w:val="0"/>
                <w:sz w:val="21"/>
                <w:szCs w:val="21"/>
                <w:u w:val="none"/>
                <w:lang w:val="en-US" w:eastAsia="zh-CN" w:bidi="ar"/>
              </w:rPr>
              <w:t>月1</w:t>
            </w:r>
            <w:r>
              <w:rPr>
                <w:rFonts w:hint="eastAsia" w:ascii="宋体" w:hAnsi="宋体" w:cs="宋体"/>
                <w:i w:val="0"/>
                <w:color w:val="000000"/>
                <w:kern w:val="0"/>
                <w:sz w:val="21"/>
                <w:szCs w:val="21"/>
                <w:u w:val="none"/>
                <w:lang w:val="en-US" w:eastAsia="zh-CN" w:bidi="ar"/>
              </w:rPr>
              <w:t>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2020年7月26日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2020年7月20日左右</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2020年7月初</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2020年7月30日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计划2020年9月份</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2020年2月10日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2020年8月4日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后期装置拆除</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2020年8月12日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2020年9月13日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中海东营石化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2020年9月3日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2020年10月8日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2020年10月5日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齐成石化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2020年10月7日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10" w:firstLineChars="100"/>
              <w:jc w:val="both"/>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2020年10月23日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2020年10月26日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0"/>
                <w:szCs w:val="20"/>
                <w:u w:val="none"/>
                <w:lang w:val="en-US" w:eastAsia="zh-CN" w:bidi="ar"/>
              </w:rPr>
              <w:t>计划2020年11月中旬</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2020年10月31日</w:t>
            </w:r>
          </w:p>
        </w:tc>
        <w:tc>
          <w:tcPr>
            <w:tcW w:w="22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计划2020年11月12日</w:t>
            </w:r>
          </w:p>
        </w:tc>
      </w:tr>
    </w:tbl>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23841"/>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12" w:name="_Toc17420"/>
      <w:r>
        <w:rPr>
          <w:rFonts w:hint="eastAsia" w:asciiTheme="minorEastAsia" w:hAnsiTheme="minorEastAsia" w:eastAsiaTheme="minorEastAsia" w:cstheme="minorEastAsia"/>
          <w:color w:val="333335"/>
          <w:kern w:val="2"/>
          <w:sz w:val="28"/>
          <w:szCs w:val="28"/>
          <w:shd w:val="clear" w:color="auto" w:fill="FFFFFF"/>
        </w:rPr>
        <w:t>本周，国际原油期货持续上行，据测算第五个工作日参考原油变化率为8.02%。受此影响，国内成品油市场行情整体上行，各地主营单位汽柴油价格上调。与此同时，山东地炼成品油行情稳中上行，区内炼厂报价纷纷调涨，但成交始终保持100元/吨左右优惠。具体来看出货方面：外盘油价持续上涨提振业者心态，区内油市看涨气氛浓厚，中间商大单采购意向渐起且终端用户多入市补仓，因此地炼整体出货量得到明显提升，周期内平均产销比在100%附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本周(11月20日-11月26日)原油连涨提振 为油价推涨增添动力 具体分析如下，周内国际原油期价实现四连涨，且涨幅较大，变化率正向区间不断延伸，消息面对油市提供有力支撑。受此影响，华中区内各单位纷纷调涨报价，柴油涨幅集中在100-200元/吨，汽油涨幅稍弱。部分欠量单位为进一步冲刺销量，实行高挂低卖政策，优惠政策十分宽松灵活。下游消库之余按需采购，局部地区成交气氛稍有好转，但随着价格涨至高位，下游接货跟进乏力，整体购销气氛仍显一般。后市来看，因前期国际原油涨势过猛，短期或维持窄幅整理态势，但本轮零售价上调预期难有改变，消息面指向或维持利好。加之临近月末主营销售任务陆续完成，挺价意向普遍较高。预计下周区内汽柴油价格高位持坚，个别欠量单位或维持宽松优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19日-11月26日)，华南地区汽柴油市场延续稳中上涨走势，交投气氛有所好转。具体来看，周内国际原油市场强势回涨，提振成品油上调窗口不断拉宽，业者看涨情绪升温，广东地区主营单位多顺势推涨，受买涨心态影响，下游终端企业及贸易商采购操作增加，成交情况尚可，不过随着补仓操作陆续结束，成交面趋于平稳，同时由于终端实际消耗量处于低位，市场大单操作仍显谨慎。福建地区油市维持震荡走高趋势，成交价格有所推涨，不过由于市场需求平稳，交投气氛表现稳定。国际原油市场仍存震荡走高趋势，消息面对市场形成利好支撑，但市场需求回归平稳，短期内市场守稳待市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20日-11月26日)，华东地区成品油行情大幅上涨，但市场汽柴油需求一般，整体交投氛围清淡不已。具体来看，周内国际油价涨幅近9%，消息面多重利好因素支撑，区内各主营单位纷纷上调汽柴油价格，累计涨幅在200-300元/吨左右，与此同时，山东地炼汽柴油均价大涨，令主营外采量减少，成本有所上升。临近月底，各主营单位受原油带涨因素，以挺价为主，而市场保持观望情绪，加之整体汽柴油需求一般，下游商家入市补货多刚需为主，大单补货几无，故市场成交多散户小单，整体购销氛围清淡不已。后市而言，国际油价短期内或保持上涨态势，原油变化率或保持正向延伸，因此本轮零售价上调预期明显，加之新一轮销售周期临近，故预计短期内华东地区成品油行情或涨势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20日-11月26日)，西南地区汽柴行情涨势延续，市场成交一度向好。分析来看：周内国际原油期价“四连涨”，变化率正向区间延伸，上调预期持续增强，本轮零售价上调几无悬念，消息面呈现利好指引。此外，工程基建积极赶工，物流运输亦活跃，柴油前期库存得到明显消耗。利好因素占据市场主导，业者入市补货积极性增加，市场成交气氛回暖。主营单位本月销售压力不大，加之，近期外采成本持续攀升，因此汽柴价格亦逐步上推，且优惠力度收窄，整体行情较前期明显提升。就后市而言，国际油价近期上涨过快，后期价格或经历回调，但本轮变化率正向较大幅度运行，上调预期对市场仍有一定支撑。加之，月末月初交替阶段，主营单位挺价意愿偏强。预计短线西南地区汽柴行情或仍有一定上行空间。但业者陆续补货到位，市场成交逐步转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20日-11月26日)，西北地炼汽柴行情小幅走高，市场成交略有好转。分析来看：周内国际油价涨势不止，变化率正向区间延伸，预计上调预期逐步增加，消息面利好对市场支撑力度明显。此外，工程基建等企业仍积极赶工，柴油需求尚有支撑，随着消息面好转，业者补货意愿增加，市场成交有所提升;汽油需求一般，但买涨情绪提振下，下游补货亦有增加，市场成交亦有改善。销售公司出货顺畅，汽柴价格各推涨50元/吨。就后市而言，国际油价或震荡回调，但本轮零售价上调几无悬念，消息面利好对市场仍有支撑，预计短线西北地炼汽柴行情维持坚挺。业者适量补货之后退市消库，市场成交难以持续向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本周(11月20日-11月26日)，原油走势“四连阳” 区内汽柴整体上涨 本周国际油价走势上行，国内调价预期不断拉宽，区内油价走势不断推涨。周初上调预期落实，华北区内市场报价上推30-50元/吨，下游接货热情不高，成交气氛淡稳。周内国际原油受疫苗研发的乐观情绪主导，价格走势周内实现“四连阳”，国内调价上调预期超过200元/吨，市场利好主导下区内主营推价积极性较高，周内累计涨幅多在100-200元/吨，下游适度接货，商家为刺激出货成交政策较为灵活，成交气氛小幅提升。后市而言，国际油价走势近期连续上涨，但需求方面暂无明显支撑，不排除后期存在回落的可能。本轮国内调价上调基调已定，下游业者阶段性补货结束，预计后期操作空间受限，现本月接近尾声，主营单位在完成月度任务前提下挺价心态较重，预计下周区内油价维持坚挺，个别单位仍有小涨可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国际原油期价或遭遇持续上涨的瓶颈，由于上涨过快过猛，因此需要一个调整与适应的过程，以WTI为例，主流运行区间在42-46(均值44)美元/桶之间，环比上涨0.49美元/桶或1.13%。在缺少基本面需求有力支撑下，山东地区成品油行情难以持续上涨，建议中下游商家仍根据自身库存及出货情况而按需采购为宜。综上所述，预计下周山东地炼汽柴油价格先扬后抑，调整幅度在100元/吨左右。</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55"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6470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6330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6190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5990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70"/>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tbl>
      <w:tblPr>
        <w:tblW w:w="9675" w:type="dxa"/>
        <w:tblInd w:w="0" w:type="dxa"/>
        <w:shd w:val="clear"/>
        <w:tblLayout w:type="autofit"/>
        <w:tblCellMar>
          <w:top w:w="0" w:type="dxa"/>
          <w:left w:w="0" w:type="dxa"/>
          <w:bottom w:w="0" w:type="dxa"/>
          <w:right w:w="0" w:type="dxa"/>
        </w:tblCellMar>
      </w:tblPr>
      <w:tblGrid>
        <w:gridCol w:w="780"/>
        <w:gridCol w:w="1080"/>
        <w:gridCol w:w="1080"/>
        <w:gridCol w:w="945"/>
        <w:gridCol w:w="795"/>
        <w:gridCol w:w="1080"/>
        <w:gridCol w:w="885"/>
        <w:gridCol w:w="1515"/>
        <w:gridCol w:w="1515"/>
      </w:tblGrid>
      <w:tr>
        <w:tblPrEx>
          <w:shd w:val="clear"/>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5170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舟山市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5255</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5155</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4640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5160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商丘市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290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4930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吉林中油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5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4" w:name="_Toc10709"/>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5245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5266</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5393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5322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99</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5640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tbl>
      <w:tblPr>
        <w:tblW w:w="963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380"/>
        <w:gridCol w:w="1380"/>
      </w:tblGrid>
      <w:tr>
        <w:tblPrEx>
          <w:shd w:val="clear"/>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2020/11/26</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2020/11/19</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4510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4470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5010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bookmarkStart w:id="15" w:name="_Toc10784"/>
      <w:r>
        <w:rPr>
          <w:rFonts w:hint="eastAsia" w:ascii="宋体" w:hAnsi="宋体"/>
          <w:b/>
          <w:sz w:val="30"/>
          <w:szCs w:val="30"/>
          <w:lang w:val="en-US" w:eastAsia="zh-CN"/>
        </w:rPr>
        <w:t>四、2020年9月份进出口统计数据</w:t>
      </w:r>
      <w:bookmarkEnd w:id="15"/>
    </w:p>
    <w:p>
      <w:pPr>
        <w:rPr>
          <w:rFonts w:hint="eastAsia"/>
        </w:rPr>
      </w:pPr>
    </w:p>
    <w:p>
      <w:pPr>
        <w:pStyle w:val="3"/>
        <w:spacing w:before="120" w:after="120" w:line="240" w:lineRule="auto"/>
        <w:rPr>
          <w:rFonts w:hint="eastAsia" w:ascii="宋体" w:hAnsi="宋体"/>
          <w:b/>
          <w:sz w:val="30"/>
          <w:szCs w:val="30"/>
        </w:rPr>
      </w:pPr>
      <w:bookmarkStart w:id="16" w:name="_Toc27774"/>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份全国车用汽油和航空汽油进出口统计数据</w:t>
      </w:r>
      <w:bookmarkEnd w:id="16"/>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555" w:type="dxa"/>
        <w:tblInd w:w="0" w:type="dxa"/>
        <w:shd w:val="clear" w:color="auto" w:fill="auto"/>
        <w:tblLayout w:type="autofit"/>
        <w:tblCellMar>
          <w:top w:w="0" w:type="dxa"/>
          <w:left w:w="0" w:type="dxa"/>
          <w:bottom w:w="0" w:type="dxa"/>
          <w:right w:w="0" w:type="dxa"/>
        </w:tblCellMar>
      </w:tblPr>
      <w:tblGrid>
        <w:gridCol w:w="1965"/>
        <w:gridCol w:w="2070"/>
        <w:gridCol w:w="2760"/>
        <w:gridCol w:w="2760"/>
      </w:tblGrid>
      <w:tr>
        <w:tblPrEx>
          <w:shd w:val="clear" w:color="auto" w:fill="auto"/>
          <w:tblCellMar>
            <w:top w:w="0" w:type="dxa"/>
            <w:left w:w="0" w:type="dxa"/>
            <w:bottom w:w="0" w:type="dxa"/>
            <w:right w:w="0" w:type="dxa"/>
          </w:tblCellMar>
        </w:tblPrEx>
        <w:trPr>
          <w:trHeight w:val="540" w:hRule="atLeast"/>
        </w:trPr>
        <w:tc>
          <w:tcPr>
            <w:tcW w:w="1965"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出口目的地</w:t>
            </w:r>
          </w:p>
        </w:tc>
        <w:tc>
          <w:tcPr>
            <w:tcW w:w="207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数量（吨）</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出口金额（美元）</w:t>
            </w:r>
          </w:p>
        </w:tc>
        <w:tc>
          <w:tcPr>
            <w:tcW w:w="2760"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default" w:ascii="Segoe UI" w:hAnsi="Segoe UI" w:eastAsia="Segoe UI" w:cs="Segoe UI"/>
                <w:b/>
                <w:bCs/>
                <w:i w:val="0"/>
                <w:color w:val="000000"/>
                <w:sz w:val="22"/>
                <w:szCs w:val="22"/>
                <w:u w:val="none"/>
              </w:rPr>
            </w:pPr>
            <w:r>
              <w:rPr>
                <w:rFonts w:hint="default" w:ascii="Segoe UI" w:hAnsi="Segoe UI" w:eastAsia="Segoe UI" w:cs="Segoe UI"/>
                <w:b/>
                <w:bCs/>
                <w:i w:val="0"/>
                <w:color w:val="000000"/>
                <w:kern w:val="0"/>
                <w:sz w:val="22"/>
                <w:szCs w:val="22"/>
                <w:u w:val="none"/>
                <w:lang w:val="en-US" w:eastAsia="zh-CN" w:bidi="ar"/>
              </w:rPr>
              <w:t>出口均价（美元/吨）</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巴基斯坦</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38326450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358.19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菲律宾</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205480.8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79011236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384.52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马来西亚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100056.6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38793849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387.72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蒙古</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4924.38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2049005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416.09</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缅甸</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6183.15</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2371622</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墨西哥</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71100.49</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27201080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382.57</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尼日利亚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37000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12417200</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335.6</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日本</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29487.86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4279507</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145.13</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新加坡</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530001</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191074668</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360.52</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印度尼西亚</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68690.13</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25883116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376.81</w:t>
            </w:r>
          </w:p>
        </w:tc>
      </w:tr>
      <w:tr>
        <w:tblPrEx>
          <w:tblCellMar>
            <w:top w:w="0" w:type="dxa"/>
            <w:left w:w="0" w:type="dxa"/>
            <w:bottom w:w="0" w:type="dxa"/>
            <w:right w:w="0" w:type="dxa"/>
          </w:tblCellMar>
        </w:tblPrEx>
        <w:trPr>
          <w:trHeight w:val="345" w:hRule="atLeast"/>
        </w:trPr>
        <w:tc>
          <w:tcPr>
            <w:tcW w:w="196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中国澳门</w:t>
            </w:r>
          </w:p>
        </w:tc>
        <w:tc>
          <w:tcPr>
            <w:tcW w:w="207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5619.836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2048146</w:t>
            </w:r>
          </w:p>
        </w:tc>
        <w:tc>
          <w:tcPr>
            <w:tcW w:w="27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364.45</w:t>
            </w:r>
          </w:p>
        </w:tc>
      </w:tr>
    </w:tbl>
    <w:p>
      <w:pPr>
        <w:rPr>
          <w:rFonts w:hint="eastAsia"/>
        </w:rPr>
      </w:pPr>
    </w:p>
    <w:p>
      <w:pPr>
        <w:rPr>
          <w:rFonts w:hint="eastAsia"/>
        </w:rPr>
      </w:pPr>
    </w:p>
    <w:p>
      <w:pPr>
        <w:rPr>
          <w:rFonts w:hint="eastAsia"/>
        </w:rPr>
      </w:pPr>
    </w:p>
    <w:p>
      <w:pPr>
        <w:pStyle w:val="3"/>
        <w:spacing w:before="120" w:after="120" w:line="240" w:lineRule="auto"/>
        <w:rPr>
          <w:rFonts w:hint="eastAsia" w:ascii="宋体" w:hAnsi="宋体"/>
          <w:b/>
          <w:sz w:val="30"/>
          <w:szCs w:val="30"/>
        </w:rPr>
      </w:pPr>
      <w:bookmarkStart w:id="17" w:name="_Toc20292"/>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7"/>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00B0F0"/>
                <w:szCs w:val="21"/>
              </w:rPr>
            </w:pPr>
            <w:r>
              <w:rPr>
                <w:rFonts w:hint="eastAsia" w:asciiTheme="minorEastAsia" w:hAnsiTheme="minorEastAsia" w:eastAsiaTheme="minorEastAsia" w:cstheme="minorEastAsia"/>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szCs w:val="21"/>
              </w:rPr>
            </w:pPr>
            <w:r>
              <w:rPr>
                <w:rFonts w:hint="eastAsia" w:asciiTheme="minorEastAsia" w:hAnsiTheme="minorEastAsia" w:eastAsiaTheme="minorEastAsia" w:cstheme="minorEastAsia"/>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8" w:name="_Toc533771879"/>
    </w:p>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19" w:name="_Toc31298"/>
      <w:bookmarkStart w:id="20" w:name="_Toc19589"/>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月份全国原油进出口统计数据</w:t>
      </w:r>
      <w:bookmarkEnd w:id="19"/>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5298" w:type="pct"/>
        <w:tblInd w:w="0" w:type="dxa"/>
        <w:tblLayout w:type="fixed"/>
        <w:tblCellMar>
          <w:top w:w="0" w:type="dxa"/>
          <w:left w:w="108" w:type="dxa"/>
          <w:bottom w:w="0" w:type="dxa"/>
          <w:right w:w="108" w:type="dxa"/>
        </w:tblCellMar>
      </w:tblPr>
      <w:tblGrid>
        <w:gridCol w:w="452"/>
        <w:gridCol w:w="989"/>
        <w:gridCol w:w="780"/>
        <w:gridCol w:w="1491"/>
        <w:gridCol w:w="1530"/>
        <w:gridCol w:w="2025"/>
        <w:gridCol w:w="1485"/>
        <w:gridCol w:w="1690"/>
      </w:tblGrid>
      <w:tr>
        <w:tblPrEx>
          <w:tblCellMar>
            <w:top w:w="0" w:type="dxa"/>
            <w:left w:w="108" w:type="dxa"/>
            <w:bottom w:w="0" w:type="dxa"/>
            <w:right w:w="108" w:type="dxa"/>
          </w:tblCellMar>
        </w:tblPrEx>
        <w:trPr>
          <w:trHeight w:val="1230" w:hRule="atLeast"/>
        </w:trPr>
        <w:tc>
          <w:tcPr>
            <w:tcW w:w="216"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产品</w:t>
            </w:r>
          </w:p>
        </w:tc>
        <w:tc>
          <w:tcPr>
            <w:tcW w:w="4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年度</w:t>
            </w:r>
          </w:p>
        </w:tc>
        <w:tc>
          <w:tcPr>
            <w:tcW w:w="37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月份</w:t>
            </w:r>
          </w:p>
        </w:tc>
        <w:tc>
          <w:tcPr>
            <w:tcW w:w="713"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4"/>
                <w:szCs w:val="24"/>
              </w:rPr>
              <w:t>产销国</w:t>
            </w:r>
          </w:p>
        </w:tc>
        <w:tc>
          <w:tcPr>
            <w:tcW w:w="732"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进口数量/吨</w:t>
            </w:r>
          </w:p>
        </w:tc>
        <w:tc>
          <w:tcPr>
            <w:tcW w:w="96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进口金额/美元</w:t>
            </w:r>
          </w:p>
        </w:tc>
        <w:tc>
          <w:tcPr>
            <w:tcW w:w="711"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出口数量/吨</w:t>
            </w:r>
          </w:p>
        </w:tc>
        <w:tc>
          <w:tcPr>
            <w:tcW w:w="809" w:type="pct"/>
            <w:tcBorders>
              <w:top w:val="single" w:color="333333" w:sz="8" w:space="0"/>
              <w:left w:val="nil"/>
              <w:bottom w:val="single" w:color="333333" w:sz="8" w:space="0"/>
              <w:right w:val="single" w:color="333333" w:sz="8" w:space="0"/>
            </w:tcBorders>
            <w:shd w:val="clear" w:color="000000" w:fill="00B0F0"/>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出口金额/美元</w:t>
            </w:r>
          </w:p>
        </w:tc>
      </w:tr>
      <w:tr>
        <w:tblPrEx>
          <w:tblCellMar>
            <w:top w:w="0" w:type="dxa"/>
            <w:left w:w="108" w:type="dxa"/>
            <w:bottom w:w="0" w:type="dxa"/>
            <w:right w:w="108" w:type="dxa"/>
          </w:tblCellMar>
        </w:tblPrEx>
        <w:trPr>
          <w:trHeight w:val="485" w:hRule="atLeast"/>
        </w:trPr>
        <w:tc>
          <w:tcPr>
            <w:tcW w:w="216" w:type="pct"/>
            <w:vMerge w:val="restart"/>
            <w:tcBorders>
              <w:top w:val="nil"/>
              <w:left w:val="single" w:color="333333" w:sz="8" w:space="0"/>
              <w:bottom w:val="nil"/>
              <w:right w:val="single" w:color="333333" w:sz="8" w:space="0"/>
            </w:tcBorders>
            <w:shd w:val="clear" w:color="auto" w:fill="auto"/>
            <w:noWrap w:val="0"/>
            <w:vAlign w:val="bottom"/>
          </w:tcPr>
          <w:p>
            <w:pPr>
              <w:widowControl/>
              <w:jc w:val="center"/>
              <w:rPr>
                <w:rFonts w:hint="eastAsia" w:asciiTheme="minorEastAsia" w:hAnsiTheme="minorEastAsia" w:eastAsiaTheme="minorEastAsia" w:cstheme="minorEastAsia"/>
                <w:b/>
                <w:bCs/>
                <w:color w:val="191919"/>
                <w:kern w:val="0"/>
                <w:sz w:val="21"/>
                <w:szCs w:val="21"/>
              </w:rPr>
            </w:pPr>
            <w:r>
              <w:rPr>
                <w:rFonts w:hint="eastAsia" w:asciiTheme="minorEastAsia" w:hAnsiTheme="minorEastAsia" w:eastAsiaTheme="minorEastAsia" w:cstheme="minorEastAsia"/>
                <w:b/>
                <w:bCs/>
                <w:color w:val="191919"/>
                <w:kern w:val="0"/>
                <w:sz w:val="21"/>
                <w:szCs w:val="21"/>
              </w:rPr>
              <w:t>石油原油(包括从沥青矿物提取的原油)</w:t>
            </w: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阿联酋</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3490125.04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1101288882.00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41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阿曼</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3645857.68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1215753839.00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阿塞拜疆</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275539.32</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103384138.00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安哥拉</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3347155.38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1096450734.00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巴西</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4494925.54</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1437832292.00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29"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赤道几内亚</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137928.67</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53229022.00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俄罗斯联邦</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7478331.11</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2414208600.00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厄瓜多尔</w:t>
            </w:r>
          </w:p>
        </w:tc>
        <w:tc>
          <w:tcPr>
            <w:tcW w:w="732"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401131.98</w:t>
            </w:r>
          </w:p>
        </w:tc>
        <w:tc>
          <w:tcPr>
            <w:tcW w:w="96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123972980.00</w:t>
            </w:r>
          </w:p>
        </w:tc>
        <w:tc>
          <w:tcPr>
            <w:tcW w:w="711"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c>
          <w:tcPr>
            <w:tcW w:w="809" w:type="pct"/>
            <w:tcBorders>
              <w:top w:val="nil"/>
              <w:left w:val="nil"/>
              <w:bottom w:val="single" w:color="333333" w:sz="8" w:space="0"/>
              <w:right w:val="single" w:color="333333" w:sz="8" w:space="0"/>
            </w:tcBorders>
            <w:shd w:val="clear" w:color="000000" w:fill="FFFFFF"/>
            <w:noWrap w:val="0"/>
            <w:vAlign w:val="bottom"/>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kern w:val="0"/>
                <w:sz w:val="21"/>
                <w:szCs w:val="21"/>
                <w:u w:val="none"/>
                <w:lang w:val="en-US" w:eastAsia="zh-CN" w:bidi="ar"/>
              </w:rPr>
            </w:pPr>
            <w:r>
              <w:rPr>
                <w:rFonts w:hint="eastAsia" w:asciiTheme="minorEastAsia" w:hAnsiTheme="minorEastAsia" w:eastAsiaTheme="minorEastAsia" w:cstheme="minorEastAsia"/>
                <w:i w:val="0"/>
                <w:color w:val="191919"/>
                <w:kern w:val="0"/>
                <w:sz w:val="21"/>
                <w:szCs w:val="21"/>
                <w:u w:val="none"/>
                <w:lang w:val="en-US" w:eastAsia="zh-CN" w:bidi="ar"/>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刚果(布)</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643117.92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220792245.00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哥伦比亚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983959.23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289918815.00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4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圭亚那</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131475.87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44051884.00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6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哈萨克斯坦</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16286.69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4727484.00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韩国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129956.08</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46063866.00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96389.44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26004847.00</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加拿大</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297250.52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61055948.00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加纳</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258219.50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89304513.00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加蓬</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608468.49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202319027.00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喀麦隆</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267269.83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86174262.00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卡塔尔</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1305815.77</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454206428.00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0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科威特</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1807302.00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595666871.00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3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马来西亚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441526.81</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150735546.00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6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美国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3897357.30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1349931395.00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95485.18</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17743024.00</w:t>
            </w:r>
          </w:p>
        </w:tc>
      </w:tr>
      <w:tr>
        <w:tblPrEx>
          <w:tblCellMar>
            <w:top w:w="0" w:type="dxa"/>
            <w:left w:w="108" w:type="dxa"/>
            <w:bottom w:w="0" w:type="dxa"/>
            <w:right w:w="108" w:type="dxa"/>
          </w:tblCellMar>
        </w:tblPrEx>
        <w:trPr>
          <w:trHeight w:val="29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蒙古</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75492.62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17382864.00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南苏丹共和国</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333948.20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115786264.00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尼日利亚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316481.14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95093821.00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挪威</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806188.04</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230623480.00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沙特阿拉伯</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7784322.93</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2633840412.00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5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伊拉克</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3653974.55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1202928668.00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04"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伊朗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678132.75</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224625079.00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5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印度尼西亚</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142819.39</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48657022.00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42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越南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361242.82</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137363915.00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380"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乍得</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270039.30</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85753769.00</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r>
      <w:tr>
        <w:tblPrEx>
          <w:tblCellMar>
            <w:top w:w="0" w:type="dxa"/>
            <w:left w:w="108" w:type="dxa"/>
            <w:bottom w:w="0" w:type="dxa"/>
            <w:right w:w="108" w:type="dxa"/>
          </w:tblCellMar>
        </w:tblPrEx>
        <w:trPr>
          <w:trHeight w:val="295" w:hRule="atLeast"/>
        </w:trPr>
        <w:tc>
          <w:tcPr>
            <w:tcW w:w="216" w:type="pct"/>
            <w:vMerge w:val="continue"/>
            <w:tcBorders>
              <w:top w:val="nil"/>
              <w:left w:val="single" w:color="333333" w:sz="8" w:space="0"/>
              <w:bottom w:val="nil"/>
              <w:right w:val="single" w:color="333333" w:sz="8" w:space="0"/>
            </w:tcBorders>
            <w:shd w:val="clear" w:color="auto" w:fill="auto"/>
            <w:noWrap w:val="0"/>
            <w:vAlign w:val="center"/>
          </w:tcPr>
          <w:p>
            <w:pPr>
              <w:widowControl/>
              <w:jc w:val="left"/>
              <w:rPr>
                <w:rFonts w:hint="eastAsia" w:asciiTheme="minorEastAsia" w:hAnsiTheme="minorEastAsia" w:eastAsiaTheme="minorEastAsia" w:cstheme="minorEastAsia"/>
                <w:b/>
                <w:bCs/>
                <w:color w:val="191919"/>
                <w:kern w:val="0"/>
                <w:sz w:val="21"/>
                <w:szCs w:val="21"/>
              </w:rPr>
            </w:pPr>
          </w:p>
        </w:tc>
        <w:tc>
          <w:tcPr>
            <w:tcW w:w="4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2020年</w:t>
            </w:r>
          </w:p>
        </w:tc>
        <w:tc>
          <w:tcPr>
            <w:tcW w:w="37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9月</w:t>
            </w:r>
          </w:p>
        </w:tc>
        <w:tc>
          <w:tcPr>
            <w:tcW w:w="713"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缅甸</w:t>
            </w:r>
          </w:p>
        </w:tc>
        <w:tc>
          <w:tcPr>
            <w:tcW w:w="732"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96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w:t>
            </w:r>
          </w:p>
        </w:tc>
        <w:tc>
          <w:tcPr>
            <w:tcW w:w="711"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130095.74</w:t>
            </w:r>
          </w:p>
        </w:tc>
        <w:tc>
          <w:tcPr>
            <w:tcW w:w="809" w:type="pct"/>
            <w:tcBorders>
              <w:top w:val="nil"/>
              <w:left w:val="nil"/>
              <w:bottom w:val="single" w:color="333333" w:sz="8" w:space="0"/>
              <w:right w:val="single" w:color="333333" w:sz="8" w:space="0"/>
            </w:tcBorders>
            <w:shd w:val="clear" w:color="000000" w:fill="FFFFFF"/>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38664142.00</w:t>
            </w:r>
          </w:p>
        </w:tc>
      </w:tr>
      <w:tr>
        <w:tblPrEx>
          <w:tblCellMar>
            <w:top w:w="0" w:type="dxa"/>
            <w:left w:w="108" w:type="dxa"/>
            <w:bottom w:w="0" w:type="dxa"/>
            <w:right w:w="108" w:type="dxa"/>
          </w:tblCellMar>
        </w:tblPrEx>
        <w:trPr>
          <w:trHeight w:val="405" w:hRule="atLeast"/>
        </w:trPr>
        <w:tc>
          <w:tcPr>
            <w:tcW w:w="1777" w:type="pct"/>
            <w:gridSpan w:val="4"/>
            <w:tcBorders>
              <w:top w:val="single" w:color="333333" w:sz="8" w:space="0"/>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b/>
                <w:bCs/>
                <w:color w:val="333333"/>
                <w:kern w:val="0"/>
                <w:sz w:val="21"/>
                <w:szCs w:val="21"/>
              </w:rPr>
            </w:pPr>
            <w:r>
              <w:rPr>
                <w:rFonts w:hint="eastAsia" w:asciiTheme="minorEastAsia" w:hAnsiTheme="minorEastAsia" w:eastAsiaTheme="minorEastAsia" w:cstheme="minorEastAsia"/>
                <w:b/>
                <w:bCs/>
                <w:color w:val="333333"/>
                <w:kern w:val="0"/>
                <w:sz w:val="21"/>
                <w:szCs w:val="21"/>
              </w:rPr>
              <w:t>2020年9月合计</w:t>
            </w:r>
          </w:p>
        </w:tc>
        <w:tc>
          <w:tcPr>
            <w:tcW w:w="732"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48481642.44</w:t>
            </w:r>
          </w:p>
        </w:tc>
        <w:tc>
          <w:tcPr>
            <w:tcW w:w="96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15933124065.00</w:t>
            </w:r>
          </w:p>
        </w:tc>
        <w:tc>
          <w:tcPr>
            <w:tcW w:w="711"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321970.35</w:t>
            </w:r>
          </w:p>
        </w:tc>
        <w:tc>
          <w:tcPr>
            <w:tcW w:w="809" w:type="pct"/>
            <w:tcBorders>
              <w:top w:val="nil"/>
              <w:left w:val="nil"/>
              <w:bottom w:val="single" w:color="333333" w:sz="8" w:space="0"/>
              <w:right w:val="single" w:color="333333" w:sz="8" w:space="0"/>
            </w:tcBorders>
            <w:shd w:val="clear" w:color="auto" w:fill="00B0F0"/>
            <w:noWrap w:val="0"/>
            <w:vAlign w:val="bottom"/>
          </w:tcPr>
          <w:p>
            <w:pPr>
              <w:widowControl/>
              <w:jc w:val="center"/>
              <w:rPr>
                <w:rFonts w:hint="eastAsia" w:asciiTheme="minorEastAsia" w:hAnsiTheme="minorEastAsia" w:eastAsiaTheme="minorEastAsia" w:cstheme="minorEastAsia"/>
                <w:color w:val="333333"/>
                <w:kern w:val="0"/>
                <w:sz w:val="21"/>
                <w:szCs w:val="21"/>
              </w:rPr>
            </w:pPr>
            <w:r>
              <w:rPr>
                <w:rFonts w:hint="eastAsia" w:asciiTheme="minorEastAsia" w:hAnsiTheme="minorEastAsia" w:eastAsiaTheme="minorEastAsia" w:cstheme="minorEastAsia"/>
                <w:color w:val="333333"/>
                <w:kern w:val="0"/>
                <w:sz w:val="21"/>
                <w:szCs w:val="21"/>
              </w:rPr>
              <w:t>82412013.00</w:t>
            </w:r>
          </w:p>
        </w:tc>
      </w:tr>
    </w:tbl>
    <w:p>
      <w:pPr>
        <w:jc w:val="cente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9</w:t>
      </w:r>
      <w:r>
        <w:rPr>
          <w:rFonts w:hint="eastAsia" w:ascii="宋体" w:hAnsi="宋体"/>
          <w:b/>
          <w:sz w:val="30"/>
          <w:szCs w:val="30"/>
        </w:rPr>
        <w:t>月份全国航空煤油进出口统计数据</w:t>
      </w:r>
      <w:bookmarkEnd w:id="20"/>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8"/>
    <w:tbl>
      <w:tblPr>
        <w:tblStyle w:val="24"/>
        <w:tblW w:w="10054" w:type="dxa"/>
        <w:tblInd w:w="0" w:type="dxa"/>
        <w:shd w:val="clear" w:color="auto" w:fill="auto"/>
        <w:tblLayout w:type="autofit"/>
        <w:tblCellMar>
          <w:top w:w="0" w:type="dxa"/>
          <w:left w:w="0" w:type="dxa"/>
          <w:bottom w:w="0" w:type="dxa"/>
          <w:right w:w="0" w:type="dxa"/>
        </w:tblCellMar>
      </w:tblPr>
      <w:tblGrid>
        <w:gridCol w:w="1594"/>
        <w:gridCol w:w="1920"/>
        <w:gridCol w:w="1755"/>
        <w:gridCol w:w="2340"/>
        <w:gridCol w:w="2445"/>
      </w:tblGrid>
      <w:tr>
        <w:tblPrEx>
          <w:shd w:val="clear" w:color="auto" w:fill="auto"/>
          <w:tblCellMar>
            <w:top w:w="0" w:type="dxa"/>
            <w:left w:w="0" w:type="dxa"/>
            <w:bottom w:w="0" w:type="dxa"/>
            <w:right w:w="0" w:type="dxa"/>
          </w:tblCellMar>
        </w:tblPrEx>
        <w:trPr>
          <w:trHeight w:val="535" w:hRule="atLeast"/>
        </w:trPr>
        <w:tc>
          <w:tcPr>
            <w:tcW w:w="1594"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国家</w:t>
            </w:r>
          </w:p>
        </w:tc>
        <w:tc>
          <w:tcPr>
            <w:tcW w:w="192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进口数量/吨</w:t>
            </w:r>
          </w:p>
        </w:tc>
        <w:tc>
          <w:tcPr>
            <w:tcW w:w="175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进口金额/美元</w:t>
            </w:r>
          </w:p>
        </w:tc>
        <w:tc>
          <w:tcPr>
            <w:tcW w:w="2340"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出口数量/吨</w:t>
            </w:r>
          </w:p>
        </w:tc>
        <w:tc>
          <w:tcPr>
            <w:tcW w:w="2445" w:type="dxa"/>
            <w:tcBorders>
              <w:top w:val="single" w:color="333333" w:sz="8" w:space="0"/>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191919"/>
                <w:sz w:val="20"/>
                <w:szCs w:val="20"/>
                <w:u w:val="none"/>
              </w:rPr>
            </w:pPr>
            <w:r>
              <w:rPr>
                <w:rFonts w:hint="eastAsia" w:asciiTheme="minorEastAsia" w:hAnsiTheme="minorEastAsia" w:eastAsiaTheme="minorEastAsia" w:cstheme="minorEastAsia"/>
                <w:b/>
                <w:i w:val="0"/>
                <w:color w:val="191919"/>
                <w:kern w:val="0"/>
                <w:sz w:val="20"/>
                <w:szCs w:val="20"/>
                <w:u w:val="none"/>
                <w:lang w:val="en-US" w:eastAsia="zh-CN" w:bidi="ar"/>
              </w:rPr>
              <w:t>出口金额/美元</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阿联酋</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2744.672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1234961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阿塞拜疆</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2717.443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1264127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埃及</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7172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埃塞俄比亚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3318.957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1538869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澳大利亚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79519.516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39356889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巴基斯坦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319.065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151825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比利时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4571.891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2144597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朝鲜</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7.363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丹麦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45.982</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22071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德国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2700.689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1235522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俄罗斯联邦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9167.364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3891614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法国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231.726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93932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菲律宾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13797.583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4582306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芬兰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410.528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188931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哈萨克斯坦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231.837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96791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韩国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187565.403</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64580585</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11999.295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3518461</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荷兰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4208.956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1919326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吉尔吉斯斯坦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353.326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108146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加拿大</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634.516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289609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柬埔寨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6.194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2973</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卡塔尔</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12161.421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4672017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拉脱维亚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86.498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41519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卢森堡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15721.127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7644926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马来西亚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471.021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217515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美国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18905.84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7748597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孟加拉国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9663.311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2331757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秘鲁</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44.073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21155</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缅甸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1429.284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501250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墨西哥</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108.233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33128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日本</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3527.845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1569438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瑞典</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7.616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3497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瑞士</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721.8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326174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斯里兰卡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106.467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48782</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塔吉克斯坦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81.509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24948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泰国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318.319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146544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土耳其</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2557.88</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1165454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文莱</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4.344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2042</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乌兹别克斯坦</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692.444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292519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西班牙</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68.945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33094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新加坡</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150.037</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53432</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6537.146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3132036</w:t>
            </w:r>
          </w:p>
        </w:tc>
      </w:tr>
      <w:tr>
        <w:tblPrEx>
          <w:tblCellMar>
            <w:top w:w="0" w:type="dxa"/>
            <w:left w:w="0" w:type="dxa"/>
            <w:bottom w:w="0" w:type="dxa"/>
            <w:right w:w="0" w:type="dxa"/>
          </w:tblCellMar>
        </w:tblPrEx>
        <w:trPr>
          <w:trHeight w:val="49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新西兰</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1323.043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610836</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伊朗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969.216</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401760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意大利</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818.17</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313228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印度尼西亚</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133.739</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62990</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英国</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28870.184</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12110264</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越南</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8586.323</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1486437</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中国澳门</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103.405</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47488</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中国台湾</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971.601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423659</w:t>
            </w:r>
          </w:p>
        </w:tc>
      </w:tr>
      <w:tr>
        <w:tblPrEx>
          <w:tblCellMar>
            <w:top w:w="0" w:type="dxa"/>
            <w:left w:w="0" w:type="dxa"/>
            <w:bottom w:w="0" w:type="dxa"/>
            <w:right w:w="0" w:type="dxa"/>
          </w:tblCellMar>
        </w:tblPrEx>
        <w:trPr>
          <w:trHeight w:val="285" w:hRule="atLeast"/>
        </w:trPr>
        <w:tc>
          <w:tcPr>
            <w:tcW w:w="1594"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中国香港</w:t>
            </w:r>
          </w:p>
        </w:tc>
        <w:tc>
          <w:tcPr>
            <w:tcW w:w="192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175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0</w:t>
            </w:r>
          </w:p>
        </w:tc>
        <w:tc>
          <w:tcPr>
            <w:tcW w:w="2340"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6974.191</w:t>
            </w:r>
          </w:p>
        </w:tc>
        <w:tc>
          <w:tcPr>
            <w:tcW w:w="2445" w:type="dxa"/>
            <w:tcBorders>
              <w:top w:val="nil"/>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2726924</w:t>
            </w:r>
          </w:p>
        </w:tc>
      </w:tr>
      <w:tr>
        <w:tblPrEx>
          <w:tblCellMar>
            <w:top w:w="0" w:type="dxa"/>
            <w:left w:w="0" w:type="dxa"/>
            <w:bottom w:w="0" w:type="dxa"/>
            <w:right w:w="0" w:type="dxa"/>
          </w:tblCellMar>
        </w:tblPrEx>
        <w:trPr>
          <w:trHeight w:val="285" w:hRule="atLeast"/>
        </w:trPr>
        <w:tc>
          <w:tcPr>
            <w:tcW w:w="1594" w:type="dxa"/>
            <w:tcBorders>
              <w:top w:val="single" w:color="000000" w:sz="8" w:space="0"/>
              <w:left w:val="single" w:color="000000" w:sz="8" w:space="0"/>
              <w:bottom w:val="single" w:color="000000" w:sz="8" w:space="0"/>
              <w:right w:val="single" w:color="000000" w:sz="8"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合计</w:t>
            </w:r>
          </w:p>
        </w:tc>
        <w:tc>
          <w:tcPr>
            <w:tcW w:w="192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187715.44</w:t>
            </w:r>
          </w:p>
        </w:tc>
        <w:tc>
          <w:tcPr>
            <w:tcW w:w="175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64634017</w:t>
            </w:r>
          </w:p>
        </w:tc>
        <w:tc>
          <w:tcPr>
            <w:tcW w:w="2340"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258967.62</w:t>
            </w:r>
          </w:p>
        </w:tc>
        <w:tc>
          <w:tcPr>
            <w:tcW w:w="2445" w:type="dxa"/>
            <w:tcBorders>
              <w:top w:val="nil"/>
              <w:left w:val="nil"/>
              <w:bottom w:val="single" w:color="333333" w:sz="8" w:space="0"/>
              <w:right w:val="single" w:color="333333"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191919"/>
                <w:sz w:val="20"/>
                <w:szCs w:val="20"/>
                <w:u w:val="none"/>
              </w:rPr>
            </w:pPr>
            <w:r>
              <w:rPr>
                <w:rFonts w:hint="eastAsia" w:asciiTheme="minorEastAsia" w:hAnsiTheme="minorEastAsia" w:eastAsiaTheme="minorEastAsia" w:cstheme="minorEastAsia"/>
                <w:i w:val="0"/>
                <w:color w:val="191919"/>
                <w:kern w:val="0"/>
                <w:sz w:val="20"/>
                <w:szCs w:val="20"/>
                <w:u w:val="none"/>
                <w:lang w:val="en-US" w:eastAsia="zh-CN" w:bidi="ar"/>
              </w:rPr>
              <w:t>109791459</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D211001"/>
    <w:multiLevelType w:val="singleLevel"/>
    <w:tmpl w:val="4D211001"/>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E2CFE"/>
    <w:rsid w:val="02353D60"/>
    <w:rsid w:val="02526173"/>
    <w:rsid w:val="029A6633"/>
    <w:rsid w:val="029F2908"/>
    <w:rsid w:val="02AC60AA"/>
    <w:rsid w:val="02B87E06"/>
    <w:rsid w:val="02D71373"/>
    <w:rsid w:val="02D85611"/>
    <w:rsid w:val="02FE589D"/>
    <w:rsid w:val="031B1C80"/>
    <w:rsid w:val="03211A1D"/>
    <w:rsid w:val="0324523D"/>
    <w:rsid w:val="03331E75"/>
    <w:rsid w:val="034407FB"/>
    <w:rsid w:val="034F6246"/>
    <w:rsid w:val="03562125"/>
    <w:rsid w:val="035F2635"/>
    <w:rsid w:val="036D5E24"/>
    <w:rsid w:val="037413B6"/>
    <w:rsid w:val="03A57F11"/>
    <w:rsid w:val="03C968EE"/>
    <w:rsid w:val="040707FC"/>
    <w:rsid w:val="042972F1"/>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292B71"/>
    <w:rsid w:val="052C0D66"/>
    <w:rsid w:val="05314FD7"/>
    <w:rsid w:val="053B1A3D"/>
    <w:rsid w:val="05500555"/>
    <w:rsid w:val="0558720E"/>
    <w:rsid w:val="057F2A2A"/>
    <w:rsid w:val="05894C8A"/>
    <w:rsid w:val="05993019"/>
    <w:rsid w:val="05C01E8E"/>
    <w:rsid w:val="05D0127E"/>
    <w:rsid w:val="05D708A6"/>
    <w:rsid w:val="06002DF6"/>
    <w:rsid w:val="06153E6E"/>
    <w:rsid w:val="0618444D"/>
    <w:rsid w:val="062A6CB4"/>
    <w:rsid w:val="06300679"/>
    <w:rsid w:val="063E0E8C"/>
    <w:rsid w:val="06471306"/>
    <w:rsid w:val="06762765"/>
    <w:rsid w:val="067746D4"/>
    <w:rsid w:val="069C6A8D"/>
    <w:rsid w:val="06B9287B"/>
    <w:rsid w:val="06DA3028"/>
    <w:rsid w:val="06E3294D"/>
    <w:rsid w:val="06F31CB3"/>
    <w:rsid w:val="06F93008"/>
    <w:rsid w:val="0718687A"/>
    <w:rsid w:val="071A60E7"/>
    <w:rsid w:val="07252677"/>
    <w:rsid w:val="076C6634"/>
    <w:rsid w:val="07820AB4"/>
    <w:rsid w:val="07906BB7"/>
    <w:rsid w:val="079B346A"/>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E0028A"/>
    <w:rsid w:val="09E31010"/>
    <w:rsid w:val="09ED009F"/>
    <w:rsid w:val="09F11ACB"/>
    <w:rsid w:val="09FB6243"/>
    <w:rsid w:val="0A047BEC"/>
    <w:rsid w:val="0A06506B"/>
    <w:rsid w:val="0A0A6618"/>
    <w:rsid w:val="0A29795D"/>
    <w:rsid w:val="0A2A7E86"/>
    <w:rsid w:val="0A2D68BE"/>
    <w:rsid w:val="0A3C22BA"/>
    <w:rsid w:val="0A3D34F3"/>
    <w:rsid w:val="0A3F54A5"/>
    <w:rsid w:val="0A557C07"/>
    <w:rsid w:val="0A5B4AF5"/>
    <w:rsid w:val="0A75433E"/>
    <w:rsid w:val="0A796F7C"/>
    <w:rsid w:val="0A7B7455"/>
    <w:rsid w:val="0AA33DAF"/>
    <w:rsid w:val="0AB608CB"/>
    <w:rsid w:val="0AC60296"/>
    <w:rsid w:val="0AD32487"/>
    <w:rsid w:val="0AD50553"/>
    <w:rsid w:val="0AE31AD5"/>
    <w:rsid w:val="0B017D09"/>
    <w:rsid w:val="0B0715B1"/>
    <w:rsid w:val="0B0F0B26"/>
    <w:rsid w:val="0B400CB2"/>
    <w:rsid w:val="0B421176"/>
    <w:rsid w:val="0B4B49C1"/>
    <w:rsid w:val="0B721C38"/>
    <w:rsid w:val="0B860805"/>
    <w:rsid w:val="0B945C54"/>
    <w:rsid w:val="0BB16187"/>
    <w:rsid w:val="0BCE6861"/>
    <w:rsid w:val="0BDC4FBC"/>
    <w:rsid w:val="0BDF0A5F"/>
    <w:rsid w:val="0C08318F"/>
    <w:rsid w:val="0C1E7ABD"/>
    <w:rsid w:val="0C270CC3"/>
    <w:rsid w:val="0C586B50"/>
    <w:rsid w:val="0C586E44"/>
    <w:rsid w:val="0C7F402D"/>
    <w:rsid w:val="0C822A19"/>
    <w:rsid w:val="0C930A24"/>
    <w:rsid w:val="0C9F5640"/>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EA06F6"/>
    <w:rsid w:val="0E01030B"/>
    <w:rsid w:val="0E04318C"/>
    <w:rsid w:val="0E274301"/>
    <w:rsid w:val="0E31785B"/>
    <w:rsid w:val="0E357D47"/>
    <w:rsid w:val="0E5C0982"/>
    <w:rsid w:val="0E730195"/>
    <w:rsid w:val="0E803657"/>
    <w:rsid w:val="0E8B35C9"/>
    <w:rsid w:val="0E9742FB"/>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D23F99"/>
    <w:rsid w:val="0FE34C1B"/>
    <w:rsid w:val="0FE35E2C"/>
    <w:rsid w:val="0FEF79AA"/>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65739D"/>
    <w:rsid w:val="12662947"/>
    <w:rsid w:val="12BE2ADE"/>
    <w:rsid w:val="12D8263D"/>
    <w:rsid w:val="130B16E4"/>
    <w:rsid w:val="13267B35"/>
    <w:rsid w:val="134A6D86"/>
    <w:rsid w:val="13594CF7"/>
    <w:rsid w:val="135A728A"/>
    <w:rsid w:val="1367698A"/>
    <w:rsid w:val="13772D89"/>
    <w:rsid w:val="138744BB"/>
    <w:rsid w:val="13AA18EC"/>
    <w:rsid w:val="13B45FC3"/>
    <w:rsid w:val="13DB164D"/>
    <w:rsid w:val="13E7373B"/>
    <w:rsid w:val="13F712B9"/>
    <w:rsid w:val="13FE142E"/>
    <w:rsid w:val="14176463"/>
    <w:rsid w:val="144B6D3F"/>
    <w:rsid w:val="14546EAA"/>
    <w:rsid w:val="147759A4"/>
    <w:rsid w:val="147A75E5"/>
    <w:rsid w:val="149C7CF0"/>
    <w:rsid w:val="14BC21CE"/>
    <w:rsid w:val="14BE2339"/>
    <w:rsid w:val="14BF4DCE"/>
    <w:rsid w:val="14D14395"/>
    <w:rsid w:val="14D56BF6"/>
    <w:rsid w:val="14E36C24"/>
    <w:rsid w:val="14F32D76"/>
    <w:rsid w:val="14F5216B"/>
    <w:rsid w:val="14FE7778"/>
    <w:rsid w:val="15060A70"/>
    <w:rsid w:val="151B73F8"/>
    <w:rsid w:val="15211EFF"/>
    <w:rsid w:val="15353F74"/>
    <w:rsid w:val="154B5C10"/>
    <w:rsid w:val="154F205D"/>
    <w:rsid w:val="15615E0F"/>
    <w:rsid w:val="156D2843"/>
    <w:rsid w:val="15701AB8"/>
    <w:rsid w:val="15892652"/>
    <w:rsid w:val="159001BC"/>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E22B33"/>
    <w:rsid w:val="16F85570"/>
    <w:rsid w:val="16FA58EE"/>
    <w:rsid w:val="17116BE2"/>
    <w:rsid w:val="17194D7A"/>
    <w:rsid w:val="172078E9"/>
    <w:rsid w:val="172D12A6"/>
    <w:rsid w:val="173C1948"/>
    <w:rsid w:val="17464B66"/>
    <w:rsid w:val="175B5D81"/>
    <w:rsid w:val="17652D76"/>
    <w:rsid w:val="177742FF"/>
    <w:rsid w:val="177778D5"/>
    <w:rsid w:val="177C4324"/>
    <w:rsid w:val="179E41EC"/>
    <w:rsid w:val="17BD7A6D"/>
    <w:rsid w:val="182A5943"/>
    <w:rsid w:val="18704C74"/>
    <w:rsid w:val="187F1331"/>
    <w:rsid w:val="18AD026B"/>
    <w:rsid w:val="18CA2202"/>
    <w:rsid w:val="18CA4E8D"/>
    <w:rsid w:val="18FC46F8"/>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B162F9"/>
    <w:rsid w:val="1ABE2D20"/>
    <w:rsid w:val="1ACC4B7F"/>
    <w:rsid w:val="1AD34CD1"/>
    <w:rsid w:val="1AD417D6"/>
    <w:rsid w:val="1AE72378"/>
    <w:rsid w:val="1AE7665A"/>
    <w:rsid w:val="1AF74A59"/>
    <w:rsid w:val="1B111CB0"/>
    <w:rsid w:val="1B393D9E"/>
    <w:rsid w:val="1B3F0566"/>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E2C8D"/>
    <w:rsid w:val="1C6C7614"/>
    <w:rsid w:val="1CB31F52"/>
    <w:rsid w:val="1CC609D9"/>
    <w:rsid w:val="1CDC7753"/>
    <w:rsid w:val="1CE6684D"/>
    <w:rsid w:val="1CEC4A0D"/>
    <w:rsid w:val="1D1712A0"/>
    <w:rsid w:val="1D2B7B9F"/>
    <w:rsid w:val="1D305274"/>
    <w:rsid w:val="1D3F5714"/>
    <w:rsid w:val="1D466011"/>
    <w:rsid w:val="1D487015"/>
    <w:rsid w:val="1D547E28"/>
    <w:rsid w:val="1D5B57EE"/>
    <w:rsid w:val="1D606070"/>
    <w:rsid w:val="1D655DB6"/>
    <w:rsid w:val="1D980258"/>
    <w:rsid w:val="1D9C1F14"/>
    <w:rsid w:val="1DB113DA"/>
    <w:rsid w:val="1DFB4E0B"/>
    <w:rsid w:val="1E196DA1"/>
    <w:rsid w:val="1E2278F4"/>
    <w:rsid w:val="1E4062B7"/>
    <w:rsid w:val="1E450B99"/>
    <w:rsid w:val="1E5542C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6B3A34"/>
    <w:rsid w:val="1F751CBE"/>
    <w:rsid w:val="1F7D6B10"/>
    <w:rsid w:val="1F963D6D"/>
    <w:rsid w:val="1F98363F"/>
    <w:rsid w:val="1FA70F8C"/>
    <w:rsid w:val="1FBF488C"/>
    <w:rsid w:val="1FCD7675"/>
    <w:rsid w:val="1FD377B1"/>
    <w:rsid w:val="1FDC18BC"/>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AD55FF"/>
    <w:rsid w:val="20C12FDC"/>
    <w:rsid w:val="20C55A62"/>
    <w:rsid w:val="20EA7590"/>
    <w:rsid w:val="211001E9"/>
    <w:rsid w:val="21147D43"/>
    <w:rsid w:val="2119067D"/>
    <w:rsid w:val="21216F1B"/>
    <w:rsid w:val="21320B64"/>
    <w:rsid w:val="214F55E4"/>
    <w:rsid w:val="215A4604"/>
    <w:rsid w:val="217C7ED4"/>
    <w:rsid w:val="21862B07"/>
    <w:rsid w:val="218A1EF5"/>
    <w:rsid w:val="21973788"/>
    <w:rsid w:val="219A3406"/>
    <w:rsid w:val="21A70D61"/>
    <w:rsid w:val="21B2244C"/>
    <w:rsid w:val="21C30EF9"/>
    <w:rsid w:val="21D956E3"/>
    <w:rsid w:val="21EF7C0A"/>
    <w:rsid w:val="221551D8"/>
    <w:rsid w:val="224441F7"/>
    <w:rsid w:val="224E7428"/>
    <w:rsid w:val="2261560B"/>
    <w:rsid w:val="227918A6"/>
    <w:rsid w:val="22944164"/>
    <w:rsid w:val="229674ED"/>
    <w:rsid w:val="22AC485D"/>
    <w:rsid w:val="22D174A6"/>
    <w:rsid w:val="22E67532"/>
    <w:rsid w:val="230F16FC"/>
    <w:rsid w:val="231C2E7E"/>
    <w:rsid w:val="232A4048"/>
    <w:rsid w:val="233344E4"/>
    <w:rsid w:val="2337735C"/>
    <w:rsid w:val="23392A7A"/>
    <w:rsid w:val="235336A2"/>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50D3E66"/>
    <w:rsid w:val="252754C5"/>
    <w:rsid w:val="252D3F69"/>
    <w:rsid w:val="2547370A"/>
    <w:rsid w:val="25585795"/>
    <w:rsid w:val="25740BBD"/>
    <w:rsid w:val="25955E96"/>
    <w:rsid w:val="259B6E31"/>
    <w:rsid w:val="259E33E1"/>
    <w:rsid w:val="25A07C39"/>
    <w:rsid w:val="25B677AD"/>
    <w:rsid w:val="25B904A8"/>
    <w:rsid w:val="25E06259"/>
    <w:rsid w:val="25FD0304"/>
    <w:rsid w:val="261447E7"/>
    <w:rsid w:val="26162D47"/>
    <w:rsid w:val="26417898"/>
    <w:rsid w:val="26442276"/>
    <w:rsid w:val="26444B63"/>
    <w:rsid w:val="264D7096"/>
    <w:rsid w:val="26552532"/>
    <w:rsid w:val="269F6889"/>
    <w:rsid w:val="26AD0D8B"/>
    <w:rsid w:val="26C17431"/>
    <w:rsid w:val="26C545A4"/>
    <w:rsid w:val="26C94300"/>
    <w:rsid w:val="26DF7D7C"/>
    <w:rsid w:val="26EE1723"/>
    <w:rsid w:val="26F154C7"/>
    <w:rsid w:val="26FD7030"/>
    <w:rsid w:val="27080E2E"/>
    <w:rsid w:val="270D21C6"/>
    <w:rsid w:val="277F5A23"/>
    <w:rsid w:val="279E36DD"/>
    <w:rsid w:val="27A7464B"/>
    <w:rsid w:val="27EA2797"/>
    <w:rsid w:val="28011EB5"/>
    <w:rsid w:val="28092464"/>
    <w:rsid w:val="282B47A7"/>
    <w:rsid w:val="282C5A3A"/>
    <w:rsid w:val="283F32F7"/>
    <w:rsid w:val="2855423F"/>
    <w:rsid w:val="285E5BE3"/>
    <w:rsid w:val="28611CC2"/>
    <w:rsid w:val="286D2B55"/>
    <w:rsid w:val="28721E59"/>
    <w:rsid w:val="28892109"/>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84ABC"/>
    <w:rsid w:val="29F5410D"/>
    <w:rsid w:val="2A0D39C3"/>
    <w:rsid w:val="2A1503FE"/>
    <w:rsid w:val="2A194990"/>
    <w:rsid w:val="2A215E5E"/>
    <w:rsid w:val="2A252C4C"/>
    <w:rsid w:val="2A3E7B5A"/>
    <w:rsid w:val="2A6B55C6"/>
    <w:rsid w:val="2A8475EE"/>
    <w:rsid w:val="2A951C8C"/>
    <w:rsid w:val="2A953E86"/>
    <w:rsid w:val="2A9B26F1"/>
    <w:rsid w:val="2AB25451"/>
    <w:rsid w:val="2AC063B7"/>
    <w:rsid w:val="2ACB5B48"/>
    <w:rsid w:val="2ACD0874"/>
    <w:rsid w:val="2AD267B8"/>
    <w:rsid w:val="2AD8059C"/>
    <w:rsid w:val="2B0A5818"/>
    <w:rsid w:val="2B0D737C"/>
    <w:rsid w:val="2B0F004D"/>
    <w:rsid w:val="2B154A20"/>
    <w:rsid w:val="2B380E7B"/>
    <w:rsid w:val="2B574357"/>
    <w:rsid w:val="2B6638DE"/>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A25A1"/>
    <w:rsid w:val="2D4D17E5"/>
    <w:rsid w:val="2D6F58D8"/>
    <w:rsid w:val="2D892B5C"/>
    <w:rsid w:val="2DB328B9"/>
    <w:rsid w:val="2DC6450C"/>
    <w:rsid w:val="2DD85082"/>
    <w:rsid w:val="2DE11692"/>
    <w:rsid w:val="2DF24F64"/>
    <w:rsid w:val="2DF5641D"/>
    <w:rsid w:val="2DF644E3"/>
    <w:rsid w:val="2E0D40F5"/>
    <w:rsid w:val="2E2F56E6"/>
    <w:rsid w:val="2E4A7323"/>
    <w:rsid w:val="2E98229F"/>
    <w:rsid w:val="2EA56E95"/>
    <w:rsid w:val="2EA673C9"/>
    <w:rsid w:val="2EAF1D1D"/>
    <w:rsid w:val="2ECA710C"/>
    <w:rsid w:val="2ED4404D"/>
    <w:rsid w:val="2ED50475"/>
    <w:rsid w:val="2EE365C8"/>
    <w:rsid w:val="2F090AB4"/>
    <w:rsid w:val="2F13732E"/>
    <w:rsid w:val="2F336BA3"/>
    <w:rsid w:val="2F5621A6"/>
    <w:rsid w:val="2F66411F"/>
    <w:rsid w:val="2F9E2267"/>
    <w:rsid w:val="2FA5716E"/>
    <w:rsid w:val="2FBE7D06"/>
    <w:rsid w:val="2FCD4219"/>
    <w:rsid w:val="2FD85581"/>
    <w:rsid w:val="2FE513F6"/>
    <w:rsid w:val="2FE91ED2"/>
    <w:rsid w:val="2FF22D62"/>
    <w:rsid w:val="30037E76"/>
    <w:rsid w:val="300B0CEC"/>
    <w:rsid w:val="301B31E2"/>
    <w:rsid w:val="302909D7"/>
    <w:rsid w:val="30320AA9"/>
    <w:rsid w:val="30427218"/>
    <w:rsid w:val="30664FDE"/>
    <w:rsid w:val="309E4811"/>
    <w:rsid w:val="30A00CB5"/>
    <w:rsid w:val="30AF5F22"/>
    <w:rsid w:val="30C14186"/>
    <w:rsid w:val="30D71496"/>
    <w:rsid w:val="30E73B0D"/>
    <w:rsid w:val="30FC61C2"/>
    <w:rsid w:val="30FD55E0"/>
    <w:rsid w:val="31030DD2"/>
    <w:rsid w:val="310F6F60"/>
    <w:rsid w:val="311333E6"/>
    <w:rsid w:val="311467EF"/>
    <w:rsid w:val="31162712"/>
    <w:rsid w:val="31363ABC"/>
    <w:rsid w:val="314614BA"/>
    <w:rsid w:val="31490B7D"/>
    <w:rsid w:val="3153679E"/>
    <w:rsid w:val="315F2471"/>
    <w:rsid w:val="3177458F"/>
    <w:rsid w:val="3189708E"/>
    <w:rsid w:val="318B1F3D"/>
    <w:rsid w:val="319434F7"/>
    <w:rsid w:val="31994D00"/>
    <w:rsid w:val="31A65E57"/>
    <w:rsid w:val="31AD16EF"/>
    <w:rsid w:val="31AE660C"/>
    <w:rsid w:val="31B05A1F"/>
    <w:rsid w:val="31B17EF2"/>
    <w:rsid w:val="31E155AC"/>
    <w:rsid w:val="31FC35FB"/>
    <w:rsid w:val="32010D04"/>
    <w:rsid w:val="3202665F"/>
    <w:rsid w:val="320A7836"/>
    <w:rsid w:val="324163CA"/>
    <w:rsid w:val="32574FD8"/>
    <w:rsid w:val="325C547C"/>
    <w:rsid w:val="326C29F6"/>
    <w:rsid w:val="327C3888"/>
    <w:rsid w:val="32945DAC"/>
    <w:rsid w:val="329C631F"/>
    <w:rsid w:val="32AB0897"/>
    <w:rsid w:val="32CB3A84"/>
    <w:rsid w:val="32CE45BC"/>
    <w:rsid w:val="32D9201A"/>
    <w:rsid w:val="32E42D0F"/>
    <w:rsid w:val="32E779A4"/>
    <w:rsid w:val="330D4D94"/>
    <w:rsid w:val="33435E16"/>
    <w:rsid w:val="335F11B3"/>
    <w:rsid w:val="337B12FB"/>
    <w:rsid w:val="339C5454"/>
    <w:rsid w:val="33D354DF"/>
    <w:rsid w:val="33DD1D83"/>
    <w:rsid w:val="33FC5F9C"/>
    <w:rsid w:val="34005D95"/>
    <w:rsid w:val="34173060"/>
    <w:rsid w:val="342451AA"/>
    <w:rsid w:val="3425323C"/>
    <w:rsid w:val="342E5EA7"/>
    <w:rsid w:val="343E0BAC"/>
    <w:rsid w:val="34474FF1"/>
    <w:rsid w:val="344B3651"/>
    <w:rsid w:val="34555269"/>
    <w:rsid w:val="34B63281"/>
    <w:rsid w:val="34C105B0"/>
    <w:rsid w:val="34CA39B2"/>
    <w:rsid w:val="34D564C3"/>
    <w:rsid w:val="34DC79C0"/>
    <w:rsid w:val="34EC4B86"/>
    <w:rsid w:val="351321CB"/>
    <w:rsid w:val="355171EC"/>
    <w:rsid w:val="355E299F"/>
    <w:rsid w:val="355E6D49"/>
    <w:rsid w:val="35671EE7"/>
    <w:rsid w:val="3572663B"/>
    <w:rsid w:val="357D4C50"/>
    <w:rsid w:val="35925B04"/>
    <w:rsid w:val="35963717"/>
    <w:rsid w:val="35AF3549"/>
    <w:rsid w:val="35CA49CB"/>
    <w:rsid w:val="35DA5213"/>
    <w:rsid w:val="35EE7B1B"/>
    <w:rsid w:val="35F65FAD"/>
    <w:rsid w:val="36202050"/>
    <w:rsid w:val="364A7C84"/>
    <w:rsid w:val="36605016"/>
    <w:rsid w:val="366B7A53"/>
    <w:rsid w:val="368259EE"/>
    <w:rsid w:val="3689301E"/>
    <w:rsid w:val="369C7E5C"/>
    <w:rsid w:val="36B523AB"/>
    <w:rsid w:val="36C76D40"/>
    <w:rsid w:val="36F44E23"/>
    <w:rsid w:val="371D2966"/>
    <w:rsid w:val="373062E8"/>
    <w:rsid w:val="375C1AC9"/>
    <w:rsid w:val="37785098"/>
    <w:rsid w:val="377E7331"/>
    <w:rsid w:val="379038C8"/>
    <w:rsid w:val="379D002A"/>
    <w:rsid w:val="37A6234C"/>
    <w:rsid w:val="37A907BA"/>
    <w:rsid w:val="37AF1535"/>
    <w:rsid w:val="37CA63F2"/>
    <w:rsid w:val="37CB57CA"/>
    <w:rsid w:val="37D337D1"/>
    <w:rsid w:val="37DD56C2"/>
    <w:rsid w:val="37F16302"/>
    <w:rsid w:val="38372548"/>
    <w:rsid w:val="38781C56"/>
    <w:rsid w:val="38C30240"/>
    <w:rsid w:val="38CF65F7"/>
    <w:rsid w:val="38D30895"/>
    <w:rsid w:val="38E95212"/>
    <w:rsid w:val="391C1C7A"/>
    <w:rsid w:val="39465968"/>
    <w:rsid w:val="394D1A3B"/>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742BEB"/>
    <w:rsid w:val="3C857740"/>
    <w:rsid w:val="3C8E02B7"/>
    <w:rsid w:val="3CB004C5"/>
    <w:rsid w:val="3CB35047"/>
    <w:rsid w:val="3CB47F7E"/>
    <w:rsid w:val="3CB603EF"/>
    <w:rsid w:val="3CD82621"/>
    <w:rsid w:val="3CDD69B2"/>
    <w:rsid w:val="3CEA693F"/>
    <w:rsid w:val="3D0D0F5F"/>
    <w:rsid w:val="3D0D55A5"/>
    <w:rsid w:val="3D187CD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70166E"/>
    <w:rsid w:val="3E752011"/>
    <w:rsid w:val="3E8270FA"/>
    <w:rsid w:val="3E8E2505"/>
    <w:rsid w:val="3E8F0C9A"/>
    <w:rsid w:val="3E9953AC"/>
    <w:rsid w:val="3E9D3F84"/>
    <w:rsid w:val="3E9F3605"/>
    <w:rsid w:val="3EEC1C8D"/>
    <w:rsid w:val="3EF15A07"/>
    <w:rsid w:val="3F0C0C5D"/>
    <w:rsid w:val="3F310E2B"/>
    <w:rsid w:val="3F3E5B85"/>
    <w:rsid w:val="3F4D19AF"/>
    <w:rsid w:val="3F691A99"/>
    <w:rsid w:val="3F837DDF"/>
    <w:rsid w:val="3FA21405"/>
    <w:rsid w:val="3FA96E5D"/>
    <w:rsid w:val="3FC04528"/>
    <w:rsid w:val="3FCB012B"/>
    <w:rsid w:val="3FD27B2E"/>
    <w:rsid w:val="3FEE1DE8"/>
    <w:rsid w:val="3FFE5EFF"/>
    <w:rsid w:val="40171145"/>
    <w:rsid w:val="402104DC"/>
    <w:rsid w:val="40480E8F"/>
    <w:rsid w:val="40662C29"/>
    <w:rsid w:val="40742438"/>
    <w:rsid w:val="40791098"/>
    <w:rsid w:val="40932E75"/>
    <w:rsid w:val="40A70377"/>
    <w:rsid w:val="40BC5D67"/>
    <w:rsid w:val="40D775A2"/>
    <w:rsid w:val="40EE33BE"/>
    <w:rsid w:val="40F61783"/>
    <w:rsid w:val="4100601D"/>
    <w:rsid w:val="410D75D5"/>
    <w:rsid w:val="411E3000"/>
    <w:rsid w:val="41402C24"/>
    <w:rsid w:val="414E7345"/>
    <w:rsid w:val="41696F7F"/>
    <w:rsid w:val="417240B9"/>
    <w:rsid w:val="417C0D06"/>
    <w:rsid w:val="418B25AA"/>
    <w:rsid w:val="418E56CE"/>
    <w:rsid w:val="41925E9B"/>
    <w:rsid w:val="419B1BC4"/>
    <w:rsid w:val="419D7C05"/>
    <w:rsid w:val="41A739EA"/>
    <w:rsid w:val="41B3371C"/>
    <w:rsid w:val="41B4302C"/>
    <w:rsid w:val="41CC67E1"/>
    <w:rsid w:val="41DA3C01"/>
    <w:rsid w:val="41E3266D"/>
    <w:rsid w:val="41F604FA"/>
    <w:rsid w:val="41FE6085"/>
    <w:rsid w:val="42013C9E"/>
    <w:rsid w:val="420F24CA"/>
    <w:rsid w:val="421C0994"/>
    <w:rsid w:val="424F02B6"/>
    <w:rsid w:val="42683145"/>
    <w:rsid w:val="427133C0"/>
    <w:rsid w:val="42715180"/>
    <w:rsid w:val="4277762F"/>
    <w:rsid w:val="429D7D7D"/>
    <w:rsid w:val="42B23DF0"/>
    <w:rsid w:val="42B45768"/>
    <w:rsid w:val="42DD7341"/>
    <w:rsid w:val="42E637C3"/>
    <w:rsid w:val="42FD1410"/>
    <w:rsid w:val="43184FA0"/>
    <w:rsid w:val="431F563A"/>
    <w:rsid w:val="432D0CD2"/>
    <w:rsid w:val="433E24EE"/>
    <w:rsid w:val="4348259E"/>
    <w:rsid w:val="434C0977"/>
    <w:rsid w:val="434D5EB2"/>
    <w:rsid w:val="43705840"/>
    <w:rsid w:val="437E6752"/>
    <w:rsid w:val="43AF6845"/>
    <w:rsid w:val="43D44FF8"/>
    <w:rsid w:val="441557E3"/>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D06D9"/>
    <w:rsid w:val="460D21F2"/>
    <w:rsid w:val="460E0469"/>
    <w:rsid w:val="460E0A15"/>
    <w:rsid w:val="4635298E"/>
    <w:rsid w:val="46355D58"/>
    <w:rsid w:val="463C04FA"/>
    <w:rsid w:val="464050BB"/>
    <w:rsid w:val="466B6702"/>
    <w:rsid w:val="466F037A"/>
    <w:rsid w:val="467737E1"/>
    <w:rsid w:val="46A075FA"/>
    <w:rsid w:val="46A359DC"/>
    <w:rsid w:val="46A54FB3"/>
    <w:rsid w:val="46D7121E"/>
    <w:rsid w:val="46E07671"/>
    <w:rsid w:val="46FF57CE"/>
    <w:rsid w:val="47154F60"/>
    <w:rsid w:val="47476572"/>
    <w:rsid w:val="47700BCB"/>
    <w:rsid w:val="47732DB6"/>
    <w:rsid w:val="47C254B8"/>
    <w:rsid w:val="47DF082A"/>
    <w:rsid w:val="47EB5003"/>
    <w:rsid w:val="48081128"/>
    <w:rsid w:val="480D3EC3"/>
    <w:rsid w:val="48144FED"/>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20208E"/>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F17A9"/>
    <w:rsid w:val="4AE74F60"/>
    <w:rsid w:val="4AFF5CC6"/>
    <w:rsid w:val="4B1D3A51"/>
    <w:rsid w:val="4B280F1E"/>
    <w:rsid w:val="4B3D4E30"/>
    <w:rsid w:val="4B411E5A"/>
    <w:rsid w:val="4B413D26"/>
    <w:rsid w:val="4B6B6050"/>
    <w:rsid w:val="4B8B446D"/>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C299D"/>
    <w:rsid w:val="4D0A349B"/>
    <w:rsid w:val="4D0D2E78"/>
    <w:rsid w:val="4D0F04ED"/>
    <w:rsid w:val="4D384A7C"/>
    <w:rsid w:val="4D3A0411"/>
    <w:rsid w:val="4D427C91"/>
    <w:rsid w:val="4D7706F2"/>
    <w:rsid w:val="4D845711"/>
    <w:rsid w:val="4DBE12C2"/>
    <w:rsid w:val="4DCE6ED3"/>
    <w:rsid w:val="4E095444"/>
    <w:rsid w:val="4E0E40E2"/>
    <w:rsid w:val="4E333BBB"/>
    <w:rsid w:val="4E4E04E5"/>
    <w:rsid w:val="4E665F7B"/>
    <w:rsid w:val="4E6A06E9"/>
    <w:rsid w:val="4E715DB2"/>
    <w:rsid w:val="4E776B87"/>
    <w:rsid w:val="4E8E5857"/>
    <w:rsid w:val="4EC206BE"/>
    <w:rsid w:val="4EC46EFB"/>
    <w:rsid w:val="4EC951FF"/>
    <w:rsid w:val="4ED04B02"/>
    <w:rsid w:val="4EDD6EFA"/>
    <w:rsid w:val="4EE96853"/>
    <w:rsid w:val="4F105F02"/>
    <w:rsid w:val="4F121BEA"/>
    <w:rsid w:val="4F172396"/>
    <w:rsid w:val="4F3F03C1"/>
    <w:rsid w:val="4F4C2971"/>
    <w:rsid w:val="4F566ACF"/>
    <w:rsid w:val="4F704BBC"/>
    <w:rsid w:val="4F8028EE"/>
    <w:rsid w:val="4F8435B4"/>
    <w:rsid w:val="4FAD0DF7"/>
    <w:rsid w:val="4FBC1F04"/>
    <w:rsid w:val="4FBD361C"/>
    <w:rsid w:val="4FBE1CEA"/>
    <w:rsid w:val="4FC15F00"/>
    <w:rsid w:val="4FF17370"/>
    <w:rsid w:val="50037C0C"/>
    <w:rsid w:val="500F51F9"/>
    <w:rsid w:val="50200CEA"/>
    <w:rsid w:val="502E1CFA"/>
    <w:rsid w:val="50371519"/>
    <w:rsid w:val="503D6ACE"/>
    <w:rsid w:val="505A0A75"/>
    <w:rsid w:val="50753DB9"/>
    <w:rsid w:val="509E2BD3"/>
    <w:rsid w:val="50C04426"/>
    <w:rsid w:val="50C95413"/>
    <w:rsid w:val="50CA58C9"/>
    <w:rsid w:val="50ED0D36"/>
    <w:rsid w:val="50F462DA"/>
    <w:rsid w:val="510B317F"/>
    <w:rsid w:val="51130AD6"/>
    <w:rsid w:val="51147068"/>
    <w:rsid w:val="511B4097"/>
    <w:rsid w:val="512452DA"/>
    <w:rsid w:val="514C3C7B"/>
    <w:rsid w:val="515029F4"/>
    <w:rsid w:val="51777BA1"/>
    <w:rsid w:val="517A1ADB"/>
    <w:rsid w:val="517C1302"/>
    <w:rsid w:val="51901189"/>
    <w:rsid w:val="51952A88"/>
    <w:rsid w:val="51B661F2"/>
    <w:rsid w:val="51BB2EED"/>
    <w:rsid w:val="51E51BA8"/>
    <w:rsid w:val="51EE27E3"/>
    <w:rsid w:val="52101F45"/>
    <w:rsid w:val="52125E5B"/>
    <w:rsid w:val="5213342A"/>
    <w:rsid w:val="52163344"/>
    <w:rsid w:val="52217FFE"/>
    <w:rsid w:val="5234477C"/>
    <w:rsid w:val="52515077"/>
    <w:rsid w:val="52806E8B"/>
    <w:rsid w:val="52B118DE"/>
    <w:rsid w:val="52C52078"/>
    <w:rsid w:val="52CB6EC0"/>
    <w:rsid w:val="52D061DA"/>
    <w:rsid w:val="52D211F8"/>
    <w:rsid w:val="52F26F28"/>
    <w:rsid w:val="53031E61"/>
    <w:rsid w:val="5315442E"/>
    <w:rsid w:val="533907AA"/>
    <w:rsid w:val="5341530E"/>
    <w:rsid w:val="534326DA"/>
    <w:rsid w:val="53434396"/>
    <w:rsid w:val="534D112E"/>
    <w:rsid w:val="53761C93"/>
    <w:rsid w:val="537B0A8C"/>
    <w:rsid w:val="5393301A"/>
    <w:rsid w:val="53971518"/>
    <w:rsid w:val="5399073D"/>
    <w:rsid w:val="539E3677"/>
    <w:rsid w:val="53A84C2D"/>
    <w:rsid w:val="53AB2CD5"/>
    <w:rsid w:val="53AF23D8"/>
    <w:rsid w:val="53B31343"/>
    <w:rsid w:val="53B91D8C"/>
    <w:rsid w:val="53CE2D5A"/>
    <w:rsid w:val="53D82514"/>
    <w:rsid w:val="53E56E6E"/>
    <w:rsid w:val="53EB2495"/>
    <w:rsid w:val="53F17662"/>
    <w:rsid w:val="54010C17"/>
    <w:rsid w:val="540366C1"/>
    <w:rsid w:val="542C2C82"/>
    <w:rsid w:val="543F012A"/>
    <w:rsid w:val="546136C7"/>
    <w:rsid w:val="54635F00"/>
    <w:rsid w:val="54661F54"/>
    <w:rsid w:val="546C3F2D"/>
    <w:rsid w:val="547F46DA"/>
    <w:rsid w:val="54944893"/>
    <w:rsid w:val="549F75FE"/>
    <w:rsid w:val="54A51CC5"/>
    <w:rsid w:val="54DD78BD"/>
    <w:rsid w:val="54E06144"/>
    <w:rsid w:val="54F52367"/>
    <w:rsid w:val="550A393D"/>
    <w:rsid w:val="555E54FB"/>
    <w:rsid w:val="556D2811"/>
    <w:rsid w:val="55767F46"/>
    <w:rsid w:val="55CE1AD5"/>
    <w:rsid w:val="55ED37B8"/>
    <w:rsid w:val="55F04C52"/>
    <w:rsid w:val="55F35D23"/>
    <w:rsid w:val="56281CBC"/>
    <w:rsid w:val="56333685"/>
    <w:rsid w:val="567B7B50"/>
    <w:rsid w:val="568F0DF7"/>
    <w:rsid w:val="56A332D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A22BE9"/>
    <w:rsid w:val="58BD6FD7"/>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527BDD"/>
    <w:rsid w:val="5A905E59"/>
    <w:rsid w:val="5A9311E7"/>
    <w:rsid w:val="5AA72593"/>
    <w:rsid w:val="5AA9358C"/>
    <w:rsid w:val="5AD0373D"/>
    <w:rsid w:val="5AF81B7B"/>
    <w:rsid w:val="5AF86253"/>
    <w:rsid w:val="5B047A73"/>
    <w:rsid w:val="5B081862"/>
    <w:rsid w:val="5B1140FC"/>
    <w:rsid w:val="5B1C3DCA"/>
    <w:rsid w:val="5B24355B"/>
    <w:rsid w:val="5B340596"/>
    <w:rsid w:val="5B3F26B3"/>
    <w:rsid w:val="5B467F94"/>
    <w:rsid w:val="5B4B70AC"/>
    <w:rsid w:val="5B8A7522"/>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790A6A"/>
    <w:rsid w:val="5C81109C"/>
    <w:rsid w:val="5C9E10E9"/>
    <w:rsid w:val="5C9E40DE"/>
    <w:rsid w:val="5CA11D7F"/>
    <w:rsid w:val="5CAF4CE5"/>
    <w:rsid w:val="5CDA6371"/>
    <w:rsid w:val="5CFC64A7"/>
    <w:rsid w:val="5D1516BF"/>
    <w:rsid w:val="5D1569ED"/>
    <w:rsid w:val="5D1B2A4F"/>
    <w:rsid w:val="5D2E6665"/>
    <w:rsid w:val="5D4F34F7"/>
    <w:rsid w:val="5D623C65"/>
    <w:rsid w:val="5D810CA8"/>
    <w:rsid w:val="5D8C1819"/>
    <w:rsid w:val="5DC477E0"/>
    <w:rsid w:val="5DD05318"/>
    <w:rsid w:val="5DE97207"/>
    <w:rsid w:val="5DEF6C2B"/>
    <w:rsid w:val="5DF22741"/>
    <w:rsid w:val="5DFE50F6"/>
    <w:rsid w:val="5E026A9A"/>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736746"/>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504051"/>
    <w:rsid w:val="607F2EF2"/>
    <w:rsid w:val="60842FF2"/>
    <w:rsid w:val="60AF5E00"/>
    <w:rsid w:val="60B54161"/>
    <w:rsid w:val="60D43BFA"/>
    <w:rsid w:val="60E16AB6"/>
    <w:rsid w:val="60E40C2C"/>
    <w:rsid w:val="610D2A7D"/>
    <w:rsid w:val="61111BF1"/>
    <w:rsid w:val="61175A9A"/>
    <w:rsid w:val="612129FE"/>
    <w:rsid w:val="61375BEC"/>
    <w:rsid w:val="614A2305"/>
    <w:rsid w:val="614E4437"/>
    <w:rsid w:val="615F1F60"/>
    <w:rsid w:val="6182631E"/>
    <w:rsid w:val="61BC217C"/>
    <w:rsid w:val="61D9772A"/>
    <w:rsid w:val="61DA1B5D"/>
    <w:rsid w:val="61DB33CF"/>
    <w:rsid w:val="61EF0933"/>
    <w:rsid w:val="61F2327B"/>
    <w:rsid w:val="61F64176"/>
    <w:rsid w:val="61F6471A"/>
    <w:rsid w:val="62413765"/>
    <w:rsid w:val="625A4915"/>
    <w:rsid w:val="625E2011"/>
    <w:rsid w:val="626E5BD1"/>
    <w:rsid w:val="627803DA"/>
    <w:rsid w:val="62921FA4"/>
    <w:rsid w:val="62A06349"/>
    <w:rsid w:val="62BF1D8B"/>
    <w:rsid w:val="62C83DFB"/>
    <w:rsid w:val="62DC2379"/>
    <w:rsid w:val="62EF16C5"/>
    <w:rsid w:val="62FA52C3"/>
    <w:rsid w:val="63077DCD"/>
    <w:rsid w:val="63196725"/>
    <w:rsid w:val="631F3FB6"/>
    <w:rsid w:val="63307428"/>
    <w:rsid w:val="63356B20"/>
    <w:rsid w:val="633B4FC0"/>
    <w:rsid w:val="634B7547"/>
    <w:rsid w:val="63647D08"/>
    <w:rsid w:val="63B47AD6"/>
    <w:rsid w:val="63B55E70"/>
    <w:rsid w:val="63BD1F88"/>
    <w:rsid w:val="63F34E27"/>
    <w:rsid w:val="63FD53D7"/>
    <w:rsid w:val="640D3774"/>
    <w:rsid w:val="642E2D6E"/>
    <w:rsid w:val="642F141D"/>
    <w:rsid w:val="6439179D"/>
    <w:rsid w:val="643A7D3D"/>
    <w:rsid w:val="644845EE"/>
    <w:rsid w:val="644C43F2"/>
    <w:rsid w:val="645E071A"/>
    <w:rsid w:val="64611864"/>
    <w:rsid w:val="6465357A"/>
    <w:rsid w:val="64704226"/>
    <w:rsid w:val="647E3F09"/>
    <w:rsid w:val="64870014"/>
    <w:rsid w:val="64B42AB0"/>
    <w:rsid w:val="64B76AA3"/>
    <w:rsid w:val="64C61C82"/>
    <w:rsid w:val="64D124DB"/>
    <w:rsid w:val="65233DA8"/>
    <w:rsid w:val="652A1A84"/>
    <w:rsid w:val="652A5D21"/>
    <w:rsid w:val="65480BBE"/>
    <w:rsid w:val="6554639C"/>
    <w:rsid w:val="65687D20"/>
    <w:rsid w:val="657B264C"/>
    <w:rsid w:val="65933B3C"/>
    <w:rsid w:val="65B955CA"/>
    <w:rsid w:val="65BE6C54"/>
    <w:rsid w:val="65CC3546"/>
    <w:rsid w:val="65CE71FF"/>
    <w:rsid w:val="65EE73B7"/>
    <w:rsid w:val="66087C36"/>
    <w:rsid w:val="661A0E12"/>
    <w:rsid w:val="66214D7C"/>
    <w:rsid w:val="6624580B"/>
    <w:rsid w:val="66356B67"/>
    <w:rsid w:val="667B6C3F"/>
    <w:rsid w:val="66933BD2"/>
    <w:rsid w:val="66B40E42"/>
    <w:rsid w:val="66B56D61"/>
    <w:rsid w:val="66B56D68"/>
    <w:rsid w:val="66E9392A"/>
    <w:rsid w:val="66EA1480"/>
    <w:rsid w:val="67056631"/>
    <w:rsid w:val="6745249B"/>
    <w:rsid w:val="674672D3"/>
    <w:rsid w:val="676E6425"/>
    <w:rsid w:val="67770DB9"/>
    <w:rsid w:val="67776ADD"/>
    <w:rsid w:val="6779797F"/>
    <w:rsid w:val="6789047F"/>
    <w:rsid w:val="67A720F6"/>
    <w:rsid w:val="67AC1398"/>
    <w:rsid w:val="67E7540E"/>
    <w:rsid w:val="67EA1736"/>
    <w:rsid w:val="67FC02AC"/>
    <w:rsid w:val="68006207"/>
    <w:rsid w:val="68070E08"/>
    <w:rsid w:val="682D2C3F"/>
    <w:rsid w:val="682D432C"/>
    <w:rsid w:val="68382592"/>
    <w:rsid w:val="684A32DA"/>
    <w:rsid w:val="68524FFC"/>
    <w:rsid w:val="68784674"/>
    <w:rsid w:val="687C00C8"/>
    <w:rsid w:val="687C4042"/>
    <w:rsid w:val="68A742AD"/>
    <w:rsid w:val="68B87F12"/>
    <w:rsid w:val="68C25CFA"/>
    <w:rsid w:val="68C731B8"/>
    <w:rsid w:val="68D536DE"/>
    <w:rsid w:val="69044A5D"/>
    <w:rsid w:val="691052CA"/>
    <w:rsid w:val="69194464"/>
    <w:rsid w:val="691D05F7"/>
    <w:rsid w:val="69312B59"/>
    <w:rsid w:val="69446209"/>
    <w:rsid w:val="69534859"/>
    <w:rsid w:val="69726337"/>
    <w:rsid w:val="698B1B24"/>
    <w:rsid w:val="6994580C"/>
    <w:rsid w:val="69B75241"/>
    <w:rsid w:val="69BB0755"/>
    <w:rsid w:val="69CD6D6F"/>
    <w:rsid w:val="69FB0A5B"/>
    <w:rsid w:val="6A115C81"/>
    <w:rsid w:val="6A162FAD"/>
    <w:rsid w:val="6A22015C"/>
    <w:rsid w:val="6A7A60F7"/>
    <w:rsid w:val="6A7E417E"/>
    <w:rsid w:val="6AAC2E76"/>
    <w:rsid w:val="6AB90DA9"/>
    <w:rsid w:val="6AD73CE6"/>
    <w:rsid w:val="6AEE1969"/>
    <w:rsid w:val="6B0A125F"/>
    <w:rsid w:val="6B23484A"/>
    <w:rsid w:val="6B30457A"/>
    <w:rsid w:val="6B3B1CB3"/>
    <w:rsid w:val="6B43702A"/>
    <w:rsid w:val="6B524C27"/>
    <w:rsid w:val="6B5A1EC9"/>
    <w:rsid w:val="6B7308B4"/>
    <w:rsid w:val="6B744505"/>
    <w:rsid w:val="6B7B26EC"/>
    <w:rsid w:val="6B990784"/>
    <w:rsid w:val="6BA2498F"/>
    <w:rsid w:val="6BB93C93"/>
    <w:rsid w:val="6BBC51E6"/>
    <w:rsid w:val="6BBF609A"/>
    <w:rsid w:val="6BCA0F7D"/>
    <w:rsid w:val="6BDE4DDD"/>
    <w:rsid w:val="6BE07242"/>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714E6"/>
    <w:rsid w:val="6CEF6EBD"/>
    <w:rsid w:val="6CF01C95"/>
    <w:rsid w:val="6CF542B7"/>
    <w:rsid w:val="6CFA3A07"/>
    <w:rsid w:val="6D0071CD"/>
    <w:rsid w:val="6D18295E"/>
    <w:rsid w:val="6D1A13F6"/>
    <w:rsid w:val="6D1F12FA"/>
    <w:rsid w:val="6D206AE2"/>
    <w:rsid w:val="6D5941BB"/>
    <w:rsid w:val="6D5B0CBD"/>
    <w:rsid w:val="6D6D33F8"/>
    <w:rsid w:val="6D6F3AB1"/>
    <w:rsid w:val="6D73256C"/>
    <w:rsid w:val="6D8A08D8"/>
    <w:rsid w:val="6D961017"/>
    <w:rsid w:val="6DCE3EDB"/>
    <w:rsid w:val="6DD23F1E"/>
    <w:rsid w:val="6DDB4275"/>
    <w:rsid w:val="6DEE2081"/>
    <w:rsid w:val="6E0135EB"/>
    <w:rsid w:val="6E210E7D"/>
    <w:rsid w:val="6E336938"/>
    <w:rsid w:val="6E360304"/>
    <w:rsid w:val="6E4C0EF4"/>
    <w:rsid w:val="6E4E028C"/>
    <w:rsid w:val="6E565A56"/>
    <w:rsid w:val="6E5C1E9E"/>
    <w:rsid w:val="6E5D68D3"/>
    <w:rsid w:val="6E682450"/>
    <w:rsid w:val="6E7251F0"/>
    <w:rsid w:val="6E757524"/>
    <w:rsid w:val="6E7934F3"/>
    <w:rsid w:val="6E9C5623"/>
    <w:rsid w:val="6E9E05A5"/>
    <w:rsid w:val="6EAD6286"/>
    <w:rsid w:val="6EB24C59"/>
    <w:rsid w:val="6EBD3CCD"/>
    <w:rsid w:val="6EC9468F"/>
    <w:rsid w:val="6ECD60E1"/>
    <w:rsid w:val="6EDB6C60"/>
    <w:rsid w:val="6F2428C0"/>
    <w:rsid w:val="6F433285"/>
    <w:rsid w:val="6F591B5D"/>
    <w:rsid w:val="6F7E65DB"/>
    <w:rsid w:val="6F7F6D3A"/>
    <w:rsid w:val="6F981073"/>
    <w:rsid w:val="6FA172A4"/>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D6080"/>
    <w:rsid w:val="71C90ED8"/>
    <w:rsid w:val="71D72430"/>
    <w:rsid w:val="71E12038"/>
    <w:rsid w:val="720A6753"/>
    <w:rsid w:val="720F4AFB"/>
    <w:rsid w:val="72112B83"/>
    <w:rsid w:val="72143F3C"/>
    <w:rsid w:val="721F61D9"/>
    <w:rsid w:val="723D42BE"/>
    <w:rsid w:val="72412901"/>
    <w:rsid w:val="72553DBC"/>
    <w:rsid w:val="72887B37"/>
    <w:rsid w:val="72910320"/>
    <w:rsid w:val="72A53302"/>
    <w:rsid w:val="72B3410C"/>
    <w:rsid w:val="72BD6DA9"/>
    <w:rsid w:val="72CB01B8"/>
    <w:rsid w:val="72D95B00"/>
    <w:rsid w:val="72F66709"/>
    <w:rsid w:val="730554B3"/>
    <w:rsid w:val="73092FAA"/>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6B6757"/>
    <w:rsid w:val="74780C44"/>
    <w:rsid w:val="7479294A"/>
    <w:rsid w:val="747B5C9D"/>
    <w:rsid w:val="747F1177"/>
    <w:rsid w:val="748028C0"/>
    <w:rsid w:val="74A471EE"/>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1D1573"/>
    <w:rsid w:val="761F64EF"/>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6C53FF"/>
    <w:rsid w:val="776E3681"/>
    <w:rsid w:val="777E5705"/>
    <w:rsid w:val="7781654E"/>
    <w:rsid w:val="779231D8"/>
    <w:rsid w:val="77A618BC"/>
    <w:rsid w:val="77B92312"/>
    <w:rsid w:val="77DE5CDB"/>
    <w:rsid w:val="7827423F"/>
    <w:rsid w:val="78386307"/>
    <w:rsid w:val="78493B6B"/>
    <w:rsid w:val="7850391E"/>
    <w:rsid w:val="78597E32"/>
    <w:rsid w:val="78703EBE"/>
    <w:rsid w:val="78805A36"/>
    <w:rsid w:val="78830880"/>
    <w:rsid w:val="78A51D8F"/>
    <w:rsid w:val="78AE0946"/>
    <w:rsid w:val="78D1727E"/>
    <w:rsid w:val="78D17516"/>
    <w:rsid w:val="78D96E40"/>
    <w:rsid w:val="78FE038B"/>
    <w:rsid w:val="7911644D"/>
    <w:rsid w:val="792078D7"/>
    <w:rsid w:val="79331EC1"/>
    <w:rsid w:val="79404911"/>
    <w:rsid w:val="794D0D3C"/>
    <w:rsid w:val="7986601A"/>
    <w:rsid w:val="7993616D"/>
    <w:rsid w:val="799D69BF"/>
    <w:rsid w:val="799F3A31"/>
    <w:rsid w:val="79AE14B2"/>
    <w:rsid w:val="79B1687C"/>
    <w:rsid w:val="79B22738"/>
    <w:rsid w:val="79CE4B72"/>
    <w:rsid w:val="79FE0269"/>
    <w:rsid w:val="7A055366"/>
    <w:rsid w:val="7A292C38"/>
    <w:rsid w:val="7A49541C"/>
    <w:rsid w:val="7A5F22B4"/>
    <w:rsid w:val="7A680094"/>
    <w:rsid w:val="7A7508D5"/>
    <w:rsid w:val="7A80455C"/>
    <w:rsid w:val="7A81102C"/>
    <w:rsid w:val="7AA37ECA"/>
    <w:rsid w:val="7AB16073"/>
    <w:rsid w:val="7ABB5514"/>
    <w:rsid w:val="7AC2458A"/>
    <w:rsid w:val="7ADE3222"/>
    <w:rsid w:val="7AF04DB0"/>
    <w:rsid w:val="7B0D28AD"/>
    <w:rsid w:val="7B133363"/>
    <w:rsid w:val="7B1C1737"/>
    <w:rsid w:val="7B2F5379"/>
    <w:rsid w:val="7B322761"/>
    <w:rsid w:val="7B3C2640"/>
    <w:rsid w:val="7B4443D1"/>
    <w:rsid w:val="7BB151FD"/>
    <w:rsid w:val="7BB43296"/>
    <w:rsid w:val="7BBE12F2"/>
    <w:rsid w:val="7BDE6C84"/>
    <w:rsid w:val="7BE07A81"/>
    <w:rsid w:val="7BE81B8B"/>
    <w:rsid w:val="7BE97D38"/>
    <w:rsid w:val="7BF01170"/>
    <w:rsid w:val="7C272B3E"/>
    <w:rsid w:val="7C471D4F"/>
    <w:rsid w:val="7C5A71C2"/>
    <w:rsid w:val="7C7A6596"/>
    <w:rsid w:val="7CA76A22"/>
    <w:rsid w:val="7CB167D6"/>
    <w:rsid w:val="7CCC4E54"/>
    <w:rsid w:val="7CEB2ACD"/>
    <w:rsid w:val="7CEF6F65"/>
    <w:rsid w:val="7CF41D8D"/>
    <w:rsid w:val="7D2745EF"/>
    <w:rsid w:val="7D2D2CA0"/>
    <w:rsid w:val="7D5C29E8"/>
    <w:rsid w:val="7D7A7BC6"/>
    <w:rsid w:val="7D995EB0"/>
    <w:rsid w:val="7DBB08B6"/>
    <w:rsid w:val="7DBC7173"/>
    <w:rsid w:val="7DD90B59"/>
    <w:rsid w:val="7DEF15A6"/>
    <w:rsid w:val="7DFC511B"/>
    <w:rsid w:val="7E0565F6"/>
    <w:rsid w:val="7E221AFC"/>
    <w:rsid w:val="7E2A514E"/>
    <w:rsid w:val="7E2C4E20"/>
    <w:rsid w:val="7E2D20BE"/>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442E56"/>
    <w:rsid w:val="7F457080"/>
    <w:rsid w:val="7F486BDC"/>
    <w:rsid w:val="7F4C71A0"/>
    <w:rsid w:val="7F5124CE"/>
    <w:rsid w:val="7F5653E5"/>
    <w:rsid w:val="7F6347A3"/>
    <w:rsid w:val="7F7B4335"/>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53</TotalTime>
  <ScaleCrop>false</ScaleCrop>
  <LinksUpToDate>false</LinksUpToDate>
  <CharactersWithSpaces>26786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2020-11-26T08:25:41Z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2052-11.1.0.10132</vt:lpwstr>
  </property>
</Properties>
</file>