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-1249045</wp:posOffset>
            </wp:positionH>
            <wp:positionV relativeFrom="paragraph">
              <wp:posOffset>-862330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1.7</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_Toc22754 </w:instrText>
      </w:r>
      <w:r>
        <w:rPr>
          <w:rFonts w:hint="eastAsia" w:ascii="宋体" w:hAnsi="宋体" w:eastAsia="宋体" w:cs="宋体"/>
          <w:szCs w:val="21"/>
        </w:rPr>
        <w:fldChar w:fldCharType="separate"/>
      </w:r>
      <w:r>
        <w:rPr>
          <w:rFonts w:hint="eastAsia"/>
        </w:rPr>
        <w:t>一、国际原油市场回顾 </w:t>
      </w:r>
      <w:r>
        <w:tab/>
      </w:r>
      <w:r>
        <w:fldChar w:fldCharType="begin"/>
      </w:r>
      <w:r>
        <w:instrText xml:space="preserve"> PAGEREF _Toc22754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_Toc2223 </w:instrText>
      </w:r>
      <w:r>
        <w:rPr>
          <w:rFonts w:hint="eastAsia" w:ascii="宋体" w:hAnsi="宋体" w:eastAsia="宋体" w:cs="宋体"/>
          <w:szCs w:val="21"/>
        </w:rPr>
        <w:fldChar w:fldCharType="separate"/>
      </w:r>
      <w:r>
        <w:rPr>
          <w:rFonts w:hint="eastAsia" w:ascii="宋体" w:hAnsi="宋体"/>
          <w:szCs w:val="30"/>
        </w:rPr>
        <w:t>1.1国际原油收盘价涨跌情况（单位：美元/桶）</w:t>
      </w:r>
      <w:r>
        <w:tab/>
      </w:r>
      <w:r>
        <w:fldChar w:fldCharType="begin"/>
      </w:r>
      <w:r>
        <w:instrText xml:space="preserve"> PAGEREF _Toc2223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_Toc8868 </w:instrText>
      </w:r>
      <w:r>
        <w:rPr>
          <w:rFonts w:hint="eastAsia" w:ascii="宋体" w:hAnsi="宋体" w:eastAsia="宋体" w:cs="宋体"/>
          <w:szCs w:val="21"/>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_Toc8868 </w:instrText>
      </w:r>
      <w:r>
        <w:fldChar w:fldCharType="separate"/>
      </w:r>
      <w:r>
        <w:t>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_Toc9249 </w:instrText>
      </w:r>
      <w:r>
        <w:rPr>
          <w:rFonts w:hint="eastAsia" w:ascii="宋体" w:hAnsi="宋体" w:eastAsia="宋体" w:cs="宋体"/>
          <w:szCs w:val="21"/>
        </w:rPr>
        <w:fldChar w:fldCharType="separate"/>
      </w:r>
      <w:r>
        <w:rPr>
          <w:rFonts w:hint="eastAsia"/>
        </w:rPr>
        <w:t>二、 近期影响国际原油市场的主要因素</w:t>
      </w:r>
      <w:r>
        <w:tab/>
      </w:r>
      <w:r>
        <w:fldChar w:fldCharType="begin"/>
      </w:r>
      <w:r>
        <w:instrText xml:space="preserve"> PAGEREF _Toc9249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_Toc3912 </w:instrText>
      </w:r>
      <w:r>
        <w:rPr>
          <w:rFonts w:hint="eastAsia" w:ascii="宋体" w:hAnsi="宋体" w:eastAsia="宋体" w:cs="宋体"/>
          <w:szCs w:val="21"/>
        </w:rPr>
        <w:fldChar w:fldCharType="separate"/>
      </w:r>
      <w:r>
        <w:rPr>
          <w:rFonts w:hint="eastAsia" w:ascii="宋体" w:hAnsi="宋体"/>
          <w:szCs w:val="30"/>
        </w:rPr>
        <w:t>2.1影响国际原油市场的主要因素</w:t>
      </w:r>
      <w:r>
        <w:tab/>
      </w:r>
      <w:r>
        <w:fldChar w:fldCharType="begin"/>
      </w:r>
      <w:r>
        <w:instrText xml:space="preserve"> PAGEREF _Toc3912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_Toc9710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_Toc9710 </w:instrText>
      </w:r>
      <w:r>
        <w:fldChar w:fldCharType="separate"/>
      </w:r>
      <w:r>
        <w:t>13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_Toc9440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_Toc9440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_Toc15820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_Toc15820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_Toc22131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_Toc22131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_Toc13353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_Toc13353 </w:instrText>
      </w:r>
      <w:r>
        <w:fldChar w:fldCharType="separate"/>
      </w:r>
      <w:r>
        <w:t>19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_Toc28209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_Toc28209 </w:instrText>
      </w:r>
      <w:r>
        <w:fldChar w:fldCharType="separate"/>
      </w:r>
      <w:r>
        <w:t>22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_Toc10254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_Toc10254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_Toc24140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_Toc24140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_Toc32000 </w:instrText>
      </w:r>
      <w:r>
        <w:rPr>
          <w:rFonts w:hint="eastAsia" w:ascii="宋体" w:hAnsi="宋体" w:eastAsia="宋体" w:cs="宋体"/>
          <w:szCs w:val="21"/>
        </w:rPr>
        <w:fldChar w:fldCharType="separate"/>
      </w:r>
      <w:r>
        <w:rPr>
          <w:rFonts w:hint="eastAsia" w:ascii="宋体" w:hAnsi="宋体"/>
          <w:szCs w:val="30"/>
          <w:lang w:val="en-US" w:eastAsia="zh-CN"/>
        </w:rPr>
        <w:t>四、2020年10月份进出口统计数据</w:t>
      </w:r>
      <w:r>
        <w:tab/>
      </w:r>
      <w:r>
        <w:fldChar w:fldCharType="begin"/>
      </w:r>
      <w:r>
        <w:instrText xml:space="preserve"> PAGEREF _Toc32000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_Toc21966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份全国车用汽油和航空汽油进出口统计数据</w:t>
      </w:r>
      <w:r>
        <w:tab/>
      </w:r>
      <w:r>
        <w:fldChar w:fldCharType="begin"/>
      </w:r>
      <w:r>
        <w:instrText xml:space="preserve"> PAGEREF _Toc21966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_Toc277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0</w:t>
      </w:r>
      <w:r>
        <w:rPr>
          <w:rFonts w:hint="eastAsia" w:ascii="宋体" w:hAnsi="宋体"/>
          <w:szCs w:val="30"/>
        </w:rPr>
        <w:t>月份全国柴油出口统计数据</w:t>
      </w:r>
      <w:r>
        <w:tab/>
      </w:r>
      <w:r>
        <w:fldChar w:fldCharType="begin"/>
      </w:r>
      <w:r>
        <w:instrText xml:space="preserve"> PAGEREF _Toc277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_Toc8413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月份全国原油进出口统计数据</w:t>
      </w:r>
      <w:r>
        <w:tab/>
      </w:r>
      <w:r>
        <w:fldChar w:fldCharType="begin"/>
      </w:r>
      <w:r>
        <w:instrText xml:space="preserve"> PAGEREF _Toc8413 </w:instrText>
      </w:r>
      <w:r>
        <w:fldChar w:fldCharType="separate"/>
      </w:r>
      <w:r>
        <w:t>33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_Toc21660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月份航空煤油进出口统计数据</w:t>
      </w:r>
      <w:r>
        <w:tab/>
      </w:r>
      <w:r>
        <w:fldChar w:fldCharType="begin"/>
      </w:r>
      <w:r>
        <w:instrText xml:space="preserve"> PAGEREF _Toc21660 </w:instrText>
      </w:r>
      <w:r>
        <w:fldChar w:fldCharType="separate"/>
      </w:r>
      <w:r>
        <w:t>35</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275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2223"/>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2020/12/31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48.52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51.8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原油期货价格上涨。此前数据显示EIA原油库存超市场预期大幅减少606.5万桶,油价受此提振收盘上涨。临近元旦节，市场仍保持积极态度，利好因素令市场油价保持上涨。</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　休市</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　休市</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因适逢元旦节假期，国际原油市场于今日全天休市。</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47.62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51.09</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石油输出国组织及其盟友(OPEC+)未能就产量政策达成协议，并宣称将在周二继续开会。OPEC+的大多数成员赞成维持现有的产量限制水平，但俄罗斯与哈萨克斯坦希望从2月份开始将每日原油产量提高50万桶。</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49.93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53.6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原油期货价格上涨。石油输出国组织及其盟友(OPEC+)周二达成减产协议，沙特主动扩大减产额度，令油价得到支撑。</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50.63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54.3</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原油期货价格上涨。美国原油库存连续第四周下降、沙特阿拉伯主动决定从下个月开始减产100万桶/日，令油价得到支撑。美国WTI原油自去年2月以来首次收在50美元上方。</w:t>
            </w:r>
          </w:p>
        </w:tc>
      </w:tr>
    </w:tbl>
    <w:p>
      <w:pPr>
        <w:jc w:val="center"/>
        <w:rPr>
          <w:rFonts w:hint="eastAsia"/>
        </w:rPr>
      </w:pPr>
    </w:p>
    <w:p>
      <w:pPr>
        <w:pStyle w:val="3"/>
        <w:spacing w:before="120" w:after="120" w:line="240" w:lineRule="auto"/>
        <w:rPr>
          <w:rFonts w:hint="eastAsia" w:ascii="宋体" w:hAnsi="宋体" w:cs="Arial"/>
          <w:b/>
          <w:kern w:val="0"/>
          <w:sz w:val="30"/>
          <w:szCs w:val="30"/>
        </w:rPr>
      </w:pPr>
      <w:bookmarkStart w:id="2" w:name="_Toc8868"/>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p>
    <w:p>
      <w:pPr>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539740" cy="3234055"/>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39740" cy="3234055"/>
                    </a:xfrm>
                    <a:prstGeom prst="rect">
                      <a:avLst/>
                    </a:prstGeom>
                    <a:noFill/>
                    <a:ln>
                      <a:noFill/>
                    </a:ln>
                  </pic:spPr>
                </pic:pic>
              </a:graphicData>
            </a:graphic>
          </wp:inline>
        </w:drawing>
      </w:r>
    </w:p>
    <w:p>
      <w:pPr>
        <w:pStyle w:val="2"/>
        <w:numPr>
          <w:ilvl w:val="0"/>
          <w:numId w:val="1"/>
        </w:numPr>
        <w:spacing w:before="120" w:after="0" w:line="240" w:lineRule="auto"/>
      </w:pPr>
      <w:bookmarkStart w:id="3" w:name="_Toc9249"/>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3912"/>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60905217"/>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EIA公布的数据显示，截至12月25日当周美国除却战略储备的商业原油库存降幅超预期，精炼油库存超预期，汽油库存不及预期。具体数据显示，美国截至12月25日当周EIA原油库存变动实际公布减少606.5万桶，预期减少310万桶，前值减少56.2万桶。此外，美国截至12月25日当周EIA汽油库存实际公布减少119.2万桶，预期增加40万桶，前值减少112.5万桶;美国截至12月25日当周EIA精炼油库存实际公布增加309.5万桶，预期增加60万桶，前值减少232.5万桶。美国石油协会(API)周二公布的数据显示，截至12月25日当周，原油库存减少478.5万桶，至约4.929亿桶，分析师预估为减少210万桶。精炼油库存减少188万桶，库欣地区原油库存增加13.1万桶;美国上周原油进口减少20.4万桶/日。</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60905218"/>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7日凌晨，美股周三收盘涨跌不一，道指创盘中与收盘历史新高。市场继续关注佐治亚州参议员席位决选。华盛顿的示威游行活动迫使美国国会暂停选举人团投票结果认证程序并休会，华盛顿市宣布宵禁。美联储纪要认为疫情继续影响经济活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道指收盘上涨437.80点，或1.44%，报30829.40点;纳指跌78.17点，或0.61%，报12740.79点;标普500指数涨21.28点，或0.57%，报3748.14点。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周三道指最高上涨至31022.65点，标普500指数最高上涨至3783.04点，均创盘中历史最高纪录。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在美国国会开始开会计算选举团票数并确认总统大选结果时，支持特朗普的抗议者闯入美国国会参议院议事厅。受此影响，美国国会突然休会，被迫暂停选举人团投票结果认证程序。</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据媒体报道，在特朗普支持者闯进美国国会时，有执法人员开枪，一人在美国国会大厦内被击中。</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鉴于华盛顿的示威游行转向暴力倾向，并威胁国会活动，华盛顿市长Bowser下令从当天晚上6时开始实施宵禁，直到周四(7日)早上6时。宵禁要求，除了市长同意及必要工作者外，任何人不得外出。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消息人士透露，美国国会警察要求包括联邦当局在内的更多执法部门提供协助，以应对越发无法控制的抗议人群。据消息人士称，国会大厦外有几个可疑装置。另一个执法部门的消息来源说，华盛顿特区大都会警察局已经派出更多部门的警力来协助国会警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受上述消息影响，美股午后从高点回落，纳指转跌，衡量市场恐慌程度的CBOE波动率指数(VIX)走高，美国国债价格下跌、收益率上涨。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10年美债收益率自去年3月份以来首次突破1%，美东时间周三下午15时左右该收益率报1.037%。</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市场预测民主党人拿下佐治亚州全部两个参议员席位的可能性越来越大，并担心大型科技公司可能因此受到更多反垄断措施的牵制。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如果民主党拿下佐治亚州的两个参议员席位，美国共和党与民主党在参议院的席位都将是50个，当选副总统哈里斯将在双方投票结果出现平局时拥有决定性的投票权，这意味着民主党将实际上控制参议院。</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民主党控制的参议院将给新政府更大的空间来实施更大规模的新冠疫情刺激法案，但同时也可能提高企业税并对科技行业巨头实施更严格的监管，而这些限制性政策通常不受华尔街人士的青睐。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Strategas公司董事长Jason Trennert表示：“我认为市场普遍认为我们会看到新政府扩大开支计划。如果民主党拿下那两个席位，无疑大家会认为今年下半年会需要更多开支项目。”</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民主党可能拿下佐治亚州两个参议员席位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过去几个交易日以来，美国的政治不确定性一直困扰着美国股市，佐治亚州的参议员决选成为核心焦点。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据美国媒体周三报道，民主党人Raphael Warnock击败现任共和党Kelly Loeffler，赢得该州两个参议员席位之一，这将使民主党在参议院中拥有49个席位，而在共和党中只有50个席位。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佐治亚州的另一个参议员席位仍悬而未决，现任共和党人David Perdue与民主党挑战者Jon Ossoff之间的得票数差距非常小，目前选情仍然胶着。</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市场策略师们大体上认为，民主党同时拿下佐治亚州的两个参议员席位将对市场不利，因为那将导致企业税的提高和政府开支的扩大。据券商奥本海默估算，如果出现这种情况，标普500指数可能会下跌10%。</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但也有分析师认为，市场对佐治亚州参议员席位选举结果的担忧可能被夸大了。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AGF首席美国政策策略师Greg Valliere表示：“即使民主党拿下佐治亚州的全部两个参议员席位，参议院两党也将以50比50的席位势均力敌，还有几个民主党参议员的立场相当温和：比如说西弗吉尼亚州的Joe Manchin，以及蒙大拿州的参议员Jon Tester。”</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他称：“即使民主党想要控制参议院，我认为上述两位温和派的民主党参议员也不会在所有问题上都赞成其他民主党成员。因此，不管怎么分析，我们认为金融市场将出现非常温和派的环境。”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美联储会议纪要：疫情继续影响经济活动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美联储周三公布了其12月份FOMC货币政策会议的纪要文件。该会议纪要显示了美联储官员对保持债券购买计划直到经济显示出持久复苏迹象的广泛支持。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会议纪要显示，与会者普遍认为，资产购买正在带来“非常显著”的政策宽松。所有与会者都认为当前债券购买的速度是合适的。官员们一致认为，在减少资产购买之前，市场将会接到很多“通知”。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纪要称：“许多与会者指出，很重要的一点是，委员会必须在判断为足以保证购买速度变化的时间之前，早日传达其对实现长期目标的实际和预期进展的评估。”</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官员们进一步指出，一旦达到“实质性进展”的门槛，美联储就可以开始逐步缩减购债规模，缩减将是“渐进的”，最终缩减债券购买将与2013-14年的做法类似。</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有几名官员对购买更长期的债券持开放态度。一些与会者指出，如果有利于实现目标，美联储未来可能会增加资产购买规模，延长资产购买期限。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会议纪要还显示，新冠疫情以及为遏制病毒蔓延而采取的措施继续影响美国国内外的经济活动。与会者一致认为，经济发展的路径将取决于疫情发展。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与会者认为，由于新冠病例激增、社交距离和支出减少(特别是在需要面对面接触的服务业方面)，未来几个月经济面临的挑战将增加，围绕经济前景的不确定性上升。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纪要称，与会者认为，关于疫苗研制的积极消息进一步加强了家庭支出的中期前景。随着冬季疫情担忧加剧，预计短期内疲软的通胀模式将继续下去。随着新冠疫苗的推出，通胀的下行压力将在2021年开始减弱。</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美国12月ADP就业人数减少12.3万人 2020年4月以来首次录得负值</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美国12月ADP就业人数减少12.3万人，为2020年4月以来首次录得负值。预估为增加7.5万人，前值为增加30.7万人。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ADP报告显示，12月制造业就业人数减少2.1万人，11月增加0.8万人。12月贸易/运输/公用事业就业人数减少5万人，11月增加3.1万人。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ADP就业数据公司副总裁表示，随着疫情对劳动力市场的影响加剧，12月就业人数录得了自2020年4月以来的首次下降。失业主要集中在零售、休闲和酒店行业。</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美国新冠疫情继续恶化 疫苗接种率持续放缓</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疫情继续恶化，其中洛杉矶县是受影响最严重的重灾区之一。据美媒，目前洛杉矶县的医疗机构中已经开始出现医疗资源严重短缺现象，很多送往医院的病患被迫在救护车中等待数小时才能得到一张空闲床位，当地救护人员甚至得到上级指示，要求放弃生还几率极低的患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此外，美国疾控中心(CDC)称，全美新冠疫苗接种率持续放缓，已下降至28%。根据美国疾病控制与预防中心CDC当地时间1月5日发布的数据，新冠疫苗接种工作在全美持续放缓。</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原油期货价格周三收高，美国WTI原油自去年2月以来首次收在50美元上方。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美国原油库存连续第四周下降、沙特阿拉伯主动决定从下个月开始减产100万桶/日，令油价得到支撑。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纽约商品交易所2月交割的西德州中质原油(WTI)期货价格上涨70美分，涨幅1.4%，收于每桶50.63美元。按照最活跃合约计算，这是美国WTI原油期货自2020年2月以来首次收在50美元上方。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643" w:firstLineChars="200"/>
        <w:outlineLvl w:val="1"/>
        <w:rPr>
          <w:rFonts w:hint="eastAsia" w:asciiTheme="minorEastAsia" w:hAnsiTheme="minorEastAsia" w:eastAsiaTheme="minorEastAsia" w:cstheme="minorEastAsia"/>
          <w:b/>
          <w:bCs/>
          <w:sz w:val="32"/>
          <w:szCs w:val="32"/>
        </w:rPr>
      </w:pPr>
      <w:bookmarkStart w:id="7" w:name="_Toc60905219"/>
      <w:r>
        <w:rPr>
          <w:rFonts w:hint="eastAsia" w:asciiTheme="minorEastAsia" w:hAnsiTheme="minorEastAsia" w:eastAsiaTheme="minorEastAsia" w:cstheme="minorEastAsia"/>
          <w:b/>
          <w:bCs/>
          <w:sz w:val="32"/>
          <w:szCs w:val="32"/>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据报道，世界银行周二发布半年度报告，预测今年全球经济可能增长4%，其中中国经济可能增长7.9%，2020年为增长2%。</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世界银行周二发布最新一期《全球经济展望》报告。报告内容显示，全球经济2020年萎缩4.3%。美联社称，这是1945年二战结束以后全球经济下滑最大的一次。相较之下，20世纪30年代经济大萧条也只是让全球经济从1930年到1932年平均每年缩水4.8%。2008年国际金融危机仅导致2009年全球经济下滑1.8%。</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疫情给2020年经济带来的下滑程度略小于之前预估。多数新兴市场与发展中经济体受到的影响较为严重。发达经济体衰退程度相对较小，加上中国经济的强劲复苏，让全球经济没有出现更大程度的崩溃。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世界银行的报告认为，今年全球经济复苏力度较弱，仍然要面对大量下行风险。如果疫情成功得到控制，疫苗接种过程加快，全球经济成长可能加速至接近5%。包含中国在内，2021年新兴市场与发展中经济体国内生产总值(GDP)料将增长5%，2020年为萎缩2.6%。中国之外的新兴市场和发展中经济体在2020年萎缩5%之后，2021年料增长3.4%。世行预期，美国GDP在2021年将增长5%，2020年估计萎缩3.6%。欧元区今年经济将增长3.6%，2020年则为下滑7.4%;而日本经济在去年萎缩5.3%之后，今年预计将增长2.5%。</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过，如果新冠病毒感染人数持续上升，疫苗分发被延迟，那今年全球经济的复苏幅度也可能只有1.6%。世行强调，疫情预计将对全球经济带来长久的负面影响，使得疫情暴发前原已预估的放缓愈加恶化，全球可能面临“长达10年增长表现欠佳的情况”。</w:t>
      </w:r>
    </w:p>
    <w:p>
      <w:pPr>
        <w:rPr>
          <w:rFonts w:hint="eastAsia"/>
        </w:rPr>
      </w:pPr>
    </w:p>
    <w:p>
      <w:pPr>
        <w:pStyle w:val="23"/>
        <w:numPr>
          <w:ilvl w:val="0"/>
          <w:numId w:val="2"/>
        </w:numPr>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后市预测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47.62-50.63美元/桶。布伦特原油价格在51.09-54.3美元/桶震荡。周内国际油价窄幅震荡。周三(1月6日)，EIA数据显示上周美国原油库存下降，且此前交易日沙特阿拉伯意外宣布将在2、3月份自愿大幅减产，助力WTI原油涨穿50美金。截至发稿，美国WTI原油2月期货收涨70美分，涨幅1.40%，报50.63美元/桶，其盘中一度触及50.94美元/桶的高位;布伦特原油3月期货同样收涨70美分，涨幅1.30%，报54.30美元/桶。基本面利好因素：1.香港时间周三晚23:30，美国能源信息署(EIA)公布的数据显示，截至1月1日当周，EIA原油库存减少801万桶至4.855亿桶，减少1.6%，预期减少270万桶，前值减少606.5万桶。2.沙特阿拉伯意外宣布将在2、3月份自愿大幅减产，其他欧佩克+成员国则保持产量稳定或小幅增产。沙特能源大臣表示，将在未来两个月自愿减产100万桶/日。这个减产力度将远远抵消俄罗斯和哈萨克斯坦在2、3月份每月合计增产7.5万桶/日的影响。沙特的减产承诺令全球市场原油供应量将低于交易员预期，纽约原油价格飙升至10个月高位。沙特之举反映出其担心欧洲疫情卷土重来对全球石油需求可能造成的冲击，同时也凸显沙特决心避免与俄罗斯打新的价格战。3.历经9个多月的谈判，欧盟与英国在12月24日终于宣布达成“脱欧”贸易协议。据BBC报道，英国政府已在当地时间12月31日23点退出了欧盟贸易规则。双方达成的贸易协议避免了许多公司担心的进口关税。但是，在旅游、移民、商业、海外生活和工作以及打击犯罪和安全方面的规定仍将有重大变化。据报道，为了降低延期风险，英国将在截至2021年7月的6个月内逐步检查从欧洲大陆进入英国的货物。但英国方面的部分新海关程序将从23点起立即生效，如酒精、烟草、化学品和管制药物的进口。欧盟成员国将从23点起对英国出口实行全面的海关申报和其他管制。基本面利空因素：1.当地时间1月6日下午，由于华盛顿的示威游行转向暴力倾向，并威胁国会活动，华盛顿市长鲍泽(Bowser)下令从当天晚上6时开始实施宵禁，直到周四(7日)早上6时。宵禁要求，除了市长同意及必要工作者外，任何人不得外出。目前总统特朗普未进行任何评论。据消息人士透露，美国国会警察要求包括联邦当局在内的更多执法部门提供协助，以应对越发无法控制的抗议人群。据消息人士称，国会大厦外有几个可疑装置。另一个执法部门的消息来源说，华盛顿特区大都会警察局已经派出更多部门的警力来协助国会警察。据驻守在国会大楼的记者说，由于大楼的圆形大厅有催泪瓦斯，议员们被要求从座位下取出防毒面具，并撤离到衣帽间。这名记者表示大家都吓坏了，纷纷戴上防毒面具躲到衣帽间避难，目前密室里大约有100人。2.英国首相约翰逊宣布从周一晚间到2月中旬在英格兰全境实施封锁，以防止新冠病例激增使国家医疗系统不堪重负。约翰逊在电视讲话中表示，从周二起所有小学、中学和大学将关闭，只有弱势儿童和从事关键岗位的工作人员的子女除外。约翰逊说，人们只有在特定情况下才可以离开家，所有非必需的零售商店，酒店和个人护理服务机构必须继续关闭。新的限制措施将很快成为法律，人们需从周一晚上开始遵守。3.当地时间1月4日，据美国当地媒体报道，纽约州州长科莫宣布，纽约州确诊了首例变异新冠病毒病例。此前，科罗拉多州、加州、佛州都已确诊了相关病例。专家指出，这种变异新冠病毒可能已在美国多地传播。科莫在与记者举行的电话会议上说，该病例是在萨拉托加县一名此前没有旅行史的60岁男子身上确诊的。这名男子在一家珠宝店工作，另外三人也被检测出新冠病毒阳性，说明这是社区感染病例。科莫说，如果其他州也能纽约州一样不断地测试，他们或许也会检测出变种新冠病毒病例。库莫说，他还补充说，官员们还没有在纽约市南部地区发现任何带有这种菌株的病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预测下周WTI油价将触及46-51美元/桶，布油在之后几个月触及50-55美元/桶。</w:t>
      </w:r>
    </w:p>
    <w:p>
      <w:pPr>
        <w:pStyle w:val="23"/>
        <w:numPr>
          <w:ilvl w:val="0"/>
          <w:numId w:val="0"/>
        </w:numPr>
        <w:spacing w:line="360" w:lineRule="auto"/>
        <w:outlineLvl w:val="1"/>
        <w:rPr>
          <w:rFonts w:hint="eastAsia" w:asciiTheme="minorEastAsia" w:hAnsiTheme="minorEastAsia" w:eastAsiaTheme="minorEastAsia" w:cstheme="minorEastAsia"/>
          <w:b/>
          <w:sz w:val="28"/>
          <w:szCs w:val="28"/>
        </w:rPr>
      </w:pPr>
    </w:p>
    <w:p>
      <w:pPr>
        <w:pStyle w:val="3"/>
        <w:spacing w:before="120" w:after="120" w:line="240" w:lineRule="auto"/>
        <w:rPr>
          <w:rFonts w:hint="eastAsia" w:ascii="宋体" w:hAnsi="宋体" w:eastAsia="宋体"/>
          <w:b/>
          <w:sz w:val="30"/>
          <w:szCs w:val="30"/>
          <w:highlight w:val="none"/>
          <w:lang w:val="en-US" w:eastAsia="zh-CN"/>
        </w:rPr>
      </w:pPr>
      <w:bookmarkStart w:id="8" w:name="_Toc9710"/>
      <w:r>
        <w:rPr>
          <w:rFonts w:hint="eastAsia" w:ascii="宋体" w:hAnsi="宋体"/>
          <w:b/>
          <w:sz w:val="30"/>
          <w:szCs w:val="30"/>
          <w:highlight w:val="none"/>
        </w:rPr>
        <w:t>2.2国际市场MTBE价格</w:t>
      </w:r>
      <w:bookmarkEnd w:id="8"/>
      <w:r>
        <w:rPr>
          <w:rFonts w:hint="eastAsia" w:ascii="宋体" w:hAnsi="宋体"/>
          <w:b/>
          <w:sz w:val="30"/>
          <w:szCs w:val="30"/>
          <w:highlight w:val="none"/>
          <w:lang w:val="en-US" w:eastAsia="zh-CN"/>
        </w:rPr>
        <w:t xml:space="preserve"> </w:t>
      </w:r>
    </w:p>
    <w:p>
      <w:pPr>
        <w:rPr>
          <w:rFonts w:hint="eastAsia"/>
        </w:rPr>
      </w:pPr>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1月6日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531.00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154.56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520.50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1月5日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152.27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508.25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1月4日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523.00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144.35 </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494.50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12月31日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510.00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147.80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496.75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9" w:name="_Toc9440"/>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15820"/>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2"/>
        <w:gridCol w:w="813"/>
        <w:gridCol w:w="1229"/>
        <w:gridCol w:w="813"/>
        <w:gridCol w:w="1229"/>
        <w:gridCol w:w="2476"/>
        <w:gridCol w:w="2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00" w:type="dxa"/>
            <w:gridSpan w:val="7"/>
            <w:tcBorders>
              <w:top w:val="single" w:color="auto" w:sz="6" w:space="0"/>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炼厂名称</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所在地</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加工能力</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检修装置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检修产能（单位：万吨）</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起始时间</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北海炼化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广西</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650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常减压</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130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2020/3/15</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天津石化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天津</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1250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1250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2020/5/1</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齐鲁石化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山东</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1300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常减压</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800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2020/9/13</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青岛石化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山东</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500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500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2020/10/8</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2020/12月初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武汉石化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湖北</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850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850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2020/10月底</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金陵石化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江苏</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1800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1800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2020/11/26</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长岭石化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湖南</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1150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1150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2021年3月</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00"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炼厂名称</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所在地</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加工能力</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检修装置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检修产能（单位：万吨）</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起始时间</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大连石化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辽宁</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2020/5/7</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辽阳石化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辽宁</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240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渣油加氢装置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2020/6/1</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宁夏石化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宁夏</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500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500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2020/7/1</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锦西石化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辽宁</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650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650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2020/7/9</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华北石化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河北</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1000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渣油加氢装置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340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2020/9/12</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2021/10/18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云南石化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云南</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1300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1300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2020/12/5</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2021/1/15</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p>
      <w:pPr>
        <w:numPr>
          <w:ilvl w:val="0"/>
          <w:numId w:val="0"/>
        </w:numPr>
        <w:rPr>
          <w:rFonts w:hint="eastAsia" w:ascii="宋体" w:hAnsi="宋体"/>
          <w:sz w:val="28"/>
          <w:szCs w:val="28"/>
          <w:highlight w:val="none"/>
        </w:rPr>
      </w:pP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5"/>
        <w:gridCol w:w="1275"/>
        <w:gridCol w:w="750"/>
        <w:gridCol w:w="1320"/>
        <w:gridCol w:w="1785"/>
        <w:gridCol w:w="1785"/>
        <w:gridCol w:w="998"/>
        <w:gridCol w:w="998"/>
        <w:gridCol w:w="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75" w:type="dxa"/>
            <w:vMerge w:val="restart"/>
            <w:tcBorders>
              <w:top w:val="single" w:color="4F81BD" w:sz="6" w:space="0"/>
              <w:left w:val="single" w:color="4F81BD" w:sz="6" w:space="0"/>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地区</w:t>
            </w:r>
          </w:p>
        </w:tc>
        <w:tc>
          <w:tcPr>
            <w:tcW w:w="1275" w:type="dxa"/>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炼厂名称</w:t>
            </w:r>
          </w:p>
        </w:tc>
        <w:tc>
          <w:tcPr>
            <w:tcW w:w="750" w:type="dxa"/>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检修装置</w:t>
            </w:r>
          </w:p>
        </w:tc>
        <w:tc>
          <w:tcPr>
            <w:tcW w:w="1320" w:type="dxa"/>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产能（万吨/年）</w:t>
            </w:r>
          </w:p>
        </w:tc>
        <w:tc>
          <w:tcPr>
            <w:tcW w:w="0" w:type="auto"/>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开工时间</w:t>
            </w:r>
          </w:p>
        </w:tc>
        <w:tc>
          <w:tcPr>
            <w:tcW w:w="0" w:type="auto"/>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停工时间</w:t>
            </w:r>
          </w:p>
        </w:tc>
        <w:tc>
          <w:tcPr>
            <w:tcW w:w="0" w:type="auto"/>
            <w:gridSpan w:val="2"/>
            <w:vMerge w:val="restart"/>
            <w:tcBorders>
              <w:top w:val="single" w:color="4F81BD" w:sz="6" w:space="0"/>
              <w:left w:val="nil"/>
              <w:bottom w:val="single" w:color="FFFFFF" w:sz="12"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检修损失量（万吨）</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75" w:type="dxa"/>
            <w:vMerge w:val="continue"/>
            <w:tcBorders>
              <w:top w:val="single" w:color="4F81BD" w:sz="6" w:space="0"/>
              <w:left w:val="single" w:color="4F81BD" w:sz="6" w:space="0"/>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1275" w:type="dxa"/>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750" w:type="dxa"/>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1320" w:type="dxa"/>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gridSpan w:val="2"/>
            <w:vMerge w:val="continue"/>
            <w:tcBorders>
              <w:top w:val="single" w:color="4F81BD" w:sz="6" w:space="0"/>
              <w:left w:val="nil"/>
              <w:bottom w:val="single" w:color="FFFFFF" w:sz="12"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75" w:type="dxa"/>
            <w:tcBorders>
              <w:top w:val="nil"/>
              <w:left w:val="single" w:color="4F81BD" w:sz="6" w:space="0"/>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1275" w:type="dxa"/>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750" w:type="dxa"/>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1320" w:type="dxa"/>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汽油</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柴油</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75"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东营</w:t>
            </w:r>
          </w:p>
        </w:tc>
        <w:tc>
          <w:tcPr>
            <w:tcW w:w="127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垦利石化</w:t>
            </w:r>
          </w:p>
        </w:tc>
        <w:tc>
          <w:tcPr>
            <w:tcW w:w="75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柴油加氢</w:t>
            </w:r>
          </w:p>
        </w:tc>
        <w:tc>
          <w:tcPr>
            <w:tcW w:w="132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60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2020年12月20日</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2020年12月10日</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1.1　</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东营</w:t>
            </w:r>
          </w:p>
        </w:tc>
        <w:tc>
          <w:tcPr>
            <w:tcW w:w="127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亨润德石化</w:t>
            </w:r>
          </w:p>
        </w:tc>
        <w:tc>
          <w:tcPr>
            <w:tcW w:w="75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常减压</w:t>
            </w:r>
          </w:p>
        </w:tc>
        <w:tc>
          <w:tcPr>
            <w:tcW w:w="132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150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2020年12月下旬</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2020年10月23日</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1.4</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滨州</w:t>
            </w:r>
          </w:p>
        </w:tc>
        <w:tc>
          <w:tcPr>
            <w:tcW w:w="127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京博石化</w:t>
            </w:r>
          </w:p>
        </w:tc>
        <w:tc>
          <w:tcPr>
            <w:tcW w:w="75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延迟焦化</w:t>
            </w:r>
          </w:p>
        </w:tc>
        <w:tc>
          <w:tcPr>
            <w:tcW w:w="132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80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待定</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2020年8月下旬</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0.7</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淄博</w:t>
            </w:r>
          </w:p>
        </w:tc>
        <w:tc>
          <w:tcPr>
            <w:tcW w:w="127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金诚石化</w:t>
            </w:r>
          </w:p>
        </w:tc>
        <w:tc>
          <w:tcPr>
            <w:tcW w:w="75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常减压</w:t>
            </w:r>
          </w:p>
        </w:tc>
        <w:tc>
          <w:tcPr>
            <w:tcW w:w="132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350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待定</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2020年6月底</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0.7</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1.1</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东营</w:t>
            </w:r>
          </w:p>
        </w:tc>
        <w:tc>
          <w:tcPr>
            <w:tcW w:w="127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东方华龙</w:t>
            </w:r>
          </w:p>
        </w:tc>
        <w:tc>
          <w:tcPr>
            <w:tcW w:w="75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催化</w:t>
            </w:r>
          </w:p>
        </w:tc>
        <w:tc>
          <w:tcPr>
            <w:tcW w:w="132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80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待定</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2020年1月</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东营</w:t>
            </w:r>
          </w:p>
        </w:tc>
        <w:tc>
          <w:tcPr>
            <w:tcW w:w="127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垦利石化</w:t>
            </w:r>
          </w:p>
        </w:tc>
        <w:tc>
          <w:tcPr>
            <w:tcW w:w="75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小重整</w:t>
            </w:r>
          </w:p>
        </w:tc>
        <w:tc>
          <w:tcPr>
            <w:tcW w:w="132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60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待定</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2019年4月27日</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0.4</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2131"/>
      <w:r>
        <w:rPr>
          <w:rFonts w:hint="eastAsia" w:ascii="宋体" w:hAnsi="宋体"/>
          <w:b/>
          <w:sz w:val="30"/>
          <w:szCs w:val="30"/>
          <w:highlight w:val="none"/>
        </w:rPr>
        <w:t>3.2本周成品油市场行情</w:t>
      </w:r>
      <w:bookmarkEnd w:id="11"/>
    </w:p>
    <w:p>
      <w:pPr>
        <w:rPr>
          <w:rFonts w:hint="eastAsia"/>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国际原油期货震荡上行，据测算第四个工作日参考原油变化率为1.71%。受此影响，国内成品油市场行情整体上行，各地主营单位汽柴油价格上调。与此同时，山东地炼成品油行情先抑后扬，其中炼厂多以汽油涨价为主，但成交始终保持100元/吨左右优惠。具体来看出货方面：经过节日期间消耗，社会单位库存有所减少，节后归来随着中下游商家陆续入市补货，地炼整体出货表现好转。加上后期原油大涨提振业者心态，区内油市看涨气氛愈加热烈，但受季节性需求影响，市场成交多以汽油为主，柴油表现相对较弱。因此周期内地炼整体出货表现一般，汽柴油平均产销比在90-100%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本周(1月1日-1月7日)消息面向好发展，华中地区主营油价震荡走高 具体分析如下，周初国际原油维持窄幅波动走势，新一轮零售价调整呈现搁浅预期，消息面难寻有效指引。步入新一销售周期，主营赶量心切。加之前期侧重挺价保利价格水平相对高企，故部分单位多积极压价促销，或明稳暗跌，增加成交优惠空间。随着欧佩克减产协议达成，原油大幅收涨，消息面利好支撑油市。受此影响，各单位汽柴油成交重心逐渐上移。下游入市仍显谨慎，业者多采取刚需小单操作，市场整体购销提升有限。后市来看，受供应端收紧支撑，国际原油或维持偏好整理运行，本轮零售价上调概率增加，消息面或维持利好指向。不过全国气温大幅回落，加之国内疫情反弹，民众出行谨慎，汽柴油需求端难寻利好，尤其柴油终端消耗仍将持续萎缩。主营为保证销量开门红，销售压力普遍较大。故预计下周区内油价或维持窄幅波动走势，实际成交或多存较大商谈空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日-1月7日)，华南地区汽柴油市场整体呈现稳中上涨走势，成交情况稍有好转。具体来看，周内国际原油市场呈现跌后大幅反弹走势，对国内油价形成利好支撑，主营单位推涨心态明显，广东地区汽柴油价格均保持上涨走势，受买涨心态支撑，下游业者采购热情有所升温，多适当逢低补仓，市场交投气氛尚可。福建及海南地区汽柴油市场维持零星推涨走势，但由于下游终端市场需求情况有限，市场新单成交稀少，实际成交价格无明显跟涨。受原油价格强势上涨走势，新一轮成品油调价窗口呈现压线上调预期，目前来看市场“五连涨” 的概率较大，受此利好因素支撑，预计汽柴油市场将延续震荡上涨走势。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4日-1月7日)，华东地区成品油行情震荡上行，原油变化率正向拉宽，区内成品油行情柴跌汽涨，整体成交未有大幅提升。具体来看，周内国际油价震荡上行，原油变化率正向拉宽，零售价上调预期显现，利好因素支撑，区内各主营纷纷调整汽柴油价格。因强冷空气和疫情反复影响，区内各工况、基建等大型项目陆续放假，柴油需求难有支撑，部分主营单位大幅下调柴油价格，下调幅度在50-200元/吨，而民众出行车载空调使用率提高，汽油消耗加快，但疫情反复影响致使民众假期长途出行受限，汽油需求存有一定支撑，汽油价格上调幅度在50-100元/吨。但市场谨慎观望情绪为主，业者入市补货多逢低刚需，整体成交未有大幅提升。后市而言，国际油价或保持震荡，消息面或存有一定利好支撑，各主营单位或试探性跟随推涨，故预计短期内华东地区成品油行情或汽强柴弱格局不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日-1月7日)，消息面偏向利好，华北区内汽柴行情整体推涨。分析来看，本周初原油走势暂无起色，元旦假期归来虽上调预期落实首个工作日，但新一轮调价预期显示搁浅，商家继续推价动力不足，部分单位报价高位回落，受春节假期影响本月主营单位销售压力较重，月初销售政策灵活，成交多宽幅优惠。周内原油走势连涨，变化率正值不断拉宽并触及上调红线，市场消息面支撑偏向利好，主营单位报价开始上涨，累计上涨幅度在100-150元/吨，但周内河北地区疫情形势加重且北方普遍遭遇寒潮天气，市场需求不佳且部分地区资源流通受阻，下游追涨气氛不高，成交多小单刚需为主。后市而言，国际油价近期利好支撑仍存，OPEC+达成减产协议短期内将继续支撑原油走势，本轮调价上调概率较大，但各国疫情局势仍存不确定性，预计后期原油价格反弹空间受限。而区内市场来看，随年底将近，柴油需求将进一步减弱，受疫情影响下游出行半径相应收窄，汽油需求也将难有上行空间，而月内主营单位侧重走量，预计下周价格走势易跌难涨，成交政策灵活应市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日-1月7日)，西南地区汽柴行情跌后反弹，市场成交提升有限。分析来看：元旦前夕国内成品油零售价兑现上调，但节后返市，新一轮变化率幅度较小，消息面对市场指引有限。此外，进入新的销售周期，主营单位多降价促销，区内行情不涨反而下降明显。但之后国际油价连续收涨，变化率正向区间延伸，上调预期显现，消息面对市场呈现利好指引，部分地区主营再度推价。不过，下游需求难有支撑，业者适量补货之后再度退市消库，市场成交难有改善。就后市而言，国际油价或震荡走高，变化率正向区间延伸，本轮零售价上调概率偏大，消息面对市场仍有支撑。预计短线西南地区汽柴行情偏强整理，主营优惠政策灵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日-1月7日)，西北地炼柴油行情下滑，汽油行情波动有限，市场成交气氛平平。分析来看：周初，国际油价走跌，且新一轮变化率幅度较小，消息面指引有限。此外，冬季天气转冷，工矿基建等行业开工受限，柴油需求萎缩。销售公司出货不畅，成交价格回落，跌幅在100元/吨;汽油方面，近期寒潮影响下，气温大幅降低，私家车出行增多，汽油需求仍有支撑。虽然95#汽油价格下调，对整体行情影响有限。之后，国际油价连续收涨，上调预期渐增，消息面对市场支撑力度增加。不过，业者补货心态谨慎，市场成交刚需为主。就后市而言，国际油价偏强震荡，变化率正向区间延伸，上调预期对市场仍有支撑。不过，业者按需补货为主，市场成交难有明显提升。预计短线西北地炼汽柴行情波动有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受到沙特额外减产的提振，原油市场供应面利好增加，有助于油价在高位企稳。以WTI为例，主流运行区间在48-52(均值50)美元/桶之间，环比上涨0.82美元/桶或1.67%。在消息面利好因素作用下，山东地区成品油行情有望保持坚挺，建议中下游商家按需采购，短期内销售采取快进快出为益。综上所述，预计下周山东地炼汽柴油价格稳中上涨，幅度在100元/吨左右。</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bookmarkStart w:id="22" w:name="_GoBack"/>
      <w:bookmarkEnd w:id="22"/>
    </w:p>
    <w:p>
      <w:pPr>
        <w:pStyle w:val="3"/>
        <w:spacing w:before="120" w:after="120" w:line="240" w:lineRule="auto"/>
        <w:rPr>
          <w:rFonts w:ascii="宋体" w:hAnsi="宋体"/>
          <w:b/>
          <w:sz w:val="30"/>
          <w:szCs w:val="30"/>
        </w:rPr>
      </w:pPr>
      <w:bookmarkStart w:id="12" w:name="_Toc13353"/>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tbl>
      <w:tblPr>
        <w:tblpPr w:leftFromText="180" w:rightFromText="180" w:vertAnchor="text" w:horzAnchor="page" w:tblpX="763" w:tblpY="340"/>
        <w:tblOverlap w:val="never"/>
        <w:tblW w:w="10980" w:type="dxa"/>
        <w:tblInd w:w="0" w:type="dxa"/>
        <w:shd w:val="clear"/>
        <w:tblLayout w:type="autofit"/>
        <w:tblCellMar>
          <w:top w:w="0" w:type="dxa"/>
          <w:left w:w="0" w:type="dxa"/>
          <w:bottom w:w="0" w:type="dxa"/>
          <w:right w:w="0" w:type="dxa"/>
        </w:tblCellMar>
      </w:tblPr>
      <w:tblGrid>
        <w:gridCol w:w="1260"/>
        <w:gridCol w:w="1260"/>
        <w:gridCol w:w="1260"/>
        <w:gridCol w:w="1260"/>
        <w:gridCol w:w="1260"/>
        <w:gridCol w:w="1080"/>
        <w:gridCol w:w="1080"/>
        <w:gridCol w:w="1260"/>
        <w:gridCol w:w="1260"/>
      </w:tblGrid>
      <w:tr>
        <w:tblPrEx>
          <w:shd w:val="clear"/>
          <w:tblCellMar>
            <w:top w:w="0" w:type="dxa"/>
            <w:left w:w="0" w:type="dxa"/>
            <w:bottom w:w="0" w:type="dxa"/>
            <w:right w:w="0" w:type="dxa"/>
          </w:tblCellMar>
        </w:tblPrEx>
        <w:trPr>
          <w:trHeight w:val="2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2021/1/7</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2020/12/31</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6010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6010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6205</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6180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bl>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28209"/>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pPr w:leftFromText="180" w:rightFromText="180" w:vertAnchor="text" w:horzAnchor="page" w:tblpX="718" w:tblpY="892"/>
        <w:tblOverlap w:val="never"/>
        <w:tblW w:w="10885" w:type="dxa"/>
        <w:tblInd w:w="0" w:type="dxa"/>
        <w:shd w:val="clear" w:color="auto" w:fill="auto"/>
        <w:tblLayout w:type="autofit"/>
        <w:tblCellMar>
          <w:top w:w="0" w:type="dxa"/>
          <w:left w:w="0" w:type="dxa"/>
          <w:bottom w:w="0" w:type="dxa"/>
          <w:right w:w="0" w:type="dxa"/>
        </w:tblCellMar>
      </w:tblPr>
      <w:tblGrid>
        <w:gridCol w:w="1515"/>
        <w:gridCol w:w="1515"/>
        <w:gridCol w:w="1195"/>
        <w:gridCol w:w="1050"/>
        <w:gridCol w:w="1455"/>
        <w:gridCol w:w="1425"/>
        <w:gridCol w:w="1410"/>
        <w:gridCol w:w="1320"/>
      </w:tblGrid>
      <w:tr>
        <w:tblPrEx>
          <w:shd w:val="clear" w:color="auto" w:fill="auto"/>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11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5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4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4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2021/1/7</w:t>
            </w:r>
          </w:p>
        </w:tc>
        <w:tc>
          <w:tcPr>
            <w:tcW w:w="132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2020/12/31</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5785</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bl>
    <w:p>
      <w:pPr>
        <w:rPr>
          <w:rFonts w:hint="eastAsia"/>
          <w:lang w:val="en-US" w:eastAsia="zh-CN"/>
        </w:rPr>
      </w:pPr>
    </w:p>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254"/>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2021/1/7</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5945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5785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6021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5929</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6184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6083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24140"/>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tbl>
      <w:tblPr>
        <w:tblW w:w="963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2021/1/7</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2020/12/31</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4995</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4948</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6" w:name="_Toc32000"/>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四、2020年11月份进出口统计数据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1966"/>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bl>
      <w:tblPr>
        <w:tblStyle w:val="24"/>
        <w:tblW w:w="10380" w:type="dxa"/>
        <w:tblInd w:w="0" w:type="dxa"/>
        <w:shd w:val="clear" w:color="auto" w:fill="auto"/>
        <w:tblLayout w:type="autofit"/>
        <w:tblCellMar>
          <w:top w:w="0" w:type="dxa"/>
          <w:left w:w="0" w:type="dxa"/>
          <w:bottom w:w="0" w:type="dxa"/>
          <w:right w:w="0" w:type="dxa"/>
        </w:tblCellMar>
      </w:tblPr>
      <w:tblGrid>
        <w:gridCol w:w="1335"/>
        <w:gridCol w:w="3045"/>
        <w:gridCol w:w="1680"/>
        <w:gridCol w:w="1335"/>
        <w:gridCol w:w="1080"/>
        <w:gridCol w:w="1905"/>
      </w:tblGrid>
      <w:tr>
        <w:tblPrEx>
          <w:shd w:val="clear" w:color="auto" w:fill="auto"/>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商品编码</w:t>
            </w:r>
          </w:p>
        </w:tc>
        <w:tc>
          <w:tcPr>
            <w:tcW w:w="304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商品名称</w:t>
            </w:r>
          </w:p>
        </w:tc>
        <w:tc>
          <w:tcPr>
            <w:tcW w:w="16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出口目的地</w:t>
            </w:r>
          </w:p>
        </w:tc>
        <w:tc>
          <w:tcPr>
            <w:tcW w:w="133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数量</w:t>
            </w:r>
          </w:p>
        </w:tc>
        <w:tc>
          <w:tcPr>
            <w:tcW w:w="10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单位</w:t>
            </w:r>
          </w:p>
        </w:tc>
        <w:tc>
          <w:tcPr>
            <w:tcW w:w="190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巴基斯坦</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122367.707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45640344</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菲律宾</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146907.7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46427103</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韩国</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35000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14000000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马来西亚</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194884.7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74359070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蒙古</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6194.3</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2531760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缅甸</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6063.5</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2274514</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墨西哥</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35098.5</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12506058</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尼日利亚</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34596.4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14184527</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新加坡</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600634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213391094</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越南</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15604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6814850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中国澳门</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5941.9</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1663733</w:t>
            </w:r>
          </w:p>
        </w:tc>
      </w:tr>
    </w:tbl>
    <w:p>
      <w:pPr>
        <w:rPr>
          <w:rFonts w:hint="eastAsia"/>
        </w:rPr>
      </w:pPr>
    </w:p>
    <w:p>
      <w:pPr>
        <w:pStyle w:val="3"/>
        <w:spacing w:before="120" w:after="120" w:line="240" w:lineRule="auto"/>
        <w:rPr>
          <w:rFonts w:hint="eastAsia" w:ascii="宋体" w:hAnsi="宋体"/>
          <w:b/>
          <w:sz w:val="30"/>
          <w:szCs w:val="30"/>
        </w:rPr>
      </w:pPr>
      <w:bookmarkStart w:id="18" w:name="_Toc277"/>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月份全国柴油出口统计数据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8475" w:type="dxa"/>
        <w:tblInd w:w="0" w:type="dxa"/>
        <w:shd w:val="clear" w:color="auto" w:fill="auto"/>
        <w:tblLayout w:type="autofit"/>
        <w:tblCellMar>
          <w:top w:w="0" w:type="dxa"/>
          <w:left w:w="0" w:type="dxa"/>
          <w:bottom w:w="0" w:type="dxa"/>
          <w:right w:w="0" w:type="dxa"/>
        </w:tblCellMar>
      </w:tblPr>
      <w:tblGrid>
        <w:gridCol w:w="1335"/>
        <w:gridCol w:w="3045"/>
        <w:gridCol w:w="1680"/>
        <w:gridCol w:w="1335"/>
        <w:gridCol w:w="1080"/>
      </w:tblGrid>
      <w:tr>
        <w:tblPrEx>
          <w:shd w:val="clear" w:color="auto" w:fill="auto"/>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bookmarkStart w:id="19" w:name="_Toc533771879"/>
            <w:r>
              <w:rPr>
                <w:rFonts w:hint="eastAsia" w:ascii="宋体" w:hAnsi="宋体" w:eastAsia="宋体" w:cs="宋体"/>
                <w:b/>
                <w:i w:val="0"/>
                <w:color w:val="000000"/>
                <w:kern w:val="0"/>
                <w:sz w:val="24"/>
                <w:szCs w:val="24"/>
                <w:u w:val="none"/>
                <w:lang w:val="en-US" w:eastAsia="zh-CN" w:bidi="ar"/>
              </w:rPr>
              <w:t>贸易伙伴名称</w:t>
            </w:r>
          </w:p>
        </w:tc>
        <w:tc>
          <w:tcPr>
            <w:tcW w:w="3045"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数量（吨）</w:t>
            </w:r>
          </w:p>
        </w:tc>
        <w:tc>
          <w:tcPr>
            <w:tcW w:w="16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所占比率</w:t>
            </w:r>
          </w:p>
        </w:tc>
        <w:tc>
          <w:tcPr>
            <w:tcW w:w="1335"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当月金额（元）</w:t>
            </w:r>
          </w:p>
        </w:tc>
        <w:tc>
          <w:tcPr>
            <w:tcW w:w="10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当月均价（元/吨）</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埃塞俄比亚</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1385706</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2771.41</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安提瓜和巴布达</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170085</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2616.69</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澳大利亚</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511757.9</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1129143671</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2206.4</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巴哈马</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871.61</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2393336</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2745.89</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巴拿马</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14671.54</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38208916</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2604.29</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百慕大</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74065</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2468.83</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伯利兹</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55.44</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152370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2748.23</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丹麦</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124.5</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354657</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2848.65</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德国</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557</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1493304</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2680.98</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多哥</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163349</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2969.98</w:t>
            </w:r>
          </w:p>
        </w:tc>
      </w:tr>
      <w:tr>
        <w:tblPrEx>
          <w:tblCellMar>
            <w:top w:w="0" w:type="dxa"/>
            <w:left w:w="0" w:type="dxa"/>
            <w:bottom w:w="0" w:type="dxa"/>
            <w:right w:w="0" w:type="dxa"/>
          </w:tblCellMar>
        </w:tblPrEx>
        <w:trPr>
          <w:trHeight w:val="560"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俄罗斯联邦</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323.99</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889676</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2746.03</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菲律宾</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281264.18</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593034277</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2108.46</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韩国</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217119.52</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482577567</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2222.64</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荷兰</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1025882</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2584.09</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黑山</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83764</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2792.13</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喀麦隆</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182996</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3049.93</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开曼群岛</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139720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2794.4</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利比里亚</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6999.33</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20522887</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2932.12</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卢森堡</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18.77</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50134</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2671.25</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马耳他</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2665.72</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9623438</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3610.08</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马来西亚</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39836.93</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84277612</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2115.57</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马绍尔群岛</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5644.08</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15684179</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2778.87</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毛里塔尼亚</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657.61</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1712728</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2604.46</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孟加拉国</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168692.41</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360439596</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2136.67</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缅甸</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17191.04</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41815804</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2432.42</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挪威</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625.67</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1723483</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2754.62</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帕劳</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137755</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2649.13</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葡萄牙</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233.5</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1141402</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4888.23</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日本</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1392969</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4705.98</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瑞士</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234354</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2974.22</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塞拉利昂</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66164</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3308.2</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塞浦路斯</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1224.5</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3411295</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2785.87</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沙特阿拉伯</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479794</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2665.52</w:t>
            </w:r>
          </w:p>
        </w:tc>
      </w:tr>
      <w:tr>
        <w:tblPrEx>
          <w:tblCellMar>
            <w:top w:w="0" w:type="dxa"/>
            <w:left w:w="0" w:type="dxa"/>
            <w:bottom w:w="0" w:type="dxa"/>
            <w:right w:w="0" w:type="dxa"/>
          </w:tblCellMar>
        </w:tblPrEx>
        <w:trPr>
          <w:trHeight w:val="49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圣其茨和尼维斯</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117.5</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286900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2441.7</w:t>
            </w:r>
          </w:p>
        </w:tc>
      </w:tr>
      <w:tr>
        <w:tblPrEx>
          <w:tblCellMar>
            <w:top w:w="0" w:type="dxa"/>
            <w:left w:w="0" w:type="dxa"/>
            <w:bottom w:w="0" w:type="dxa"/>
            <w:right w:w="0" w:type="dxa"/>
          </w:tblCellMar>
        </w:tblPrEx>
        <w:trPr>
          <w:trHeight w:val="49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圣文森特和格林纳丁斯</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249.8</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576051</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2306.05</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泰国</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130563</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2611.26</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图瓦卢</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574317</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2871.59</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希腊</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835.51</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2795036</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3345.31</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新加坡</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161636.33</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347446436</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2149.56</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牙买加</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19.65</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56071</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2853.49</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印度尼西亚</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24063</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58666575</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2438.04</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英国</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640.22</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1669893</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2608.32</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越南</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16821.89</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34747789</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2065.63</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智利</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77559.62</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167610933</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2161.06</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中国澳门</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4555.75</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9735610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2136.99</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中国台湾</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455.62</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1258785</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2762.8</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中国香港</w:t>
            </w:r>
          </w:p>
        </w:tc>
        <w:tc>
          <w:tcPr>
            <w:tcW w:w="304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361087.38</w:t>
            </w:r>
          </w:p>
        </w:tc>
        <w:tc>
          <w:tcPr>
            <w:tcW w:w="16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33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820207403</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2271.49</w:t>
            </w:r>
          </w:p>
        </w:tc>
      </w:tr>
      <w:tr>
        <w:tblPrEx>
          <w:tblCellMar>
            <w:top w:w="0" w:type="dxa"/>
            <w:left w:w="0" w:type="dxa"/>
            <w:bottom w:w="0" w:type="dxa"/>
            <w:right w:w="0" w:type="dxa"/>
          </w:tblCellMar>
        </w:tblPrEx>
        <w:trPr>
          <w:trHeight w:val="285" w:hRule="atLeast"/>
        </w:trPr>
        <w:tc>
          <w:tcPr>
            <w:tcW w:w="1335" w:type="dxa"/>
            <w:tcBorders>
              <w:top w:val="nil"/>
              <w:left w:val="single" w:color="000000" w:sz="8" w:space="0"/>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04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1920641.29</w:t>
            </w:r>
          </w:p>
        </w:tc>
        <w:tc>
          <w:tcPr>
            <w:tcW w:w="16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33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4239949297</w:t>
            </w:r>
          </w:p>
        </w:tc>
        <w:tc>
          <w:tcPr>
            <w:tcW w:w="10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2207.57</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8413"/>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keepNext w:val="0"/>
        <w:keepLines w:val="0"/>
        <w:widowControl/>
        <w:suppressLineNumbers w:val="0"/>
        <w:jc w:val="center"/>
        <w:textAlignment w:val="center"/>
        <w:rPr>
          <w:rFonts w:hint="eastAsia"/>
          <w:bCs/>
          <w:szCs w:val="21"/>
        </w:rPr>
      </w:pPr>
    </w:p>
    <w:tbl>
      <w:tblPr>
        <w:tblStyle w:val="24"/>
        <w:tblW w:w="5026" w:type="pct"/>
        <w:tblInd w:w="0" w:type="dxa"/>
        <w:tblLayout w:type="autofit"/>
        <w:tblCellMar>
          <w:top w:w="0" w:type="dxa"/>
          <w:left w:w="108" w:type="dxa"/>
          <w:bottom w:w="0" w:type="dxa"/>
          <w:right w:w="108" w:type="dxa"/>
        </w:tblCellMar>
      </w:tblPr>
      <w:tblGrid>
        <w:gridCol w:w="836"/>
        <w:gridCol w:w="751"/>
        <w:gridCol w:w="749"/>
        <w:gridCol w:w="767"/>
        <w:gridCol w:w="1449"/>
        <w:gridCol w:w="1649"/>
        <w:gridCol w:w="1060"/>
        <w:gridCol w:w="2644"/>
      </w:tblGrid>
      <w:tr>
        <w:tblPrEx>
          <w:tblCellMar>
            <w:top w:w="0" w:type="dxa"/>
            <w:left w:w="108" w:type="dxa"/>
            <w:bottom w:w="0" w:type="dxa"/>
            <w:right w:w="108" w:type="dxa"/>
          </w:tblCellMar>
        </w:tblPrEx>
        <w:trPr>
          <w:trHeight w:val="1230" w:hRule="atLeast"/>
        </w:trPr>
        <w:tc>
          <w:tcPr>
            <w:tcW w:w="42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产品</w:t>
            </w:r>
          </w:p>
        </w:tc>
        <w:tc>
          <w:tcPr>
            <w:tcW w:w="379"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年度</w:t>
            </w:r>
          </w:p>
        </w:tc>
        <w:tc>
          <w:tcPr>
            <w:tcW w:w="37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月份</w:t>
            </w:r>
          </w:p>
        </w:tc>
        <w:tc>
          <w:tcPr>
            <w:tcW w:w="386"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73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进口数量/吨</w:t>
            </w:r>
          </w:p>
        </w:tc>
        <w:tc>
          <w:tcPr>
            <w:tcW w:w="83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进口金额/美元</w:t>
            </w:r>
          </w:p>
        </w:tc>
        <w:tc>
          <w:tcPr>
            <w:tcW w:w="53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出口数量/吨</w:t>
            </w:r>
          </w:p>
        </w:tc>
        <w:tc>
          <w:tcPr>
            <w:tcW w:w="133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出口金额/美元</w:t>
            </w:r>
          </w:p>
        </w:tc>
      </w:tr>
      <w:tr>
        <w:tblPrEx>
          <w:tblCellMar>
            <w:top w:w="0" w:type="dxa"/>
            <w:left w:w="108" w:type="dxa"/>
            <w:bottom w:w="0" w:type="dxa"/>
            <w:right w:w="108" w:type="dxa"/>
          </w:tblCellMar>
        </w:tblPrEx>
        <w:trPr>
          <w:trHeight w:val="420" w:hRule="atLeast"/>
        </w:trPr>
        <w:tc>
          <w:tcPr>
            <w:tcW w:w="422" w:type="pct"/>
            <w:vMerge w:val="restart"/>
            <w:tcBorders>
              <w:top w:val="single" w:color="000000" w:sz="8" w:space="0"/>
              <w:left w:val="single" w:color="auto" w:sz="8" w:space="0"/>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石油原油(包括从沥青矿物提取的原油)</w:t>
            </w: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2823581.29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901379190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3115927.65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1020238282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122612.78</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46824024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埃及</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138396.24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46550821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3524036.51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1087675910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3240274.44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997027252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90055.06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27550919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6640388.33</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1983668345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875228.17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254264576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刚果(布)</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522890.67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157218555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刚果(金)</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124397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43538950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哥伦比亚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1119923.9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319176087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圭亚那</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263700.51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76900180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哈萨克斯坦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41547.37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10765494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加拿大</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81247.46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22864575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加纳</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377918.7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125993486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加蓬</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381020.02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120852989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喀麦隆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139118.95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43167339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卡塔尔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767483.6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249037018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科威特</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2382011.96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754816350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705046.27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204146068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美国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1625638.11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551498135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蒙古</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65333.74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13840822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墨西哥</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89446.99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23849497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南苏丹共和国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242796.32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76451413</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尼日利亚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209156.1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73086228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1380141.05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405398022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沙特阿拉伯</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5936830.97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1931475116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也门</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274826.96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84026586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伊拉克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4613361.09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1412833532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263387.66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82543749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25535.61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6944960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222354.22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73328445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乍得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132589.16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46304126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720" w:hRule="atLeast"/>
        </w:trPr>
        <w:tc>
          <w:tcPr>
            <w:tcW w:w="1566"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2020年10月合计</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42558204.9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13275237041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bl>
    <w:p>
      <w:pPr>
        <w:jc w:val="center"/>
        <w:rPr>
          <w:rFonts w:hint="eastAsia"/>
          <w:bCs/>
          <w:szCs w:val="21"/>
        </w:rPr>
      </w:pPr>
    </w:p>
    <w:p>
      <w:pPr>
        <w:pStyle w:val="3"/>
        <w:spacing w:before="120" w:after="120" w:line="240" w:lineRule="auto"/>
        <w:rPr>
          <w:rFonts w:hint="eastAsia" w:ascii="宋体" w:hAnsi="宋体"/>
          <w:b/>
          <w:sz w:val="30"/>
          <w:szCs w:val="30"/>
        </w:rPr>
      </w:pPr>
      <w:bookmarkStart w:id="21" w:name="_Toc21660"/>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月份航空煤油进出口统计数据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10140" w:type="dxa"/>
        <w:tblInd w:w="0" w:type="dxa"/>
        <w:shd w:val="clear" w:color="auto" w:fill="auto"/>
        <w:tblLayout w:type="autofit"/>
        <w:tblCellMar>
          <w:top w:w="0" w:type="dxa"/>
          <w:left w:w="0" w:type="dxa"/>
          <w:bottom w:w="0" w:type="dxa"/>
          <w:right w:w="0" w:type="dxa"/>
        </w:tblCellMar>
      </w:tblPr>
      <w:tblGrid>
        <w:gridCol w:w="5235"/>
        <w:gridCol w:w="4905"/>
      </w:tblGrid>
      <w:tr>
        <w:tblPrEx>
          <w:shd w:val="clear" w:color="auto" w:fill="auto"/>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进口</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出口</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11月进口量:97096.47（吨）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11月出口量:462079.93（吨）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累计进口量:2132729.645 (吨）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累计出口量:9542978.694（吨）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当月进口均价:2251.67（元/吨）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当月出口均价:2538.59（元/吨）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累计进口均价：2215.666（元/吨）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累计出口均价:2891.12（元/吨）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进口量环比:390.68%</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出口量环比：5.67%</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进口量同比：-63.41%</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出口量同比：-71.55%</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累计进口量比去年同期：-19.29%</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累计出口量比去年同期：-32.22%</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4079CC3D"/>
    <w:multiLevelType w:val="singleLevel"/>
    <w:tmpl w:val="4079CC3D"/>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C71B14"/>
    <w:rsid w:val="03C968EE"/>
    <w:rsid w:val="03EC30D3"/>
    <w:rsid w:val="040707FC"/>
    <w:rsid w:val="042972F1"/>
    <w:rsid w:val="042B4FB5"/>
    <w:rsid w:val="04331F6D"/>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93019"/>
    <w:rsid w:val="05A63D05"/>
    <w:rsid w:val="05AA3E69"/>
    <w:rsid w:val="05C01E8E"/>
    <w:rsid w:val="05D0127E"/>
    <w:rsid w:val="05D708A6"/>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1C4EDC"/>
    <w:rsid w:val="07243E5A"/>
    <w:rsid w:val="07252677"/>
    <w:rsid w:val="07272AF3"/>
    <w:rsid w:val="0759111C"/>
    <w:rsid w:val="07594F06"/>
    <w:rsid w:val="076C6634"/>
    <w:rsid w:val="07743510"/>
    <w:rsid w:val="07820AB4"/>
    <w:rsid w:val="07906BB7"/>
    <w:rsid w:val="079B346A"/>
    <w:rsid w:val="079D7717"/>
    <w:rsid w:val="07B872E0"/>
    <w:rsid w:val="07CC2D78"/>
    <w:rsid w:val="07CC4016"/>
    <w:rsid w:val="07D15C8A"/>
    <w:rsid w:val="07E05AA3"/>
    <w:rsid w:val="07E76A1F"/>
    <w:rsid w:val="07F17792"/>
    <w:rsid w:val="080158C0"/>
    <w:rsid w:val="0809715C"/>
    <w:rsid w:val="080A4814"/>
    <w:rsid w:val="0820276D"/>
    <w:rsid w:val="082F1BCD"/>
    <w:rsid w:val="08573B5A"/>
    <w:rsid w:val="086F6B65"/>
    <w:rsid w:val="08A4401C"/>
    <w:rsid w:val="08A55AD2"/>
    <w:rsid w:val="08CD17C0"/>
    <w:rsid w:val="08E21688"/>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E0028A"/>
    <w:rsid w:val="09E31010"/>
    <w:rsid w:val="09ED009F"/>
    <w:rsid w:val="09F11ACB"/>
    <w:rsid w:val="09FB6243"/>
    <w:rsid w:val="0A047BEC"/>
    <w:rsid w:val="0A06506B"/>
    <w:rsid w:val="0A0A6618"/>
    <w:rsid w:val="0A207C84"/>
    <w:rsid w:val="0A29795D"/>
    <w:rsid w:val="0A2A7E86"/>
    <w:rsid w:val="0A2D68BE"/>
    <w:rsid w:val="0A3C22BA"/>
    <w:rsid w:val="0A3D34F3"/>
    <w:rsid w:val="0A3F54A5"/>
    <w:rsid w:val="0A557C07"/>
    <w:rsid w:val="0A5B4AF5"/>
    <w:rsid w:val="0A75433E"/>
    <w:rsid w:val="0A796F7C"/>
    <w:rsid w:val="0A7B7455"/>
    <w:rsid w:val="0A951C4F"/>
    <w:rsid w:val="0AA33DAF"/>
    <w:rsid w:val="0AB608CB"/>
    <w:rsid w:val="0AC60296"/>
    <w:rsid w:val="0AD32487"/>
    <w:rsid w:val="0AD50553"/>
    <w:rsid w:val="0ADB26A0"/>
    <w:rsid w:val="0AE31AD5"/>
    <w:rsid w:val="0B017D09"/>
    <w:rsid w:val="0B0715B1"/>
    <w:rsid w:val="0B0F0B26"/>
    <w:rsid w:val="0B2C39A7"/>
    <w:rsid w:val="0B400CB2"/>
    <w:rsid w:val="0B421176"/>
    <w:rsid w:val="0B4B49C1"/>
    <w:rsid w:val="0B721C38"/>
    <w:rsid w:val="0B860805"/>
    <w:rsid w:val="0B945C54"/>
    <w:rsid w:val="0BB16187"/>
    <w:rsid w:val="0BCB6AF2"/>
    <w:rsid w:val="0BCE6861"/>
    <w:rsid w:val="0BDC4FBC"/>
    <w:rsid w:val="0BDF0A5F"/>
    <w:rsid w:val="0C08318F"/>
    <w:rsid w:val="0C1E7ABD"/>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74301"/>
    <w:rsid w:val="0E31785B"/>
    <w:rsid w:val="0E357D47"/>
    <w:rsid w:val="0E5C0982"/>
    <w:rsid w:val="0E730195"/>
    <w:rsid w:val="0E7675E6"/>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D23F99"/>
    <w:rsid w:val="0FE34C1B"/>
    <w:rsid w:val="0FE35E2C"/>
    <w:rsid w:val="0FEF79AA"/>
    <w:rsid w:val="101B677C"/>
    <w:rsid w:val="101C7D06"/>
    <w:rsid w:val="1024515A"/>
    <w:rsid w:val="1046198D"/>
    <w:rsid w:val="105F3A71"/>
    <w:rsid w:val="106D475B"/>
    <w:rsid w:val="108C4660"/>
    <w:rsid w:val="10BA0A0E"/>
    <w:rsid w:val="10CE39DE"/>
    <w:rsid w:val="10FA6B68"/>
    <w:rsid w:val="10FF5E5F"/>
    <w:rsid w:val="11190B98"/>
    <w:rsid w:val="11247901"/>
    <w:rsid w:val="11365062"/>
    <w:rsid w:val="11422692"/>
    <w:rsid w:val="11590029"/>
    <w:rsid w:val="117F7F48"/>
    <w:rsid w:val="11F843DE"/>
    <w:rsid w:val="121446A8"/>
    <w:rsid w:val="12320E5B"/>
    <w:rsid w:val="1265739D"/>
    <w:rsid w:val="12662947"/>
    <w:rsid w:val="127E2138"/>
    <w:rsid w:val="12BE2ADE"/>
    <w:rsid w:val="12D8263D"/>
    <w:rsid w:val="13086577"/>
    <w:rsid w:val="130B16E4"/>
    <w:rsid w:val="13267B35"/>
    <w:rsid w:val="134A6D86"/>
    <w:rsid w:val="13594CF7"/>
    <w:rsid w:val="135A728A"/>
    <w:rsid w:val="1367698A"/>
    <w:rsid w:val="13772D89"/>
    <w:rsid w:val="138744BB"/>
    <w:rsid w:val="13AA18EC"/>
    <w:rsid w:val="13B45FC3"/>
    <w:rsid w:val="13C924DB"/>
    <w:rsid w:val="13DB164D"/>
    <w:rsid w:val="13E7373B"/>
    <w:rsid w:val="13F712B9"/>
    <w:rsid w:val="13FE142E"/>
    <w:rsid w:val="14176463"/>
    <w:rsid w:val="144B6D3F"/>
    <w:rsid w:val="14522844"/>
    <w:rsid w:val="14546EAA"/>
    <w:rsid w:val="147759A4"/>
    <w:rsid w:val="147A75E5"/>
    <w:rsid w:val="149C7CF0"/>
    <w:rsid w:val="14BC21CE"/>
    <w:rsid w:val="14BE2339"/>
    <w:rsid w:val="14BF4DCE"/>
    <w:rsid w:val="14CD3607"/>
    <w:rsid w:val="14D14395"/>
    <w:rsid w:val="14D56BF6"/>
    <w:rsid w:val="14E36C24"/>
    <w:rsid w:val="14F32D76"/>
    <w:rsid w:val="14F5216B"/>
    <w:rsid w:val="14FE7778"/>
    <w:rsid w:val="15060A70"/>
    <w:rsid w:val="151A00D9"/>
    <w:rsid w:val="151B73F8"/>
    <w:rsid w:val="15211EFF"/>
    <w:rsid w:val="15353F74"/>
    <w:rsid w:val="153A274D"/>
    <w:rsid w:val="154B5C10"/>
    <w:rsid w:val="154F205D"/>
    <w:rsid w:val="15615E0F"/>
    <w:rsid w:val="156D2843"/>
    <w:rsid w:val="15701AB8"/>
    <w:rsid w:val="15786279"/>
    <w:rsid w:val="15892652"/>
    <w:rsid w:val="159001BC"/>
    <w:rsid w:val="15AA23F1"/>
    <w:rsid w:val="15B1437C"/>
    <w:rsid w:val="15B939D5"/>
    <w:rsid w:val="15D83B2E"/>
    <w:rsid w:val="15DD70EA"/>
    <w:rsid w:val="15E11AB3"/>
    <w:rsid w:val="15E25134"/>
    <w:rsid w:val="15E8785D"/>
    <w:rsid w:val="16113EF1"/>
    <w:rsid w:val="16116F4B"/>
    <w:rsid w:val="161D05B7"/>
    <w:rsid w:val="162E280E"/>
    <w:rsid w:val="164206BE"/>
    <w:rsid w:val="16446BD7"/>
    <w:rsid w:val="16600954"/>
    <w:rsid w:val="16734EEE"/>
    <w:rsid w:val="1691331C"/>
    <w:rsid w:val="16B0271F"/>
    <w:rsid w:val="16D82413"/>
    <w:rsid w:val="16DC7206"/>
    <w:rsid w:val="16E22B33"/>
    <w:rsid w:val="16EF1899"/>
    <w:rsid w:val="16F85570"/>
    <w:rsid w:val="16FA58EE"/>
    <w:rsid w:val="17116BE2"/>
    <w:rsid w:val="17194D7A"/>
    <w:rsid w:val="172078E9"/>
    <w:rsid w:val="172D12A6"/>
    <w:rsid w:val="173C1948"/>
    <w:rsid w:val="17464B66"/>
    <w:rsid w:val="175B5D81"/>
    <w:rsid w:val="17652D76"/>
    <w:rsid w:val="177742FF"/>
    <w:rsid w:val="177778D5"/>
    <w:rsid w:val="177C4324"/>
    <w:rsid w:val="179E41EC"/>
    <w:rsid w:val="17BD7A6D"/>
    <w:rsid w:val="17FE3268"/>
    <w:rsid w:val="182A5943"/>
    <w:rsid w:val="186022DC"/>
    <w:rsid w:val="18704C74"/>
    <w:rsid w:val="187F1331"/>
    <w:rsid w:val="18AD026B"/>
    <w:rsid w:val="18B70A2B"/>
    <w:rsid w:val="18CA2202"/>
    <w:rsid w:val="18CA4E8D"/>
    <w:rsid w:val="18FC46F8"/>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964171"/>
    <w:rsid w:val="1AB162F9"/>
    <w:rsid w:val="1ABE2D20"/>
    <w:rsid w:val="1ACC4B7F"/>
    <w:rsid w:val="1AD34CD1"/>
    <w:rsid w:val="1AD417D6"/>
    <w:rsid w:val="1AE72378"/>
    <w:rsid w:val="1AE7665A"/>
    <w:rsid w:val="1AF74A59"/>
    <w:rsid w:val="1B111CB0"/>
    <w:rsid w:val="1B393D9E"/>
    <w:rsid w:val="1B3F0566"/>
    <w:rsid w:val="1B5A0EC6"/>
    <w:rsid w:val="1B5F0C8F"/>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51540"/>
    <w:rsid w:val="1C2E2C8D"/>
    <w:rsid w:val="1C6C7614"/>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450"/>
    <w:rsid w:val="1FCD7675"/>
    <w:rsid w:val="1FD377B1"/>
    <w:rsid w:val="1FDC18BC"/>
    <w:rsid w:val="1FEB4C55"/>
    <w:rsid w:val="1FEF77E1"/>
    <w:rsid w:val="1FFC155B"/>
    <w:rsid w:val="20010BD0"/>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11001E9"/>
    <w:rsid w:val="21147D43"/>
    <w:rsid w:val="2119067D"/>
    <w:rsid w:val="211F5020"/>
    <w:rsid w:val="21216F1B"/>
    <w:rsid w:val="2123407B"/>
    <w:rsid w:val="21320B64"/>
    <w:rsid w:val="21370E12"/>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D174A6"/>
    <w:rsid w:val="22D2551D"/>
    <w:rsid w:val="22E67532"/>
    <w:rsid w:val="230F16FC"/>
    <w:rsid w:val="231C2E7E"/>
    <w:rsid w:val="232A4048"/>
    <w:rsid w:val="233344E4"/>
    <w:rsid w:val="2337735C"/>
    <w:rsid w:val="23384D61"/>
    <w:rsid w:val="23392A7A"/>
    <w:rsid w:val="235336A2"/>
    <w:rsid w:val="23817C48"/>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50D3E66"/>
    <w:rsid w:val="252754C5"/>
    <w:rsid w:val="252D0E2C"/>
    <w:rsid w:val="252D3F69"/>
    <w:rsid w:val="2547370A"/>
    <w:rsid w:val="25585795"/>
    <w:rsid w:val="25740BBD"/>
    <w:rsid w:val="25955E96"/>
    <w:rsid w:val="259B6E31"/>
    <w:rsid w:val="259E33E1"/>
    <w:rsid w:val="25A07C39"/>
    <w:rsid w:val="25AF1FA5"/>
    <w:rsid w:val="25B677AD"/>
    <w:rsid w:val="25B904A8"/>
    <w:rsid w:val="25E06259"/>
    <w:rsid w:val="25FD0304"/>
    <w:rsid w:val="26090E12"/>
    <w:rsid w:val="261447E7"/>
    <w:rsid w:val="26162D47"/>
    <w:rsid w:val="26313BB1"/>
    <w:rsid w:val="26417898"/>
    <w:rsid w:val="26442276"/>
    <w:rsid w:val="26444B63"/>
    <w:rsid w:val="264D7096"/>
    <w:rsid w:val="26552532"/>
    <w:rsid w:val="26671EE8"/>
    <w:rsid w:val="269F6889"/>
    <w:rsid w:val="26AD0D8B"/>
    <w:rsid w:val="26C17431"/>
    <w:rsid w:val="26C27EC9"/>
    <w:rsid w:val="26C545A4"/>
    <w:rsid w:val="26C94300"/>
    <w:rsid w:val="26DF7D7C"/>
    <w:rsid w:val="26EE1723"/>
    <w:rsid w:val="26F154C7"/>
    <w:rsid w:val="26FD7030"/>
    <w:rsid w:val="27080E2E"/>
    <w:rsid w:val="270D21C6"/>
    <w:rsid w:val="270D2595"/>
    <w:rsid w:val="277F5A23"/>
    <w:rsid w:val="279E36DD"/>
    <w:rsid w:val="27A7464B"/>
    <w:rsid w:val="27EA2797"/>
    <w:rsid w:val="28011EB5"/>
    <w:rsid w:val="28092464"/>
    <w:rsid w:val="282013B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617AC"/>
    <w:rsid w:val="29D84ABC"/>
    <w:rsid w:val="29F5410D"/>
    <w:rsid w:val="2A091D0A"/>
    <w:rsid w:val="2A0D39C3"/>
    <w:rsid w:val="2A1503FE"/>
    <w:rsid w:val="2A194990"/>
    <w:rsid w:val="2A215E5E"/>
    <w:rsid w:val="2A252C4C"/>
    <w:rsid w:val="2A3E7B5A"/>
    <w:rsid w:val="2A6B55C6"/>
    <w:rsid w:val="2A8475EE"/>
    <w:rsid w:val="2A951C8C"/>
    <w:rsid w:val="2A953E86"/>
    <w:rsid w:val="2A9B26F1"/>
    <w:rsid w:val="2AA81E53"/>
    <w:rsid w:val="2AB25451"/>
    <w:rsid w:val="2AC063B7"/>
    <w:rsid w:val="2ACB5B48"/>
    <w:rsid w:val="2ACD0874"/>
    <w:rsid w:val="2AD267B8"/>
    <w:rsid w:val="2AD8059C"/>
    <w:rsid w:val="2B0A5818"/>
    <w:rsid w:val="2B0D737C"/>
    <w:rsid w:val="2B0F004D"/>
    <w:rsid w:val="2B154A20"/>
    <w:rsid w:val="2B1B5BFD"/>
    <w:rsid w:val="2B380E7B"/>
    <w:rsid w:val="2B574357"/>
    <w:rsid w:val="2B5F5BE1"/>
    <w:rsid w:val="2B6638DE"/>
    <w:rsid w:val="2B84406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AD067B"/>
    <w:rsid w:val="2CFD0FC0"/>
    <w:rsid w:val="2D050EBF"/>
    <w:rsid w:val="2D2009C3"/>
    <w:rsid w:val="2D2A25A1"/>
    <w:rsid w:val="2D2A51E4"/>
    <w:rsid w:val="2D3059BC"/>
    <w:rsid w:val="2D4D17E5"/>
    <w:rsid w:val="2D6F58D8"/>
    <w:rsid w:val="2D892B5C"/>
    <w:rsid w:val="2DB328B9"/>
    <w:rsid w:val="2DC6450C"/>
    <w:rsid w:val="2DD85082"/>
    <w:rsid w:val="2DE11692"/>
    <w:rsid w:val="2DF24F64"/>
    <w:rsid w:val="2DF5641D"/>
    <w:rsid w:val="2DF644E3"/>
    <w:rsid w:val="2E0D40F5"/>
    <w:rsid w:val="2E2F56E6"/>
    <w:rsid w:val="2E4A7323"/>
    <w:rsid w:val="2E682AAC"/>
    <w:rsid w:val="2E6D230F"/>
    <w:rsid w:val="2E8C2DE3"/>
    <w:rsid w:val="2E98229F"/>
    <w:rsid w:val="2EA56E95"/>
    <w:rsid w:val="2EA673C9"/>
    <w:rsid w:val="2EAF1D1D"/>
    <w:rsid w:val="2EC0096E"/>
    <w:rsid w:val="2ECA710C"/>
    <w:rsid w:val="2ED4404D"/>
    <w:rsid w:val="2ED50475"/>
    <w:rsid w:val="2EE365C8"/>
    <w:rsid w:val="2F090AB4"/>
    <w:rsid w:val="2F13732E"/>
    <w:rsid w:val="2F336BA3"/>
    <w:rsid w:val="2F5621A6"/>
    <w:rsid w:val="2F66411F"/>
    <w:rsid w:val="2F9E2267"/>
    <w:rsid w:val="2FA5716E"/>
    <w:rsid w:val="2FB91769"/>
    <w:rsid w:val="2FBE7D06"/>
    <w:rsid w:val="2FCD4219"/>
    <w:rsid w:val="2FD85581"/>
    <w:rsid w:val="2FE513F6"/>
    <w:rsid w:val="2FE91ED2"/>
    <w:rsid w:val="2FEC28E9"/>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C61C2"/>
    <w:rsid w:val="30FD55E0"/>
    <w:rsid w:val="31030DD2"/>
    <w:rsid w:val="310F6F60"/>
    <w:rsid w:val="311333E6"/>
    <w:rsid w:val="311467EF"/>
    <w:rsid w:val="31162712"/>
    <w:rsid w:val="311A24D7"/>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FC35FB"/>
    <w:rsid w:val="32010D04"/>
    <w:rsid w:val="3202665F"/>
    <w:rsid w:val="320A7836"/>
    <w:rsid w:val="323C3FDE"/>
    <w:rsid w:val="324163CA"/>
    <w:rsid w:val="32574FD8"/>
    <w:rsid w:val="325C547C"/>
    <w:rsid w:val="326C29F6"/>
    <w:rsid w:val="327C3888"/>
    <w:rsid w:val="329338D7"/>
    <w:rsid w:val="32945DAC"/>
    <w:rsid w:val="329B3155"/>
    <w:rsid w:val="329C631F"/>
    <w:rsid w:val="32A24DE0"/>
    <w:rsid w:val="32AB0897"/>
    <w:rsid w:val="32CB3A84"/>
    <w:rsid w:val="32CE45BC"/>
    <w:rsid w:val="32D9201A"/>
    <w:rsid w:val="32E42D0F"/>
    <w:rsid w:val="32E779A4"/>
    <w:rsid w:val="330D4D94"/>
    <w:rsid w:val="33435E16"/>
    <w:rsid w:val="335F11B3"/>
    <w:rsid w:val="337B12FB"/>
    <w:rsid w:val="33846435"/>
    <w:rsid w:val="339C5454"/>
    <w:rsid w:val="33D354DF"/>
    <w:rsid w:val="33DD1D83"/>
    <w:rsid w:val="33FC5F9C"/>
    <w:rsid w:val="34005D95"/>
    <w:rsid w:val="340370F4"/>
    <w:rsid w:val="34173060"/>
    <w:rsid w:val="342451AA"/>
    <w:rsid w:val="3425323C"/>
    <w:rsid w:val="342E5EA7"/>
    <w:rsid w:val="343E0BAC"/>
    <w:rsid w:val="34474FF1"/>
    <w:rsid w:val="344B3651"/>
    <w:rsid w:val="34555269"/>
    <w:rsid w:val="346B6657"/>
    <w:rsid w:val="34827541"/>
    <w:rsid w:val="34B63281"/>
    <w:rsid w:val="34C105B0"/>
    <w:rsid w:val="34CA39B2"/>
    <w:rsid w:val="34D564C3"/>
    <w:rsid w:val="34DC79C0"/>
    <w:rsid w:val="34EC4B86"/>
    <w:rsid w:val="351321CB"/>
    <w:rsid w:val="35367A72"/>
    <w:rsid w:val="355171EC"/>
    <w:rsid w:val="355E299F"/>
    <w:rsid w:val="355E6D49"/>
    <w:rsid w:val="35671EE7"/>
    <w:rsid w:val="3572663B"/>
    <w:rsid w:val="357D4C50"/>
    <w:rsid w:val="3591419B"/>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B523AB"/>
    <w:rsid w:val="36C76D40"/>
    <w:rsid w:val="36F44E23"/>
    <w:rsid w:val="371D2966"/>
    <w:rsid w:val="373062E8"/>
    <w:rsid w:val="375C1AC9"/>
    <w:rsid w:val="37785098"/>
    <w:rsid w:val="377E7331"/>
    <w:rsid w:val="379038C8"/>
    <w:rsid w:val="379B1E6C"/>
    <w:rsid w:val="379D002A"/>
    <w:rsid w:val="37A6234C"/>
    <w:rsid w:val="37A907BA"/>
    <w:rsid w:val="37AF1535"/>
    <w:rsid w:val="37CA63F2"/>
    <w:rsid w:val="37CB57CA"/>
    <w:rsid w:val="37D337D1"/>
    <w:rsid w:val="37DD56C2"/>
    <w:rsid w:val="37F16302"/>
    <w:rsid w:val="38253136"/>
    <w:rsid w:val="38372548"/>
    <w:rsid w:val="384570A4"/>
    <w:rsid w:val="38781C56"/>
    <w:rsid w:val="38A140CE"/>
    <w:rsid w:val="38B54C1A"/>
    <w:rsid w:val="38C30240"/>
    <w:rsid w:val="38CF65F7"/>
    <w:rsid w:val="38D30895"/>
    <w:rsid w:val="38E95212"/>
    <w:rsid w:val="38F3691D"/>
    <w:rsid w:val="3909408E"/>
    <w:rsid w:val="391C1C7A"/>
    <w:rsid w:val="39465968"/>
    <w:rsid w:val="394D1A3B"/>
    <w:rsid w:val="39600E80"/>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02E8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742BEB"/>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60DF6"/>
    <w:rsid w:val="3E3D25F5"/>
    <w:rsid w:val="3E4E6762"/>
    <w:rsid w:val="3E5F5CBB"/>
    <w:rsid w:val="3E70166E"/>
    <w:rsid w:val="3E752011"/>
    <w:rsid w:val="3E8270FA"/>
    <w:rsid w:val="3E8E2505"/>
    <w:rsid w:val="3E8F0C9A"/>
    <w:rsid w:val="3E9953AC"/>
    <w:rsid w:val="3E9D3F84"/>
    <w:rsid w:val="3E9F3605"/>
    <w:rsid w:val="3EAF142E"/>
    <w:rsid w:val="3EEC1C8D"/>
    <w:rsid w:val="3EF15A07"/>
    <w:rsid w:val="3F0C0C5D"/>
    <w:rsid w:val="3F310E2B"/>
    <w:rsid w:val="3F3E5B85"/>
    <w:rsid w:val="3F4D19AF"/>
    <w:rsid w:val="3F691A99"/>
    <w:rsid w:val="3F837DDF"/>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CC7CA3"/>
    <w:rsid w:val="40D775A2"/>
    <w:rsid w:val="40EE33BE"/>
    <w:rsid w:val="40F61783"/>
    <w:rsid w:val="4100601D"/>
    <w:rsid w:val="410D75D5"/>
    <w:rsid w:val="411A76EB"/>
    <w:rsid w:val="411E3000"/>
    <w:rsid w:val="41402C24"/>
    <w:rsid w:val="414E7345"/>
    <w:rsid w:val="41546D3E"/>
    <w:rsid w:val="41696F7F"/>
    <w:rsid w:val="417240B9"/>
    <w:rsid w:val="417C0D06"/>
    <w:rsid w:val="418B25AA"/>
    <w:rsid w:val="418E56CE"/>
    <w:rsid w:val="41925E9B"/>
    <w:rsid w:val="419B1BC4"/>
    <w:rsid w:val="419D5169"/>
    <w:rsid w:val="419D7C05"/>
    <w:rsid w:val="41A46863"/>
    <w:rsid w:val="41A739EA"/>
    <w:rsid w:val="41B3371C"/>
    <w:rsid w:val="41B4302C"/>
    <w:rsid w:val="41CC67E1"/>
    <w:rsid w:val="41DA3C01"/>
    <w:rsid w:val="41E3266D"/>
    <w:rsid w:val="41E70FD1"/>
    <w:rsid w:val="41F604FA"/>
    <w:rsid w:val="41FE6085"/>
    <w:rsid w:val="42013C9E"/>
    <w:rsid w:val="420F24CA"/>
    <w:rsid w:val="421C0994"/>
    <w:rsid w:val="424F02B6"/>
    <w:rsid w:val="42523372"/>
    <w:rsid w:val="42683145"/>
    <w:rsid w:val="427133C0"/>
    <w:rsid w:val="42715180"/>
    <w:rsid w:val="4277762F"/>
    <w:rsid w:val="429D7D7D"/>
    <w:rsid w:val="42B06FDD"/>
    <w:rsid w:val="42B23DF0"/>
    <w:rsid w:val="42B45768"/>
    <w:rsid w:val="42DD7341"/>
    <w:rsid w:val="42E637C3"/>
    <w:rsid w:val="42FD1410"/>
    <w:rsid w:val="430C488E"/>
    <w:rsid w:val="43184FA0"/>
    <w:rsid w:val="431F563A"/>
    <w:rsid w:val="432A3E0D"/>
    <w:rsid w:val="432D0CD2"/>
    <w:rsid w:val="433E24EE"/>
    <w:rsid w:val="4348259E"/>
    <w:rsid w:val="434C0977"/>
    <w:rsid w:val="434D5EB2"/>
    <w:rsid w:val="43604502"/>
    <w:rsid w:val="43705840"/>
    <w:rsid w:val="437E6752"/>
    <w:rsid w:val="43803823"/>
    <w:rsid w:val="438D2FF7"/>
    <w:rsid w:val="43AF6845"/>
    <w:rsid w:val="43CC31B4"/>
    <w:rsid w:val="43CC79E5"/>
    <w:rsid w:val="43D44FF8"/>
    <w:rsid w:val="441557E3"/>
    <w:rsid w:val="4425659D"/>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BA079F"/>
    <w:rsid w:val="45CC0EF3"/>
    <w:rsid w:val="45CF5AD4"/>
    <w:rsid w:val="45DD06D9"/>
    <w:rsid w:val="460D21F2"/>
    <w:rsid w:val="460E0469"/>
    <w:rsid w:val="460E0A15"/>
    <w:rsid w:val="461909E8"/>
    <w:rsid w:val="4635298E"/>
    <w:rsid w:val="46355D58"/>
    <w:rsid w:val="463C04FA"/>
    <w:rsid w:val="464050BB"/>
    <w:rsid w:val="46405C21"/>
    <w:rsid w:val="466B6702"/>
    <w:rsid w:val="466F037A"/>
    <w:rsid w:val="467737E1"/>
    <w:rsid w:val="467C180C"/>
    <w:rsid w:val="468B577B"/>
    <w:rsid w:val="46A075FA"/>
    <w:rsid w:val="46A359DC"/>
    <w:rsid w:val="46A54FB3"/>
    <w:rsid w:val="46D040D1"/>
    <w:rsid w:val="46D47B0B"/>
    <w:rsid w:val="46D7121E"/>
    <w:rsid w:val="46E07671"/>
    <w:rsid w:val="46FF57CE"/>
    <w:rsid w:val="47154F60"/>
    <w:rsid w:val="47162E3C"/>
    <w:rsid w:val="47476572"/>
    <w:rsid w:val="47700BCB"/>
    <w:rsid w:val="47732DB6"/>
    <w:rsid w:val="47C254B8"/>
    <w:rsid w:val="47DF082A"/>
    <w:rsid w:val="47EB5003"/>
    <w:rsid w:val="48081128"/>
    <w:rsid w:val="480D3EC3"/>
    <w:rsid w:val="48144FED"/>
    <w:rsid w:val="483A31DC"/>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5E78EB"/>
    <w:rsid w:val="4969605D"/>
    <w:rsid w:val="496D1F2A"/>
    <w:rsid w:val="497C7394"/>
    <w:rsid w:val="498A3B85"/>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30352"/>
    <w:rsid w:val="4AAF17A9"/>
    <w:rsid w:val="4ABA7840"/>
    <w:rsid w:val="4AE623A4"/>
    <w:rsid w:val="4AE74F60"/>
    <w:rsid w:val="4AFF5CC6"/>
    <w:rsid w:val="4B1D3A51"/>
    <w:rsid w:val="4B280F1E"/>
    <w:rsid w:val="4B3D4E30"/>
    <w:rsid w:val="4B411E5A"/>
    <w:rsid w:val="4B413D26"/>
    <w:rsid w:val="4B6B6050"/>
    <w:rsid w:val="4B8B446D"/>
    <w:rsid w:val="4BA324C2"/>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C299D"/>
    <w:rsid w:val="4D0A349B"/>
    <w:rsid w:val="4D0D2E78"/>
    <w:rsid w:val="4D0F04ED"/>
    <w:rsid w:val="4D384A7C"/>
    <w:rsid w:val="4D3A0411"/>
    <w:rsid w:val="4D427C91"/>
    <w:rsid w:val="4D7706F2"/>
    <w:rsid w:val="4D845711"/>
    <w:rsid w:val="4D8A02B7"/>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951FF"/>
    <w:rsid w:val="4ED04B02"/>
    <w:rsid w:val="4EDD6EFA"/>
    <w:rsid w:val="4EE96853"/>
    <w:rsid w:val="4F105F02"/>
    <w:rsid w:val="4F121BEA"/>
    <w:rsid w:val="4F172396"/>
    <w:rsid w:val="4F1D4181"/>
    <w:rsid w:val="4F3F03C1"/>
    <w:rsid w:val="4F4C2971"/>
    <w:rsid w:val="4F566ACF"/>
    <w:rsid w:val="4F704BBC"/>
    <w:rsid w:val="4F8028EE"/>
    <w:rsid w:val="4F8435B4"/>
    <w:rsid w:val="4FAD0DF7"/>
    <w:rsid w:val="4FBC1F04"/>
    <w:rsid w:val="4FBD361C"/>
    <w:rsid w:val="4FBE1CEA"/>
    <w:rsid w:val="4FC15F00"/>
    <w:rsid w:val="4FF17370"/>
    <w:rsid w:val="4FF77C61"/>
    <w:rsid w:val="50037C0C"/>
    <w:rsid w:val="500F51F9"/>
    <w:rsid w:val="50200CEA"/>
    <w:rsid w:val="502E1CFA"/>
    <w:rsid w:val="50371519"/>
    <w:rsid w:val="503D6ACE"/>
    <w:rsid w:val="50447CE3"/>
    <w:rsid w:val="505A0A75"/>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E023D"/>
    <w:rsid w:val="514C3C7B"/>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A84489"/>
    <w:rsid w:val="52B118DE"/>
    <w:rsid w:val="52B80D5E"/>
    <w:rsid w:val="52C52078"/>
    <w:rsid w:val="52CB6EC0"/>
    <w:rsid w:val="52D061DA"/>
    <w:rsid w:val="52D211F8"/>
    <w:rsid w:val="52F26F28"/>
    <w:rsid w:val="53031E61"/>
    <w:rsid w:val="5315442E"/>
    <w:rsid w:val="533907AA"/>
    <w:rsid w:val="5341530E"/>
    <w:rsid w:val="534326DA"/>
    <w:rsid w:val="53434396"/>
    <w:rsid w:val="534D112E"/>
    <w:rsid w:val="53654967"/>
    <w:rsid w:val="53761C93"/>
    <w:rsid w:val="537B0A8C"/>
    <w:rsid w:val="5393301A"/>
    <w:rsid w:val="53971518"/>
    <w:rsid w:val="5399073D"/>
    <w:rsid w:val="539E3677"/>
    <w:rsid w:val="53A84C2D"/>
    <w:rsid w:val="53AB2CD5"/>
    <w:rsid w:val="53AF23D8"/>
    <w:rsid w:val="53B31343"/>
    <w:rsid w:val="53B91D8C"/>
    <w:rsid w:val="53CA7A82"/>
    <w:rsid w:val="53CE2D5A"/>
    <w:rsid w:val="53D82514"/>
    <w:rsid w:val="53E56E6E"/>
    <w:rsid w:val="53EB2495"/>
    <w:rsid w:val="53F17662"/>
    <w:rsid w:val="54010C17"/>
    <w:rsid w:val="540366C1"/>
    <w:rsid w:val="542406F9"/>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540424"/>
    <w:rsid w:val="567466BA"/>
    <w:rsid w:val="567B7B50"/>
    <w:rsid w:val="568F0DF7"/>
    <w:rsid w:val="56A332D5"/>
    <w:rsid w:val="56B85F25"/>
    <w:rsid w:val="56C325A5"/>
    <w:rsid w:val="56E709F8"/>
    <w:rsid w:val="56F10A56"/>
    <w:rsid w:val="56FB32FA"/>
    <w:rsid w:val="570703AF"/>
    <w:rsid w:val="572D602C"/>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905E59"/>
    <w:rsid w:val="5A9311E7"/>
    <w:rsid w:val="5AA72593"/>
    <w:rsid w:val="5AA9358C"/>
    <w:rsid w:val="5AD0373D"/>
    <w:rsid w:val="5AF81B7B"/>
    <w:rsid w:val="5AF86253"/>
    <w:rsid w:val="5AFB1569"/>
    <w:rsid w:val="5B047A73"/>
    <w:rsid w:val="5B081862"/>
    <w:rsid w:val="5B0A0B9B"/>
    <w:rsid w:val="5B1140FC"/>
    <w:rsid w:val="5B1C3DCA"/>
    <w:rsid w:val="5B24355B"/>
    <w:rsid w:val="5B2D01BB"/>
    <w:rsid w:val="5B340596"/>
    <w:rsid w:val="5B3F26B3"/>
    <w:rsid w:val="5B467F94"/>
    <w:rsid w:val="5B491028"/>
    <w:rsid w:val="5B4B70AC"/>
    <w:rsid w:val="5B850F8B"/>
    <w:rsid w:val="5B8A7522"/>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90A6A"/>
    <w:rsid w:val="5C81109C"/>
    <w:rsid w:val="5C9E10E9"/>
    <w:rsid w:val="5C9E40DE"/>
    <w:rsid w:val="5CA11D7F"/>
    <w:rsid w:val="5CAF4CE5"/>
    <w:rsid w:val="5CC927D0"/>
    <w:rsid w:val="5CDA6371"/>
    <w:rsid w:val="5CF30224"/>
    <w:rsid w:val="5CFC64A7"/>
    <w:rsid w:val="5D1516BF"/>
    <w:rsid w:val="5D1569ED"/>
    <w:rsid w:val="5D1B2A4F"/>
    <w:rsid w:val="5D2E6665"/>
    <w:rsid w:val="5D4F34F7"/>
    <w:rsid w:val="5D521435"/>
    <w:rsid w:val="5D623C65"/>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3F44BF"/>
    <w:rsid w:val="60504051"/>
    <w:rsid w:val="607F2EF2"/>
    <w:rsid w:val="60842FF2"/>
    <w:rsid w:val="60AF5E00"/>
    <w:rsid w:val="60B1155A"/>
    <w:rsid w:val="60B54161"/>
    <w:rsid w:val="60D43BFA"/>
    <w:rsid w:val="60E16AB6"/>
    <w:rsid w:val="60E40C2C"/>
    <w:rsid w:val="60F32CD5"/>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B7547"/>
    <w:rsid w:val="63647D08"/>
    <w:rsid w:val="637E69F6"/>
    <w:rsid w:val="63B47AD6"/>
    <w:rsid w:val="63B55E70"/>
    <w:rsid w:val="63BD1F88"/>
    <w:rsid w:val="63D07482"/>
    <w:rsid w:val="63E85719"/>
    <w:rsid w:val="63F34E27"/>
    <w:rsid w:val="63FD53D7"/>
    <w:rsid w:val="640D3774"/>
    <w:rsid w:val="642E2D6E"/>
    <w:rsid w:val="642F141D"/>
    <w:rsid w:val="64387FCB"/>
    <w:rsid w:val="6439179D"/>
    <w:rsid w:val="643A7D3D"/>
    <w:rsid w:val="644845EE"/>
    <w:rsid w:val="64494CF7"/>
    <w:rsid w:val="644C43F2"/>
    <w:rsid w:val="645E071A"/>
    <w:rsid w:val="64611864"/>
    <w:rsid w:val="6465357A"/>
    <w:rsid w:val="64704226"/>
    <w:rsid w:val="647E3F09"/>
    <w:rsid w:val="64870014"/>
    <w:rsid w:val="64B42AB0"/>
    <w:rsid w:val="64B76AA3"/>
    <w:rsid w:val="64C61C82"/>
    <w:rsid w:val="64D124DB"/>
    <w:rsid w:val="64EB099D"/>
    <w:rsid w:val="65012AAF"/>
    <w:rsid w:val="65233DA8"/>
    <w:rsid w:val="652A1A84"/>
    <w:rsid w:val="652A5D21"/>
    <w:rsid w:val="65480BBE"/>
    <w:rsid w:val="6554639C"/>
    <w:rsid w:val="65687D20"/>
    <w:rsid w:val="657B264C"/>
    <w:rsid w:val="65933B3C"/>
    <w:rsid w:val="65AE026A"/>
    <w:rsid w:val="65B955CA"/>
    <w:rsid w:val="65BE6C54"/>
    <w:rsid w:val="65CC3546"/>
    <w:rsid w:val="65CE71FF"/>
    <w:rsid w:val="65EE73B7"/>
    <w:rsid w:val="66087C36"/>
    <w:rsid w:val="660A413F"/>
    <w:rsid w:val="661A0E12"/>
    <w:rsid w:val="66214D7C"/>
    <w:rsid w:val="6624580B"/>
    <w:rsid w:val="6625001A"/>
    <w:rsid w:val="662A15EB"/>
    <w:rsid w:val="66356B67"/>
    <w:rsid w:val="665078F8"/>
    <w:rsid w:val="66760042"/>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C02AC"/>
    <w:rsid w:val="68006207"/>
    <w:rsid w:val="68070E08"/>
    <w:rsid w:val="682D2C3F"/>
    <w:rsid w:val="682D432C"/>
    <w:rsid w:val="68382592"/>
    <w:rsid w:val="684A32DA"/>
    <w:rsid w:val="684F053A"/>
    <w:rsid w:val="68524FFC"/>
    <w:rsid w:val="686541B5"/>
    <w:rsid w:val="68784674"/>
    <w:rsid w:val="687C00C8"/>
    <w:rsid w:val="687C4042"/>
    <w:rsid w:val="68A742AD"/>
    <w:rsid w:val="68B87F12"/>
    <w:rsid w:val="68C25CFA"/>
    <w:rsid w:val="68C731B8"/>
    <w:rsid w:val="68D536DE"/>
    <w:rsid w:val="69044A5D"/>
    <w:rsid w:val="691052CA"/>
    <w:rsid w:val="69194464"/>
    <w:rsid w:val="691D05F7"/>
    <w:rsid w:val="69312B59"/>
    <w:rsid w:val="69446209"/>
    <w:rsid w:val="694E271E"/>
    <w:rsid w:val="69534859"/>
    <w:rsid w:val="69726337"/>
    <w:rsid w:val="69787B08"/>
    <w:rsid w:val="698B1B24"/>
    <w:rsid w:val="6994580C"/>
    <w:rsid w:val="69B75241"/>
    <w:rsid w:val="69BB0755"/>
    <w:rsid w:val="69CD6D6F"/>
    <w:rsid w:val="69FB0A5B"/>
    <w:rsid w:val="6A0D79AA"/>
    <w:rsid w:val="6A115C81"/>
    <w:rsid w:val="6A162FAD"/>
    <w:rsid w:val="6A165F97"/>
    <w:rsid w:val="6A22015C"/>
    <w:rsid w:val="6A7A60F7"/>
    <w:rsid w:val="6A7E417E"/>
    <w:rsid w:val="6A9C36E2"/>
    <w:rsid w:val="6AAC2E76"/>
    <w:rsid w:val="6AB90DA9"/>
    <w:rsid w:val="6AD73CE6"/>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5514A"/>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8A08D8"/>
    <w:rsid w:val="6D961017"/>
    <w:rsid w:val="6DBF3CF2"/>
    <w:rsid w:val="6DCE3EDB"/>
    <w:rsid w:val="6DD23F1E"/>
    <w:rsid w:val="6DDB4275"/>
    <w:rsid w:val="6DEE2081"/>
    <w:rsid w:val="6E0135EB"/>
    <w:rsid w:val="6E0A26D3"/>
    <w:rsid w:val="6E1B7D7D"/>
    <w:rsid w:val="6E210E7D"/>
    <w:rsid w:val="6E336938"/>
    <w:rsid w:val="6E360304"/>
    <w:rsid w:val="6E4C0EF4"/>
    <w:rsid w:val="6E4E028C"/>
    <w:rsid w:val="6E565A56"/>
    <w:rsid w:val="6E5C1E9E"/>
    <w:rsid w:val="6E5D68D3"/>
    <w:rsid w:val="6E682450"/>
    <w:rsid w:val="6E7251F0"/>
    <w:rsid w:val="6E757524"/>
    <w:rsid w:val="6E7934F3"/>
    <w:rsid w:val="6E9C5623"/>
    <w:rsid w:val="6E9E05A5"/>
    <w:rsid w:val="6EAD6286"/>
    <w:rsid w:val="6EB24C59"/>
    <w:rsid w:val="6EBD3CCD"/>
    <w:rsid w:val="6EC9468F"/>
    <w:rsid w:val="6ECD60E1"/>
    <w:rsid w:val="6EDB6C60"/>
    <w:rsid w:val="6F0F28B8"/>
    <w:rsid w:val="6F2428C0"/>
    <w:rsid w:val="6F350CF1"/>
    <w:rsid w:val="6F3A17D7"/>
    <w:rsid w:val="6F433285"/>
    <w:rsid w:val="6F591B5D"/>
    <w:rsid w:val="6F7E65DB"/>
    <w:rsid w:val="6F7F6D3A"/>
    <w:rsid w:val="6F981073"/>
    <w:rsid w:val="6FA172A4"/>
    <w:rsid w:val="6FE07DD0"/>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6693A"/>
    <w:rsid w:val="71AD6080"/>
    <w:rsid w:val="71C01671"/>
    <w:rsid w:val="71C12788"/>
    <w:rsid w:val="71C90ED8"/>
    <w:rsid w:val="71D72430"/>
    <w:rsid w:val="71E12038"/>
    <w:rsid w:val="720A6753"/>
    <w:rsid w:val="720F4AFB"/>
    <w:rsid w:val="72112B83"/>
    <w:rsid w:val="72143F3C"/>
    <w:rsid w:val="721F61D9"/>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5F04A64"/>
    <w:rsid w:val="7609404D"/>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3E0DC5"/>
    <w:rsid w:val="77594BC8"/>
    <w:rsid w:val="776C53FF"/>
    <w:rsid w:val="776E3681"/>
    <w:rsid w:val="777E5705"/>
    <w:rsid w:val="7781654E"/>
    <w:rsid w:val="779231D8"/>
    <w:rsid w:val="77A618BC"/>
    <w:rsid w:val="77B92312"/>
    <w:rsid w:val="77CC68FE"/>
    <w:rsid w:val="77DE5CDB"/>
    <w:rsid w:val="77F67883"/>
    <w:rsid w:val="7827423F"/>
    <w:rsid w:val="78341E10"/>
    <w:rsid w:val="78386307"/>
    <w:rsid w:val="783A63BE"/>
    <w:rsid w:val="78493B6B"/>
    <w:rsid w:val="7850391E"/>
    <w:rsid w:val="78586B5B"/>
    <w:rsid w:val="78597E32"/>
    <w:rsid w:val="78703EBE"/>
    <w:rsid w:val="78805A36"/>
    <w:rsid w:val="78830880"/>
    <w:rsid w:val="78A51D8F"/>
    <w:rsid w:val="78AE0946"/>
    <w:rsid w:val="78D02D1A"/>
    <w:rsid w:val="78D1727E"/>
    <w:rsid w:val="78D17516"/>
    <w:rsid w:val="78D96E40"/>
    <w:rsid w:val="78FE038B"/>
    <w:rsid w:val="7911644D"/>
    <w:rsid w:val="792078D7"/>
    <w:rsid w:val="79331EC1"/>
    <w:rsid w:val="79404911"/>
    <w:rsid w:val="794D0D3C"/>
    <w:rsid w:val="7967360B"/>
    <w:rsid w:val="7986601A"/>
    <w:rsid w:val="79905EB8"/>
    <w:rsid w:val="7993616D"/>
    <w:rsid w:val="799D69BF"/>
    <w:rsid w:val="799F3A31"/>
    <w:rsid w:val="79AE14B2"/>
    <w:rsid w:val="79B1687C"/>
    <w:rsid w:val="79B22738"/>
    <w:rsid w:val="79CE4B72"/>
    <w:rsid w:val="79FE0269"/>
    <w:rsid w:val="7A055366"/>
    <w:rsid w:val="7A292C38"/>
    <w:rsid w:val="7A49541C"/>
    <w:rsid w:val="7A5E6715"/>
    <w:rsid w:val="7A5F22B4"/>
    <w:rsid w:val="7A680094"/>
    <w:rsid w:val="7A7508D5"/>
    <w:rsid w:val="7A80455C"/>
    <w:rsid w:val="7A81102C"/>
    <w:rsid w:val="7A8D6BBC"/>
    <w:rsid w:val="7AA37ECA"/>
    <w:rsid w:val="7AB16073"/>
    <w:rsid w:val="7ABB5514"/>
    <w:rsid w:val="7AC2458A"/>
    <w:rsid w:val="7ADE3222"/>
    <w:rsid w:val="7AF037CB"/>
    <w:rsid w:val="7AF04DB0"/>
    <w:rsid w:val="7AFA759D"/>
    <w:rsid w:val="7B0D28AD"/>
    <w:rsid w:val="7B133363"/>
    <w:rsid w:val="7B1C1737"/>
    <w:rsid w:val="7B2F5379"/>
    <w:rsid w:val="7B322761"/>
    <w:rsid w:val="7B3C2640"/>
    <w:rsid w:val="7B4443D1"/>
    <w:rsid w:val="7BB151FD"/>
    <w:rsid w:val="7BB43296"/>
    <w:rsid w:val="7BBE12F2"/>
    <w:rsid w:val="7BDE6C84"/>
    <w:rsid w:val="7BE07A81"/>
    <w:rsid w:val="7BE81B8B"/>
    <w:rsid w:val="7BE97D38"/>
    <w:rsid w:val="7BED162A"/>
    <w:rsid w:val="7BF01170"/>
    <w:rsid w:val="7C272B3E"/>
    <w:rsid w:val="7C471D4F"/>
    <w:rsid w:val="7C573A0C"/>
    <w:rsid w:val="7C5A71C2"/>
    <w:rsid w:val="7C7A6596"/>
    <w:rsid w:val="7CA76A22"/>
    <w:rsid w:val="7CB167D6"/>
    <w:rsid w:val="7CCC4E54"/>
    <w:rsid w:val="7CEB2ACD"/>
    <w:rsid w:val="7CEF6F65"/>
    <w:rsid w:val="7CF41D8D"/>
    <w:rsid w:val="7D2745EF"/>
    <w:rsid w:val="7D2D2CA0"/>
    <w:rsid w:val="7D5C29E8"/>
    <w:rsid w:val="7D7A7BC6"/>
    <w:rsid w:val="7D995EB0"/>
    <w:rsid w:val="7DBB08B6"/>
    <w:rsid w:val="7DBC7173"/>
    <w:rsid w:val="7DC815C9"/>
    <w:rsid w:val="7DD90B59"/>
    <w:rsid w:val="7DEF15A6"/>
    <w:rsid w:val="7DFC511B"/>
    <w:rsid w:val="7E0565F6"/>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54</TotalTime>
  <ScaleCrop>false</ScaleCrop>
  <LinksUpToDate>false</LinksUpToDate>
  <CharactersWithSpaces>26786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2021-01-07T08:07:40Z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2052-11.1.0.10228</vt:lpwstr>
  </property>
</Properties>
</file>