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bookmarkStart w:id="22" w:name="_GoBack"/>
      <w:r>
        <w:rPr>
          <w:rFonts w:ascii="宋体" w:hAnsi="宋体"/>
          <w:sz w:val="72"/>
          <w:szCs w:val="72"/>
        </w:rPr>
        <w:drawing>
          <wp:anchor distT="0" distB="0" distL="114300" distR="114300" simplePos="0" relativeHeight="251657216" behindDoc="1" locked="0" layoutInCell="1" allowOverlap="1">
            <wp:simplePos x="0" y="0"/>
            <wp:positionH relativeFrom="column">
              <wp:posOffset>-1249045</wp:posOffset>
            </wp:positionH>
            <wp:positionV relativeFrom="paragraph">
              <wp:posOffset>-862330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bookmarkEnd w:id="22"/>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xaJUtgA&#10;AAAKAQAADwAAAAAAAAABACAAAAAiAAAAZHJzL2Rvd25yZXYueG1sUEsBAhQAFAAAAAgAh07iQBmd&#10;hPqtAQAATwMAAA4AAAAAAAAAAQAgAAAAJwEAAGRycy9lMm9Eb2MueG1sUEsFBgAAAAAGAAYAWQEA&#10;AEY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lang w:val="en-US"/>
        </w:rPr>
      </w:pPr>
      <w:r>
        <w:rPr>
          <w:rFonts w:hint="eastAsia" w:ascii="宋体" w:hAnsi="宋体"/>
          <w:b/>
          <w:sz w:val="30"/>
          <w:szCs w:val="30"/>
        </w:rPr>
        <w:t>20</w:t>
      </w:r>
      <w:r>
        <w:rPr>
          <w:rFonts w:hint="eastAsia" w:ascii="宋体" w:hAnsi="宋体"/>
          <w:b/>
          <w:sz w:val="30"/>
          <w:szCs w:val="30"/>
          <w:lang w:val="en-US" w:eastAsia="zh-CN"/>
        </w:rPr>
        <w:t>21</w:t>
      </w:r>
      <w:r>
        <w:rPr>
          <w:rFonts w:hint="eastAsia" w:ascii="宋体" w:hAnsi="宋体"/>
          <w:b/>
          <w:sz w:val="30"/>
          <w:szCs w:val="30"/>
        </w:rPr>
        <w:t>.</w:t>
      </w:r>
      <w:r>
        <w:rPr>
          <w:rFonts w:hint="eastAsia" w:ascii="宋体" w:hAnsi="宋体"/>
          <w:b/>
          <w:sz w:val="30"/>
          <w:szCs w:val="30"/>
          <w:lang w:val="en-US" w:eastAsia="zh-CN"/>
        </w:rPr>
        <w:t>1.21</w:t>
      </w: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beaHX&#10;AAAACgEAAA8AAAAAAAAAAQAgAAAAIgAAAGRycy9kb3ducmV2LnhtbFBLAQIUABQAAAAIAIdO4kDH&#10;CofIrwEAAFADAAAOAAAAAAAAAAEAIAAAACYBAABkcnMvZTJvRG9jLnhtbFBLBQYAAAAABgAGAFkB&#10;AABH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TOC \o "1-3" \h \z </w:instrText>
      </w:r>
      <w:r>
        <w:rPr>
          <w:rFonts w:hint="eastAsia" w:ascii="宋体" w:hAnsi="宋体" w:eastAsia="宋体" w:cs="宋体"/>
          <w:color w:val="000000"/>
          <w:sz w:val="24"/>
          <w:szCs w:val="21"/>
        </w:rPr>
        <w:fldChar w:fldCharType="separate"/>
      </w: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_Toc12675 </w:instrText>
      </w:r>
      <w:r>
        <w:rPr>
          <w:rFonts w:hint="eastAsia" w:ascii="宋体" w:hAnsi="宋体" w:eastAsia="宋体" w:cs="宋体"/>
          <w:szCs w:val="21"/>
        </w:rPr>
        <w:fldChar w:fldCharType="separate"/>
      </w:r>
      <w:r>
        <w:rPr>
          <w:rFonts w:hint="eastAsia"/>
        </w:rPr>
        <w:t>一、国际原油市场回顾 </w:t>
      </w:r>
      <w:r>
        <w:tab/>
      </w:r>
      <w:r>
        <w:fldChar w:fldCharType="begin"/>
      </w:r>
      <w:r>
        <w:instrText xml:space="preserve"> PAGEREF _Toc12675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_Toc16355 </w:instrText>
      </w:r>
      <w:r>
        <w:rPr>
          <w:rFonts w:hint="eastAsia" w:ascii="宋体" w:hAnsi="宋体" w:eastAsia="宋体" w:cs="宋体"/>
          <w:szCs w:val="21"/>
        </w:rPr>
        <w:fldChar w:fldCharType="separate"/>
      </w:r>
      <w:r>
        <w:rPr>
          <w:rFonts w:hint="eastAsia" w:ascii="宋体" w:hAnsi="宋体"/>
          <w:szCs w:val="30"/>
        </w:rPr>
        <w:t>1.1国际原油收盘价涨跌情况（单位：美元/桶）</w:t>
      </w:r>
      <w:r>
        <w:tab/>
      </w:r>
      <w:r>
        <w:fldChar w:fldCharType="begin"/>
      </w:r>
      <w:r>
        <w:instrText xml:space="preserve"> PAGEREF _Toc16355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_Toc19257 </w:instrText>
      </w:r>
      <w:r>
        <w:rPr>
          <w:rFonts w:hint="eastAsia" w:ascii="宋体" w:hAnsi="宋体" w:eastAsia="宋体" w:cs="宋体"/>
          <w:szCs w:val="21"/>
        </w:rPr>
        <w:fldChar w:fldCharType="separate"/>
      </w:r>
      <w:r>
        <w:rPr>
          <w:rFonts w:hint="eastAsia" w:ascii="宋体" w:hAnsi="宋体"/>
          <w:szCs w:val="30"/>
        </w:rPr>
        <w:t>1.2 20</w:t>
      </w:r>
      <w:r>
        <w:rPr>
          <w:rFonts w:hint="eastAsia" w:ascii="宋体" w:hAnsi="宋体"/>
          <w:szCs w:val="30"/>
          <w:lang w:val="en-US" w:eastAsia="zh-CN"/>
        </w:rPr>
        <w:t>20</w:t>
      </w:r>
      <w:r>
        <w:rPr>
          <w:rFonts w:hint="eastAsia" w:ascii="宋体" w:hAnsi="宋体"/>
          <w:szCs w:val="30"/>
        </w:rPr>
        <w:t>年国际原油价格走势图</w:t>
      </w:r>
      <w:r>
        <w:tab/>
      </w:r>
      <w:r>
        <w:fldChar w:fldCharType="begin"/>
      </w:r>
      <w:r>
        <w:instrText xml:space="preserve"> PAGEREF _Toc19257 </w:instrText>
      </w:r>
      <w:r>
        <w:fldChar w:fldCharType="separate"/>
      </w:r>
      <w:r>
        <w:t>4</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_Toc19334 </w:instrText>
      </w:r>
      <w:r>
        <w:rPr>
          <w:rFonts w:hint="eastAsia" w:ascii="宋体" w:hAnsi="宋体" w:eastAsia="宋体" w:cs="宋体"/>
          <w:szCs w:val="21"/>
        </w:rPr>
        <w:fldChar w:fldCharType="separate"/>
      </w:r>
      <w:r>
        <w:rPr>
          <w:rFonts w:hint="eastAsia"/>
        </w:rPr>
        <w:t>二、 近期影响国际原油市场的主要因素</w:t>
      </w:r>
      <w:r>
        <w:tab/>
      </w:r>
      <w:r>
        <w:fldChar w:fldCharType="begin"/>
      </w:r>
      <w:r>
        <w:instrText xml:space="preserve"> PAGEREF _Toc19334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_Toc21154 </w:instrText>
      </w:r>
      <w:r>
        <w:rPr>
          <w:rFonts w:hint="eastAsia" w:ascii="宋体" w:hAnsi="宋体" w:eastAsia="宋体" w:cs="宋体"/>
          <w:szCs w:val="21"/>
        </w:rPr>
        <w:fldChar w:fldCharType="separate"/>
      </w:r>
      <w:r>
        <w:rPr>
          <w:rFonts w:hint="eastAsia" w:ascii="宋体" w:hAnsi="宋体"/>
          <w:szCs w:val="30"/>
        </w:rPr>
        <w:t>2.1影响国际原油市场的主要因素</w:t>
      </w:r>
      <w:r>
        <w:tab/>
      </w:r>
      <w:r>
        <w:fldChar w:fldCharType="begin"/>
      </w:r>
      <w:r>
        <w:instrText xml:space="preserve"> PAGEREF _Toc21154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_Toc6262 </w:instrText>
      </w:r>
      <w:r>
        <w:rPr>
          <w:rFonts w:hint="eastAsia" w:ascii="宋体" w:hAnsi="宋体" w:eastAsia="宋体" w:cs="宋体"/>
          <w:szCs w:val="21"/>
        </w:rPr>
        <w:fldChar w:fldCharType="separate"/>
      </w:r>
      <w:r>
        <w:rPr>
          <w:rFonts w:hint="eastAsia" w:ascii="宋体" w:hAnsi="宋体"/>
          <w:szCs w:val="30"/>
          <w:highlight w:val="none"/>
        </w:rPr>
        <w:t>2.2国际市场MTBE价格</w:t>
      </w:r>
      <w:r>
        <w:tab/>
      </w:r>
      <w:r>
        <w:fldChar w:fldCharType="begin"/>
      </w:r>
      <w:r>
        <w:instrText xml:space="preserve"> PAGEREF _Toc6262 </w:instrText>
      </w:r>
      <w:r>
        <w:fldChar w:fldCharType="separate"/>
      </w:r>
      <w:r>
        <w:t>14</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_Toc7156 </w:instrText>
      </w:r>
      <w:r>
        <w:rPr>
          <w:rFonts w:hint="eastAsia" w:ascii="宋体" w:hAnsi="宋体" w:eastAsia="宋体" w:cs="宋体"/>
          <w:szCs w:val="21"/>
        </w:rPr>
        <w:fldChar w:fldCharType="separate"/>
      </w:r>
      <w:r>
        <w:rPr>
          <w:rFonts w:hint="eastAsia"/>
          <w:lang w:eastAsia="zh-CN"/>
        </w:rPr>
        <w:t>三、</w:t>
      </w:r>
      <w:r>
        <w:rPr>
          <w:rFonts w:hint="eastAsia"/>
        </w:rPr>
        <w:t>本周国内市场</w:t>
      </w:r>
      <w:r>
        <w:tab/>
      </w:r>
      <w:r>
        <w:fldChar w:fldCharType="begin"/>
      </w:r>
      <w:r>
        <w:instrText xml:space="preserve"> PAGEREF _Toc7156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_Toc7991 </w:instrText>
      </w:r>
      <w:r>
        <w:rPr>
          <w:rFonts w:hint="eastAsia" w:ascii="宋体" w:hAnsi="宋体" w:eastAsia="宋体" w:cs="宋体"/>
          <w:szCs w:val="21"/>
        </w:rPr>
        <w:fldChar w:fldCharType="separate"/>
      </w:r>
      <w:r>
        <w:rPr>
          <w:rFonts w:hint="eastAsia" w:ascii="宋体" w:hAnsi="宋体"/>
          <w:szCs w:val="30"/>
          <w:highlight w:val="none"/>
        </w:rPr>
        <w:t>3.1 国内炼厂装置运行情况</w:t>
      </w:r>
      <w:r>
        <w:tab/>
      </w:r>
      <w:r>
        <w:fldChar w:fldCharType="begin"/>
      </w:r>
      <w:r>
        <w:instrText xml:space="preserve"> PAGEREF _Toc7991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_Toc1575 </w:instrText>
      </w:r>
      <w:r>
        <w:rPr>
          <w:rFonts w:hint="eastAsia" w:ascii="宋体" w:hAnsi="宋体" w:eastAsia="宋体" w:cs="宋体"/>
          <w:szCs w:val="21"/>
        </w:rPr>
        <w:fldChar w:fldCharType="separate"/>
      </w:r>
      <w:r>
        <w:rPr>
          <w:rFonts w:hint="eastAsia" w:ascii="宋体" w:hAnsi="宋体"/>
          <w:szCs w:val="30"/>
          <w:highlight w:val="none"/>
        </w:rPr>
        <w:t>3.2本周成品油市场行情</w:t>
      </w:r>
      <w:r>
        <w:tab/>
      </w:r>
      <w:r>
        <w:fldChar w:fldCharType="begin"/>
      </w:r>
      <w:r>
        <w:instrText xml:space="preserve"> PAGEREF _Toc1575 </w:instrText>
      </w:r>
      <w:r>
        <w:fldChar w:fldCharType="separate"/>
      </w:r>
      <w:r>
        <w:t>16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_Toc29026 </w:instrText>
      </w:r>
      <w:r>
        <w:rPr>
          <w:rFonts w:hint="eastAsia" w:ascii="宋体" w:hAnsi="宋体" w:eastAsia="宋体" w:cs="宋体"/>
          <w:szCs w:val="21"/>
        </w:rPr>
        <w:fldChar w:fldCharType="separate"/>
      </w:r>
      <w:r>
        <w:rPr>
          <w:rFonts w:hint="eastAsia" w:ascii="宋体" w:hAnsi="宋体"/>
          <w:szCs w:val="30"/>
        </w:rPr>
        <w:t>3.3 国内汽油价格周报</w:t>
      </w:r>
      <w:r>
        <w:tab/>
      </w:r>
      <w:r>
        <w:fldChar w:fldCharType="begin"/>
      </w:r>
      <w:r>
        <w:instrText xml:space="preserve"> PAGEREF _Toc29026 </w:instrText>
      </w:r>
      <w:r>
        <w:fldChar w:fldCharType="separate"/>
      </w:r>
      <w:r>
        <w:t>20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_Toc14588 </w:instrText>
      </w:r>
      <w:r>
        <w:rPr>
          <w:rFonts w:hint="eastAsia" w:ascii="宋体" w:hAnsi="宋体" w:eastAsia="宋体" w:cs="宋体"/>
          <w:szCs w:val="21"/>
        </w:rPr>
        <w:fldChar w:fldCharType="separate"/>
      </w:r>
      <w:r>
        <w:rPr>
          <w:rFonts w:hint="eastAsia" w:ascii="宋体" w:hAnsi="宋体"/>
          <w:szCs w:val="30"/>
          <w:lang w:val="en-US" w:eastAsia="zh-CN"/>
        </w:rPr>
        <w:t>3.4国内柴油价格周报</w:t>
      </w:r>
      <w:r>
        <w:tab/>
      </w:r>
      <w:r>
        <w:fldChar w:fldCharType="begin"/>
      </w:r>
      <w:r>
        <w:instrText xml:space="preserve"> PAGEREF _Toc14588 </w:instrText>
      </w:r>
      <w:r>
        <w:fldChar w:fldCharType="separate"/>
      </w:r>
      <w:r>
        <w:t>23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_Toc18935 </w:instrText>
      </w:r>
      <w:r>
        <w:rPr>
          <w:rFonts w:hint="eastAsia" w:ascii="宋体" w:hAnsi="宋体" w:eastAsia="宋体" w:cs="宋体"/>
          <w:szCs w:val="21"/>
        </w:rPr>
        <w:fldChar w:fldCharType="separate"/>
      </w:r>
      <w:r>
        <w:rPr>
          <w:rFonts w:hint="eastAsia" w:ascii="宋体" w:hAnsi="宋体"/>
          <w:szCs w:val="30"/>
          <w:lang w:val="en-US" w:eastAsia="zh-CN"/>
        </w:rPr>
        <w:t>3.5 山东地炼汽油出厂价格周报</w:t>
      </w:r>
      <w:r>
        <w:tab/>
      </w:r>
      <w:r>
        <w:fldChar w:fldCharType="begin"/>
      </w:r>
      <w:r>
        <w:instrText xml:space="preserve"> PAGEREF _Toc18935 </w:instrText>
      </w:r>
      <w:r>
        <w:fldChar w:fldCharType="separate"/>
      </w:r>
      <w:r>
        <w:t>26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_Toc5278 </w:instrText>
      </w:r>
      <w:r>
        <w:rPr>
          <w:rFonts w:hint="eastAsia" w:ascii="宋体" w:hAnsi="宋体" w:eastAsia="宋体" w:cs="宋体"/>
          <w:szCs w:val="21"/>
        </w:rPr>
        <w:fldChar w:fldCharType="separate"/>
      </w:r>
      <w:r>
        <w:rPr>
          <w:rFonts w:hint="eastAsia" w:ascii="宋体" w:hAnsi="宋体"/>
          <w:szCs w:val="30"/>
          <w:lang w:val="en-US" w:eastAsia="zh-CN"/>
        </w:rPr>
        <w:t>3.6 山东地炼柴油出厂价格周报</w:t>
      </w:r>
      <w:r>
        <w:tab/>
      </w:r>
      <w:r>
        <w:fldChar w:fldCharType="begin"/>
      </w:r>
      <w:r>
        <w:instrText xml:space="preserve"> PAGEREF _Toc5278 </w:instrText>
      </w:r>
      <w:r>
        <w:fldChar w:fldCharType="separate"/>
      </w:r>
      <w:r>
        <w:t>28</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_Toc23829 </w:instrText>
      </w:r>
      <w:r>
        <w:rPr>
          <w:rFonts w:hint="eastAsia" w:ascii="宋体" w:hAnsi="宋体" w:eastAsia="宋体" w:cs="宋体"/>
          <w:szCs w:val="21"/>
        </w:rPr>
        <w:fldChar w:fldCharType="separate"/>
      </w:r>
      <w:r>
        <w:rPr>
          <w:rFonts w:hint="eastAsia" w:ascii="宋体" w:hAnsi="宋体"/>
          <w:szCs w:val="30"/>
          <w:lang w:val="en-US" w:eastAsia="zh-CN"/>
        </w:rPr>
        <w:t>四、2020年11月份进出口统计数据</w:t>
      </w:r>
      <w:r>
        <w:tab/>
      </w:r>
      <w:r>
        <w:fldChar w:fldCharType="begin"/>
      </w:r>
      <w:r>
        <w:instrText xml:space="preserve"> PAGEREF _Toc23829 </w:instrText>
      </w:r>
      <w:r>
        <w:fldChar w:fldCharType="separate"/>
      </w:r>
      <w:r>
        <w:t>30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_Toc26331 </w:instrText>
      </w:r>
      <w:r>
        <w:rPr>
          <w:rFonts w:hint="eastAsia" w:ascii="宋体" w:hAnsi="宋体" w:eastAsia="宋体" w:cs="宋体"/>
          <w:szCs w:val="21"/>
        </w:rPr>
        <w:fldChar w:fldCharType="separate"/>
      </w:r>
      <w:r>
        <w:rPr>
          <w:rFonts w:hint="eastAsia" w:ascii="宋体" w:hAnsi="宋体"/>
          <w:szCs w:val="30"/>
        </w:rPr>
        <w:t>4.1 20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11</w:t>
      </w:r>
      <w:r>
        <w:rPr>
          <w:rFonts w:hint="eastAsia" w:ascii="宋体" w:hAnsi="宋体"/>
          <w:szCs w:val="30"/>
        </w:rPr>
        <w:t>份全国车用汽油和航空汽油进出口统计数据</w:t>
      </w:r>
      <w:r>
        <w:tab/>
      </w:r>
      <w:r>
        <w:fldChar w:fldCharType="begin"/>
      </w:r>
      <w:r>
        <w:instrText xml:space="preserve"> PAGEREF _Toc26331 </w:instrText>
      </w:r>
      <w:r>
        <w:fldChar w:fldCharType="separate"/>
      </w:r>
      <w:r>
        <w:t>30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_Toc19129 </w:instrText>
      </w:r>
      <w:r>
        <w:rPr>
          <w:rFonts w:hint="eastAsia" w:ascii="宋体" w:hAnsi="宋体" w:eastAsia="宋体" w:cs="宋体"/>
          <w:szCs w:val="21"/>
        </w:rPr>
        <w:fldChar w:fldCharType="separate"/>
      </w:r>
      <w:r>
        <w:rPr>
          <w:rFonts w:hint="eastAsia" w:ascii="宋体" w:hAnsi="宋体"/>
          <w:szCs w:val="30"/>
        </w:rPr>
        <w:t>4.2 20</w:t>
      </w:r>
      <w:r>
        <w:rPr>
          <w:rFonts w:hint="eastAsia" w:ascii="宋体" w:hAnsi="宋体"/>
          <w:szCs w:val="30"/>
          <w:lang w:val="en-US" w:eastAsia="zh-CN"/>
        </w:rPr>
        <w:t>20</w:t>
      </w:r>
      <w:r>
        <w:rPr>
          <w:rFonts w:hint="eastAsia" w:ascii="宋体" w:hAnsi="宋体"/>
          <w:szCs w:val="30"/>
        </w:rPr>
        <w:t>年1</w:t>
      </w:r>
      <w:r>
        <w:rPr>
          <w:rFonts w:hint="eastAsia" w:ascii="宋体" w:hAnsi="宋体"/>
          <w:szCs w:val="30"/>
          <w:lang w:val="en-US" w:eastAsia="zh-CN"/>
        </w:rPr>
        <w:t>1</w:t>
      </w:r>
      <w:r>
        <w:rPr>
          <w:rFonts w:hint="eastAsia" w:ascii="宋体" w:hAnsi="宋体"/>
          <w:szCs w:val="30"/>
        </w:rPr>
        <w:t>月份全国柴油出口统计数据</w:t>
      </w:r>
      <w:r>
        <w:tab/>
      </w:r>
      <w:r>
        <w:fldChar w:fldCharType="begin"/>
      </w:r>
      <w:r>
        <w:instrText xml:space="preserve"> PAGEREF _Toc19129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_Toc23425 </w:instrText>
      </w:r>
      <w:r>
        <w:rPr>
          <w:rFonts w:hint="eastAsia" w:ascii="宋体" w:hAnsi="宋体" w:eastAsia="宋体" w:cs="宋体"/>
          <w:szCs w:val="21"/>
        </w:rPr>
        <w:fldChar w:fldCharType="separate"/>
      </w:r>
      <w:r>
        <w:rPr>
          <w:rFonts w:hint="eastAsia" w:ascii="宋体" w:hAnsi="宋体"/>
          <w:szCs w:val="30"/>
        </w:rPr>
        <w:t>4.3 20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11</w:t>
      </w:r>
      <w:r>
        <w:rPr>
          <w:rFonts w:hint="eastAsia" w:ascii="宋体" w:hAnsi="宋体"/>
          <w:szCs w:val="30"/>
        </w:rPr>
        <w:t>月份全国原油进出口统计数据</w:t>
      </w:r>
      <w:r>
        <w:tab/>
      </w:r>
      <w:r>
        <w:fldChar w:fldCharType="begin"/>
      </w:r>
      <w:r>
        <w:instrText xml:space="preserve"> PAGEREF _Toc23425 </w:instrText>
      </w:r>
      <w:r>
        <w:fldChar w:fldCharType="separate"/>
      </w:r>
      <w:r>
        <w:t>32</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_Toc29747 </w:instrText>
      </w:r>
      <w:r>
        <w:rPr>
          <w:rFonts w:hint="eastAsia" w:ascii="宋体" w:hAnsi="宋体" w:eastAsia="宋体" w:cs="宋体"/>
          <w:szCs w:val="21"/>
        </w:rPr>
        <w:fldChar w:fldCharType="separate"/>
      </w:r>
      <w:r>
        <w:rPr>
          <w:rFonts w:hint="eastAsia" w:ascii="宋体" w:hAnsi="宋体"/>
          <w:szCs w:val="30"/>
        </w:rPr>
        <w:t>4.4 20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11</w:t>
      </w:r>
      <w:r>
        <w:rPr>
          <w:rFonts w:hint="eastAsia" w:ascii="宋体" w:hAnsi="宋体"/>
          <w:szCs w:val="30"/>
        </w:rPr>
        <w:t>月份航空煤油进出口统计数据</w:t>
      </w:r>
      <w:r>
        <w:tab/>
      </w:r>
      <w:r>
        <w:fldChar w:fldCharType="begin"/>
      </w:r>
      <w:r>
        <w:instrText xml:space="preserve"> PAGEREF _Toc29747 </w:instrText>
      </w:r>
      <w:r>
        <w:fldChar w:fldCharType="separate"/>
      </w:r>
      <w:r>
        <w:t>34</w:t>
      </w:r>
      <w:r>
        <w:fldChar w:fldCharType="end"/>
      </w: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12675"/>
      <w:r>
        <w:rPr>
          <w:rFonts w:hint="eastAsia"/>
        </w:rPr>
        <w:t>一、国际原油市场回顾 </w:t>
      </w:r>
      <w:bookmarkEnd w:id="0"/>
    </w:p>
    <w:p>
      <w:pPr>
        <w:pStyle w:val="3"/>
        <w:spacing w:before="120" w:after="120" w:line="240" w:lineRule="auto"/>
        <w:rPr>
          <w:rFonts w:hint="eastAsia" w:ascii="宋体" w:hAnsi="宋体"/>
          <w:b/>
          <w:sz w:val="30"/>
          <w:szCs w:val="30"/>
        </w:rPr>
      </w:pPr>
      <w:bookmarkStart w:id="1" w:name="_Toc16355"/>
      <w:r>
        <w:rPr>
          <w:rFonts w:hint="eastAsia" w:ascii="宋体" w:hAnsi="宋体"/>
          <w:b/>
          <w:sz w:val="30"/>
          <w:szCs w:val="30"/>
        </w:rPr>
        <w:t>1.1国际原油收盘价涨跌情况（单位：美元/桶）</w:t>
      </w:r>
      <w:bookmarkEnd w:id="1"/>
    </w:p>
    <w:tbl>
      <w:tblPr>
        <w:tblStyle w:val="24"/>
        <w:tblpPr w:leftFromText="180" w:rightFromText="180" w:vertAnchor="text" w:horzAnchor="page" w:tblpX="1797" w:tblpY="700"/>
        <w:tblOverlap w:val="never"/>
        <w:tblW w:w="8662" w:type="dxa"/>
        <w:tblInd w:w="0" w:type="dxa"/>
        <w:tblLayout w:type="fixed"/>
        <w:tblCellMar>
          <w:top w:w="15" w:type="dxa"/>
          <w:left w:w="15" w:type="dxa"/>
          <w:bottom w:w="15" w:type="dxa"/>
          <w:right w:w="15" w:type="dxa"/>
        </w:tblCellMar>
      </w:tblPr>
      <w:tblGrid>
        <w:gridCol w:w="1291"/>
        <w:gridCol w:w="709"/>
        <w:gridCol w:w="709"/>
        <w:gridCol w:w="5953"/>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2021/1/14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53.57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56.42</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原油期货价格上涨。当选总统拜登即将推出更多财政刺激政策的预期推动了市场,美国原油库存连续几周下降也对原油价格有提振作用。</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2021/1/15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52.36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55.1</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原油期货价格下跌。全球新冠疫情形势日益严峻，使原油需求前景受到抑制，导致油价走低。美国新的财政刺激政策，可能不足以刺激需求。</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2021/1/18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　休市</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54.75</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原油期货价格下跌。美国金融市场因马丁-路德-金纪念日休市一天，全球新冠疫情形势日益严峻，使原油需求前景受到抑制，导致油价走低。</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2021/1/19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52.98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55.9</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原油期货价格上涨。尽管国际能源署上周下调了2021年全球原油需求预期，但美国推出重大刺激措施的前景仍令油价得到支撑，导致油价走高。</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2021/1/20</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53.24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56.08</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原油期货价格上涨。尽管全球疫情仍然十分严峻，但是美国美国总统拜登推出重大刺激措施的前景仍令油价得到支撑，导致油价走高。</w:t>
            </w:r>
          </w:p>
        </w:tc>
      </w:tr>
    </w:tbl>
    <w:p>
      <w:pPr>
        <w:jc w:val="center"/>
        <w:rPr>
          <w:rFonts w:hint="eastAsia"/>
        </w:rPr>
      </w:pPr>
    </w:p>
    <w:p>
      <w:pPr>
        <w:pStyle w:val="3"/>
        <w:spacing w:before="120" w:after="120" w:line="240" w:lineRule="auto"/>
        <w:rPr>
          <w:rFonts w:hint="eastAsia" w:ascii="宋体" w:hAnsi="宋体" w:cs="Arial"/>
          <w:b/>
          <w:kern w:val="0"/>
          <w:sz w:val="30"/>
          <w:szCs w:val="30"/>
        </w:rPr>
      </w:pPr>
      <w:bookmarkStart w:id="2" w:name="_Toc19257"/>
      <w:r>
        <w:rPr>
          <w:rFonts w:hint="eastAsia" w:ascii="宋体" w:hAnsi="宋体"/>
          <w:b/>
          <w:sz w:val="30"/>
          <w:szCs w:val="30"/>
        </w:rPr>
        <w:t>1.2 20</w:t>
      </w:r>
      <w:r>
        <w:rPr>
          <w:rFonts w:hint="eastAsia" w:ascii="宋体" w:hAnsi="宋体"/>
          <w:b/>
          <w:sz w:val="30"/>
          <w:szCs w:val="30"/>
          <w:lang w:val="en-US" w:eastAsia="zh-CN"/>
        </w:rPr>
        <w:t>21</w:t>
      </w:r>
      <w:r>
        <w:rPr>
          <w:rFonts w:hint="eastAsia" w:ascii="宋体" w:hAnsi="宋体"/>
          <w:b/>
          <w:sz w:val="30"/>
          <w:szCs w:val="30"/>
        </w:rPr>
        <w:t>年国际原油价格走势图</w:t>
      </w:r>
      <w:bookmarkEnd w:id="2"/>
    </w:p>
    <w:p>
      <w:pPr>
        <w:widowControl/>
        <w:wordWrap w:val="0"/>
        <w:spacing w:after="90" w:line="288" w:lineRule="auto"/>
        <w:jc w:val="left"/>
        <w:rPr>
          <w:rFonts w:hint="eastAsia" w:ascii="宋体" w:hAnsi="宋体" w:cs="Arial"/>
          <w:b/>
          <w:kern w:val="0"/>
          <w:sz w:val="30"/>
          <w:szCs w:val="30"/>
        </w:rPr>
      </w:pPr>
      <w:r>
        <w:rPr>
          <w:rFonts w:hint="eastAsia" w:ascii="宋体" w:hAnsi="宋体" w:cs="Arial"/>
          <w:b/>
          <w:kern w:val="0"/>
          <w:sz w:val="30"/>
          <w:szCs w:val="30"/>
        </w:rPr>
        <w:drawing>
          <wp:inline distT="0" distB="0" distL="114300" distR="114300">
            <wp:extent cx="5733415" cy="4218305"/>
            <wp:effectExtent l="0" t="0" r="63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733415" cy="4218305"/>
                    </a:xfrm>
                    <a:prstGeom prst="rect">
                      <a:avLst/>
                    </a:prstGeom>
                    <a:noFill/>
                    <a:ln>
                      <a:noFill/>
                    </a:ln>
                  </pic:spPr>
                </pic:pic>
              </a:graphicData>
            </a:graphic>
          </wp:inline>
        </w:drawing>
      </w:r>
    </w:p>
    <w:p>
      <w:pPr>
        <w:rPr>
          <w:rFonts w:hint="eastAsia" w:ascii="宋体" w:hAnsi="宋体" w:cs="Arial"/>
          <w:b/>
          <w:kern w:val="0"/>
          <w:sz w:val="30"/>
          <w:szCs w:val="30"/>
        </w:rPr>
      </w:pPr>
    </w:p>
    <w:p>
      <w:pPr>
        <w:pStyle w:val="2"/>
        <w:numPr>
          <w:ilvl w:val="0"/>
          <w:numId w:val="1"/>
        </w:numPr>
        <w:spacing w:before="120" w:after="0" w:line="240" w:lineRule="auto"/>
      </w:pPr>
      <w:bookmarkStart w:id="3" w:name="_Toc19334"/>
      <w:r>
        <w:rPr>
          <w:rFonts w:hint="eastAsia"/>
        </w:rPr>
        <w:t>近期影响国际原油市场的主要因素</w:t>
      </w:r>
      <w:bookmarkEnd w:id="3"/>
    </w:p>
    <w:p>
      <w:pPr>
        <w:pStyle w:val="3"/>
        <w:spacing w:before="120" w:after="120" w:line="240" w:lineRule="auto"/>
        <w:rPr>
          <w:rFonts w:hint="eastAsia" w:ascii="宋体" w:hAnsi="宋体"/>
          <w:b/>
          <w:sz w:val="30"/>
          <w:szCs w:val="30"/>
        </w:rPr>
      </w:pPr>
      <w:bookmarkStart w:id="4" w:name="_Toc21154"/>
      <w:r>
        <w:rPr>
          <w:rFonts w:hint="eastAsia" w:ascii="宋体" w:hAnsi="宋体"/>
          <w:b/>
          <w:sz w:val="30"/>
          <w:szCs w:val="30"/>
        </w:rPr>
        <w:t>2.1影响国际原油市场的主要因素</w:t>
      </w:r>
      <w:bookmarkEnd w:id="4"/>
    </w:p>
    <w:p>
      <w:pPr>
        <w:ind w:firstLine="551" w:firstLineChars="196"/>
        <w:outlineLvl w:val="1"/>
        <w:rPr>
          <w:rFonts w:hint="eastAsia" w:asciiTheme="minorEastAsia" w:hAnsiTheme="minorEastAsia" w:eastAsiaTheme="minorEastAsia" w:cstheme="minorEastAsia"/>
          <w:b/>
          <w:color w:val="000000"/>
          <w:sz w:val="28"/>
          <w:szCs w:val="28"/>
        </w:rPr>
      </w:pPr>
      <w:bookmarkStart w:id="5" w:name="_Toc62114454"/>
      <w:r>
        <w:rPr>
          <w:rFonts w:hint="eastAsia" w:asciiTheme="minorEastAsia" w:hAnsiTheme="minorEastAsia" w:eastAsiaTheme="minorEastAsia" w:cstheme="minorEastAsia"/>
          <w:b/>
          <w:color w:val="000000"/>
          <w:sz w:val="28"/>
          <w:szCs w:val="28"/>
        </w:rPr>
        <w:t>1.美国原油库存情况</w:t>
      </w:r>
      <w:bookmarkEnd w:id="5"/>
      <w:r>
        <w:rPr>
          <w:rFonts w:hint="eastAsia" w:asciiTheme="minorEastAsia" w:hAnsiTheme="minorEastAsia" w:eastAsiaTheme="minorEastAsia" w:cstheme="minorEastAsia"/>
          <w:b/>
          <w:color w:val="000000"/>
          <w:sz w:val="28"/>
          <w:szCs w:val="28"/>
        </w:rPr>
        <w:t xml:space="preserve"> </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美国能源信息署(EIA)公布的数据显示，截至1月8日当周美国除却战略储备的商业原油库存降幅基本符合预期，精炼油库存超预期，汽油库存超预期。具体数据显示，美国截至1月8日当周EIA原油库存变动实际公布减少324.80万桶，预期减少300桶，前值减少801万桶。此外，美国截至1月8日当周EIA汽油库存实际公布增加439.50万桶，预期增加250万桶，前值增加451.9万桶;美国截至1月8日当周EIA精炼油库存实际公布增加478.60万桶，预期增加200万桶，前值增加639万桶。美国石油协会(API)公布的数据显示，美国截至1月8日当周API原油库存减少582.1万桶，预期减少272万桶;汽油库存增加187.6万桶;精炼油库存增加443.3万桶。</w:t>
      </w:r>
    </w:p>
    <w:p>
      <w:pPr>
        <w:pStyle w:val="23"/>
        <w:spacing w:line="360" w:lineRule="auto"/>
        <w:ind w:firstLine="560" w:firstLineChars="200"/>
        <w:rPr>
          <w:rFonts w:hint="eastAsia" w:asciiTheme="minorEastAsia" w:hAnsiTheme="minorEastAsia" w:eastAsiaTheme="minorEastAsia" w:cstheme="minorEastAsia"/>
          <w:sz w:val="28"/>
          <w:szCs w:val="28"/>
        </w:rPr>
      </w:pPr>
    </w:p>
    <w:p>
      <w:pPr>
        <w:pStyle w:val="23"/>
        <w:spacing w:line="360" w:lineRule="auto"/>
        <w:ind w:firstLine="562" w:firstLineChars="200"/>
        <w:outlineLvl w:val="1"/>
        <w:rPr>
          <w:rFonts w:hint="eastAsia" w:asciiTheme="minorEastAsia" w:hAnsiTheme="minorEastAsia" w:eastAsiaTheme="minorEastAsia" w:cstheme="minorEastAsia"/>
          <w:b/>
          <w:sz w:val="28"/>
          <w:szCs w:val="28"/>
        </w:rPr>
      </w:pPr>
      <w:bookmarkStart w:id="6" w:name="_Toc62114455"/>
      <w:r>
        <w:rPr>
          <w:rFonts w:hint="eastAsia" w:asciiTheme="minorEastAsia" w:hAnsiTheme="minorEastAsia" w:eastAsiaTheme="minorEastAsia" w:cstheme="minorEastAsia"/>
          <w:b/>
          <w:sz w:val="28"/>
          <w:szCs w:val="28"/>
        </w:rPr>
        <w:t>2.美国经济形势</w:t>
      </w:r>
      <w:bookmarkEnd w:id="6"/>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本周北京时间21日凌晨，美股周三收高，三大股指均创盘中与收盘历史最高纪录，科技股涨幅领先。拜登宣誓就任美国总统。疫苗稳步推广的乐观预期与一系列强劲的企业财报提振了市场情绪。</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道指涨257.86点，或0.83%，报31188.38点;纳指涨260.07点，或1.97%，报13457.25点;标普500指数涨52.94点，或1.39%，报3851.85点。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周三盘中，道指最高上涨至31235.98点，纳指最高上涨至13486.13点，标普500指数上涨至3859.75点，均创盘中历史新高。</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Netflix(NFLX)收盘大涨16.9%，该公司第四财季用户增长超预期，且付费用户数量首次突破2亿。公司还宣布正考虑回购股票。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美国华盛顿特区当地时间1月20日11点49分，拜登在国会大厦前宣誓就任美国第46任总统。市场预计拜登入主白宫将对政策产生立竿见影的影响，这将对世界各地的公司和经济产生影响。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欧洲市场对于拜登上任抱有整体积极的情绪，欧盟委员会主席冯德莱恩今日在社交媒体上欢呼“美国回来了”。</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投资者仍然希望这位78岁的民主党人的1.9万亿美元抗疫纾困刺激计划将支持经济复苏并推动企业盈利增长。拜登指定的财政部长提名人耶伦周二表示赞同增加抗疫纾困开支，并敦促立法者采取“重大行动”。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拜登的刺激计划包括直接向大多数美国人支付1400美元、提供额外的失业救济以及向州和地方政府提供援助。</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拜登还宣布了一项与新冠疫情作斗争的全面计划，其中包括在全国范围内开展疫苗运动以加快推广速度。</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CNBC的Jim Cramer表示：“我认为，权力的有序交接，再加上制定明确的疫苗推广计划，将帮助美股市场大幅上涨。无论如何，除非我们找到办法让大家都接种辉瑞与Moderna的疫苗，否则美国经济就无法开放。”</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美国远远没有达到在2020年底为2000万人接种疫苗的目标。特朗普政府的疫苗推广项目“Operation Warp Speed”已在全国范围内分发了3110万剂疫苗，但仅接种了1230万人。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随着盈利和营收从新冠疫情的最低点反弹，企业继续报告稳定的季度业绩。</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摩根士丹利报告盈利与营收均超出预期，因交易与理财部门业绩稳健增长。</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宝洁上调业绩目标，并称上一财季的营收跃升。</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E-Trade Financial交易与投资产品董事总经理Chris Larkin表示：“美企财报季的开端相当不错。更令人鼓舞的是多家公司给出了积极的业绩指引。因此，尽管前路难免会有颠簸，但交易商与美国企业都开始看到了曙光。”</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拜登正式宣誓就职美国第46任总统 承认美国被“深刻撕裂”</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美国华盛顿特区当地时间1月20日11点49分，拜登在国会大厦前宣誓就任美国第46任总统。</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拜登随后发表了演说，承认美国被“深刻撕裂”，呼吁“团结”;新冠疫情下美国正经历“危险冬天”，为逝者默哀，将积极抗疫;将打击美国政治极端主义、排外主义和国内恐怖主义;拒绝“美国孤立”，将修复与盟友关系，与世界再次建立“良好联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拜登也提到了美国当前的挑战：新冠疫情的挑战和它已经造成的灾难性损失，它在一年内夺走的生命数量，相当于美国在二战中失去的所有生命。数以百万计的工作岗位消失了，数以十万计的企业惨遭关闭。</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拜登将美国过去四年经历的情况比作一场“野蛮的战争”(uncivil war)、“现在必须要结束”。</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拜登向国际社会发出了声音，称将“将修复我们与盟友的关系，再次与世界接触。”</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纽约时报白宫首席记者Peter Baker称，拜登希望利用他的就职演说展现出他与其前任在语气上的截然不同——特朗普喜欢挑衅而不是和解。拜登谈到了真相的必要性和谎言的后果——四年之间，特朗普发表了数以万计的虚假或误导性声明。</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金融时报的美国版主编Peter Spiegel称，拜登的讲话延续了他的竞选信息，即在经历了特别分裂的四年后，国家要重新统一起来。值得注意的是，这次演讲几乎没有提及任何政策，而是一直在呼吁：危机时刻，需要团结。</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部分共和党参议员反对拜登1.9万亿美元刺激计划</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在周二的参议院财政委员会听证会上，拜登的财政部长提名人珍妮特-耶伦(Janet Yellen)呼吁大幅增加抗疫纾困开支金额，并与拜登政府共同处理包括增加基础建设投资、制定环保法规和最终的税制改革等优先事项。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尽管如此，耶伦关于1.9万亿美元刺激计划的看法还是受到了一些共和党议员的反对。许多议员拒绝批准新一轮大规模刺激计划，认为该方案缺乏足够的针对性，并不是只向最需要救助的人提供支持。</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美国新冠死亡病例首次超过40万</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新冠病毒在人类健康与经济方面造成的损失变得更加明显。截至本周二，美国的新冠病毒死亡病例首次超过了40万人这一严峻的里程碑。节假日后美国疫情出现高峰，上周新冠死亡与住院人数激增。</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据美国约翰斯-霍普金斯大学数据：截至北京时间20日7时22分，全球新冠确诊病例达96058991例，死亡病例为2053384例。美国是全球疫情最严重的国家，确诊病例达24216856例，死亡病例为401174例。</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其他市场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周三德国DAX30指数收高112.24点，涨幅0.81%，报13927.30点;英国富时100指数收高29.45点，涨幅0.44%，报6742.40点;法国CAC40指数收高29.83点，涨幅0.53%，报5628.44点。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欧洲斯托克50指数收高28.93点，涨幅0.80%，报3624.35点;西班牙IBEX35指数收高5.00点，涨幅0.06%，报8204.00点;意大利富时MIB指数收高206.78点，涨幅0.92%，报22648.50点。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黄金期货价格周三收于近两周来的最高水平。对拜登政府将出台更多刺激政策的预期令美元承压，使金价获得支持。</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随着拜登宣誓就任美国总统、财政部长提名人耶伦呼吁议会采取“重大行动”支持经济，市场预期美国很快将宣布额外的财政刺激措施。</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政府增加开支将导致债务增长，从而令美元贬值。而美元贬值通常有利于金价上涨。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纽约商品交易所2月交割的黄金期货价格上涨26.30美元，涨幅1.4%，收于每盎司1866.50美元，为1月7日以来的最高收盘价。</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3月交割的白银期货价格上涨45美分，涨幅1.8%，收于每盎司25.766美元。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原油期货价格周三收高。美国总统拜登出台更多经济刺激政策的前景令油价得到支撑。</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Oanda资深市场分析师Edward Moya表示：“原油市场似乎并未受到新型变异新冠病毒传播与封锁措施等头条消息的影响”，而是关注“拜登关于更快击败新冠病毒、为大部分经济层面提供支持的计划。这些计划将提振原油需求前景。”</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纽约商品交易所2月交割的西德州中质原油期货价格上涨26美分，涨幅0.5%，收于每桶53.24美元。2月期货于今日原油市场收盘后到期，新的即期期货——3月WTI合约上涨33美分，涨幅0.6%，收于每桶53.31美元。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rPr>
          <w:rFonts w:hint="eastAsia" w:asciiTheme="minorEastAsia" w:hAnsiTheme="minorEastAsia" w:eastAsiaTheme="minorEastAsia" w:cstheme="minorEastAsia"/>
          <w:color w:val="333335"/>
          <w:kern w:val="2"/>
          <w:sz w:val="28"/>
          <w:szCs w:val="28"/>
          <w:shd w:val="clear" w:color="auto" w:fill="FFFFFF"/>
        </w:rPr>
      </w:pPr>
    </w:p>
    <w:p>
      <w:pPr>
        <w:pStyle w:val="23"/>
        <w:ind w:firstLine="562" w:firstLineChars="200"/>
        <w:outlineLvl w:val="1"/>
        <w:rPr>
          <w:rFonts w:hint="eastAsia" w:asciiTheme="minorEastAsia" w:hAnsiTheme="minorEastAsia" w:eastAsiaTheme="minorEastAsia" w:cstheme="minorEastAsia"/>
          <w:b/>
          <w:bCs/>
          <w:sz w:val="28"/>
          <w:szCs w:val="28"/>
        </w:rPr>
      </w:pPr>
      <w:bookmarkStart w:id="7" w:name="_Toc62114456"/>
      <w:r>
        <w:rPr>
          <w:rFonts w:hint="eastAsia" w:asciiTheme="minorEastAsia" w:hAnsiTheme="minorEastAsia" w:eastAsiaTheme="minorEastAsia" w:cstheme="minorEastAsia"/>
          <w:b/>
          <w:bCs/>
          <w:sz w:val="28"/>
          <w:szCs w:val="28"/>
        </w:rPr>
        <w:t>3.世界经济形势</w:t>
      </w:r>
      <w:bookmarkEnd w:id="7"/>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际社会高度关注《区域全面经济伙伴关系协定》(RCEP)的签署，认为这是东亚经济一体化建设的里程碑事件。在商务部日前举行的《区域全面经济伙伴关系协定》线上专题培训班上，商务部副部长兼国际贸易谈判副代表王受文指出，RCEP是各项指标领先全球的超大自贸区。</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据2019年数据，RCEP15个成员国总人口达22.7亿，国内生产总值(GDP)达26万亿美元，出口总额达5.2万亿美元，均占全球总量约30%。与《全面与进步跨太平洋伙伴关系协定》(CPTPP)、美墨加等国际上其他大型自贸区相比，RCEP人口最多、GDP总量最大、贸易量最大、吸引外资最多、经济增速也最快。“据美国彼得森国际经济研究所测算，到2030年，RCEP有望带动成员国出口净增加5190亿美元，国民收入净增加1860亿美元。RCEP蕴含的巨大市场潜力，将为本地区和全球经济增长注入强大动力。”</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王受文指出，RCEP将是中国在新时期构建更高水平开放型经济新体制的重要抓手，可为中国形成新发展格局提供强有力支撑。</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RCEP的签署，使中国对外签署的自贸协定达到19个，自贸伙伴达到26个。其生效实施后，与自贸伙伴的贸易额占比由现在的27%增加到35%左右，超过三分之一的对外贸易实现零关税。中国还新增了日本这一重要自贸伙伴，实现了与世界前十大经济体建立自贸关系的重大突破，大大提升自贸网络“含金量”。RCEP还将为中国实质性推动中日韩自贸区建设，积极加入CPTPP，打造更高水平的自贸协定打下良好基础。</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RCEP成员国均为中国重要经贸合作伙伴。2019年，中国对RCEP成员国出口规模达6683亿美元，约占中国出口总额27%，进口额达7588亿美元，约占进口总额37%，来自RCEP成员国的投资额占中国实际使用外资超过10%。中国作为RCEP中经济规模最大的成员，最能够从RCEP合作中赢得机遇，增强在国际国内两个市场配置资源的能力，强化在亚洲产业链中的核心地位，不断增强参与国际经济合作和竞争的新优势，为形成以国内大循环为主体、国内国际双循环相互促进的新发展格局提供助力。</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王受文指出，目前，疫情仍在全球蔓延，世界经济衰退，国际贸易投资萎缩，全球化遭遇逆流。在此背景下，RCEP全体成员国共同承诺降低关税、开放市场、减少壁垒，展示了反对单边主义和保护主义，坚定支持自由贸易和多边贸易体制的鲜明态度，为国际抗疫合作和世界经济复苏注入正能量。</w:t>
      </w:r>
    </w:p>
    <w:p>
      <w:pPr>
        <w:pStyle w:val="23"/>
        <w:spacing w:line="360" w:lineRule="auto"/>
        <w:ind w:firstLine="560" w:firstLineChars="200"/>
        <w:rPr>
          <w:rFonts w:hint="eastAsia" w:asciiTheme="minorEastAsia" w:hAnsiTheme="minorEastAsia" w:eastAsiaTheme="minorEastAsia" w:cstheme="minorEastAsia"/>
          <w:sz w:val="28"/>
          <w:szCs w:val="28"/>
        </w:rPr>
      </w:pPr>
    </w:p>
    <w:p>
      <w:pPr>
        <w:rPr>
          <w:rFonts w:hint="eastAsia"/>
        </w:rPr>
      </w:pPr>
    </w:p>
    <w:p>
      <w:pPr>
        <w:pStyle w:val="23"/>
        <w:numPr>
          <w:ilvl w:val="0"/>
          <w:numId w:val="2"/>
        </w:numPr>
        <w:spacing w:line="360" w:lineRule="auto"/>
        <w:ind w:firstLine="562" w:firstLineChars="200"/>
        <w:outlineLvl w:val="1"/>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后市预测</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美国WTI原油原油价格在52.36-53.57美元/桶。布伦特原油价格在54.75-56.42美元/桶震荡。周内国际油价震荡整理。当地时间周三(1月20日)中午，拜登正式宣誓就职，成为美国第46任总统。市场预计拜登政府将提供大量财政支出，刺激燃料需求进而降低库存。同时市场还将重点关注新冠疫苗的接种进程，人们预计美国经济增长前景将好转，能源需求也将水涨船高。两大原油期货延续此前交易日的涨势。截至发稿，美国WTI原油3月期货收涨26美分，涨幅0.49%，报53.24美元/桶;布伦特原油3月期货收涨18美分，涨幅0.32%，报56.08美元/桶。基本面利好因素：1.拜登于周三宣誓就职。他此前已经宣布将推出规模高达1.9万亿美元的刺激计划，同时还将重点关注新冠疫苗的接种进程。人们预计美国经济增长前景将好转，能源需求也将水涨船高。拜登此前提名的财政部长耶伦周二敦促国会议员大幅增加抗疫支出，并强调此举带来的经济利益远远超过债务负担加重引发的风险。耶伦发表上述言论后，美元指数走低扶助大宗商品价格。2.美国能源信息署(EIA)在最新的月报中下调了石油需求预测，将2020年石油需求下降了880万桶/日，将2021年第2季度全球石油需求预测下调30万桶/日;将2021年第3季度全球石油需求预测下调10万桶/日;将2021年第4季度全球石油需求预测下调20万桶/日。考虑到2021年下半年需求的改善，可能会有更高的供应增长空间。2021年全球炼油厂吞吐量预计将反弹450万桶/日。全球疫苗的推广将使2021年的基本面走向更加强劲的轨道。3.美国参议员在耶伦的财长提名确认听证会上表示，其提名可能最快在周四获得通过。美国参议院金融委员会的民主党高层议员Ron Wyden表示，鉴于民主党和共和党都同意在周三工作日结束之前以书面形式准备好对耶伦的后续问题，他希望参议院全体议员可以在周四进行投票表决。共和党参议员Michael Crapo回应称，他将与即将卸任的委员会主席Chuck Grassley讨论时间安排。Crapo还表示：“将与成员一起努力，加快工作速度。”南非标准银行分析师Steven Barrow认为，美国财长提名人耶伦可能会更全盘考虑美元政策，改变特朗普政府聚焦贸易的政策思路。耶伦“认识到美元的大幅波动可能会产生重大的金融影响(例如对美元债务持有人的影响)，这通常比直接贸易影响要大得多”，这将使耶伦更加“谨言”。基本面利空因素：1.新冠疫苗的接种进程缓慢和疫苗的安全性依然是影响油价上行的主要因素。美国加州流行病学家EricaPan周一发布声明，紧急叫停特定批次的莫德纳新冠疫苗注射。据悉，有接近10人在接种批号041L20A的Moderna新冠疫苗后产生严重过敏反应后紧急就医。本着安全第一的原则，加州公共卫生部门决定立刻封存该批次约33万支疫苗，并就疫苗安全性展开调查。Moderna发言人在给《福布斯》的声明中表示，该公司正在全力配合加州公共卫生部门的安全性调查。此前，挪威对辉瑞疫苗用在有严重基础病的老年人身上的安全性表示了越来越强的担忧。2.根据欧佩克+达成的最新协议，全球最大石油出口国承诺在2月和3月期间进一步额外减产100万桶/日。但全球第三大原油进口国和消费国——印度周二抱怨称，产油国近期加大减产导致价格飙升，在欧佩克秘书长巴尔金都的协调下，减产正在给消费国带来混乱。印度石油部长Dharmendra Pradhan在大西洋理事会组织召开的一场能源会议上称：“几个月前，所有人都还在讨论以提升消费需求为中心的经济复苏前景，并建议从1月份起逐步增产，但目前的情况不是这样。这将促使我们采用更多方案替代现有能源。如果产油国不认可我们的诉求，那么势必出现商业模式的创新。”</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预测下周WTI油价将触及51-54美元/桶，布油在之后几个月触及53-57美元/桶。</w:t>
      </w:r>
    </w:p>
    <w:p>
      <w:pPr>
        <w:pStyle w:val="23"/>
        <w:numPr>
          <w:ilvl w:val="0"/>
          <w:numId w:val="0"/>
        </w:numPr>
        <w:spacing w:line="360" w:lineRule="auto"/>
        <w:outlineLvl w:val="1"/>
        <w:rPr>
          <w:rFonts w:hint="eastAsia" w:asciiTheme="minorEastAsia" w:hAnsiTheme="minorEastAsia" w:eastAsiaTheme="minorEastAsia" w:cstheme="minorEastAsia"/>
          <w:b/>
          <w:sz w:val="28"/>
          <w:szCs w:val="28"/>
        </w:rPr>
      </w:pPr>
    </w:p>
    <w:p>
      <w:pPr>
        <w:pStyle w:val="3"/>
        <w:spacing w:before="120" w:after="120" w:line="240" w:lineRule="auto"/>
        <w:rPr>
          <w:rFonts w:hint="eastAsia" w:ascii="宋体" w:hAnsi="宋体" w:eastAsia="宋体"/>
          <w:b/>
          <w:sz w:val="30"/>
          <w:szCs w:val="30"/>
          <w:highlight w:val="none"/>
          <w:lang w:val="en-US" w:eastAsia="zh-CN"/>
        </w:rPr>
      </w:pPr>
      <w:bookmarkStart w:id="8" w:name="_Toc6262"/>
      <w:r>
        <w:rPr>
          <w:rFonts w:hint="eastAsia" w:ascii="宋体" w:hAnsi="宋体"/>
          <w:b/>
          <w:sz w:val="30"/>
          <w:szCs w:val="30"/>
          <w:highlight w:val="none"/>
        </w:rPr>
        <w:t>2.2国际市场MTBE价格</w:t>
      </w:r>
      <w:bookmarkEnd w:id="8"/>
      <w:r>
        <w:rPr>
          <w:rFonts w:hint="eastAsia" w:ascii="宋体" w:hAnsi="宋体"/>
          <w:b/>
          <w:sz w:val="30"/>
          <w:szCs w:val="30"/>
          <w:highlight w:val="none"/>
          <w:lang w:val="en-US" w:eastAsia="zh-CN"/>
        </w:rPr>
        <w:t xml:space="preserve"> </w:t>
      </w:r>
    </w:p>
    <w:p>
      <w:pPr>
        <w:rPr>
          <w:rFonts w:hint="eastAsia"/>
        </w:rPr>
      </w:pPr>
    </w:p>
    <w:tbl>
      <w:tblPr>
        <w:tblStyle w:val="24"/>
        <w:tblW w:w="7230" w:type="dxa"/>
        <w:tblInd w:w="0" w:type="dxa"/>
        <w:shd w:val="clear" w:color="auto" w:fill="auto"/>
        <w:tblLayout w:type="autofit"/>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1月20日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571.00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163.27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540.75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1月19日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562.00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162.69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538.75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1月18日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554.50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531.00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1月15日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563.00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161.72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532.00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1月14日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573.00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164.27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538.00 </w:t>
            </w:r>
          </w:p>
        </w:tc>
      </w:tr>
    </w:tbl>
    <w:p>
      <w:pPr>
        <w:pStyle w:val="2"/>
        <w:numPr>
          <w:ilvl w:val="0"/>
          <w:numId w:val="0"/>
        </w:numPr>
        <w:spacing w:before="120" w:after="0" w:line="240" w:lineRule="auto"/>
        <w:rPr>
          <w:rFonts w:hint="eastAsia"/>
          <w:b/>
          <w:lang w:eastAsia="zh-CN"/>
        </w:rPr>
      </w:pPr>
    </w:p>
    <w:p>
      <w:pPr>
        <w:pStyle w:val="2"/>
        <w:numPr>
          <w:ilvl w:val="0"/>
          <w:numId w:val="0"/>
        </w:numPr>
        <w:spacing w:before="120" w:after="0" w:line="240" w:lineRule="auto"/>
        <w:rPr>
          <w:rFonts w:hint="eastAsia"/>
          <w:b/>
        </w:rPr>
      </w:pPr>
      <w:bookmarkStart w:id="9" w:name="_Toc7156"/>
      <w:r>
        <w:rPr>
          <w:rFonts w:hint="eastAsia"/>
          <w:b/>
          <w:lang w:eastAsia="zh-CN"/>
        </w:rPr>
        <w:t>三、</w:t>
      </w:r>
      <w:r>
        <w:rPr>
          <w:rFonts w:hint="eastAsia"/>
          <w:b/>
        </w:rPr>
        <w:t>本周国内市场</w:t>
      </w:r>
      <w:bookmarkEnd w:id="9"/>
    </w:p>
    <w:p>
      <w:pPr>
        <w:numPr>
          <w:ilvl w:val="0"/>
          <w:numId w:val="0"/>
        </w:numPr>
      </w:pPr>
    </w:p>
    <w:p>
      <w:pPr>
        <w:pStyle w:val="3"/>
        <w:spacing w:before="120" w:after="120" w:line="240" w:lineRule="auto"/>
      </w:pPr>
      <w:bookmarkStart w:id="10" w:name="_Toc7991"/>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57"/>
        <w:gridCol w:w="1257"/>
        <w:gridCol w:w="1257"/>
        <w:gridCol w:w="1386"/>
        <w:gridCol w:w="1477"/>
        <w:gridCol w:w="1607"/>
        <w:gridCol w:w="1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848" w:type="dxa"/>
            <w:gridSpan w:val="7"/>
            <w:tcBorders>
              <w:top w:val="single" w:color="auto" w:sz="6" w:space="0"/>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中石化旗下炼厂检修计划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炼厂名称</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所在地</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加工能力</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检修装置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检修产能（单位：万吨）</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起始时间</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北海炼化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650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常减压</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130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2020/3/15</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天津石化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天津</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1250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1250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2020/5/1</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齐鲁石化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1300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常减压</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800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2020/9/13</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青岛石化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500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500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2020/10/8</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2020/12月初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武汉石化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湖北</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850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850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2020/10月底</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2020/1月初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金陵石化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江苏</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1800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1800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2020/11/26</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长岭石化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湖南</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1150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1150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2021年3月</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848" w:type="dxa"/>
            <w:gridSpan w:val="7"/>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中石油旗下炼厂检修计划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炼厂名称</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所在地</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加工能力</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检修装置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检修产能（单位：万吨）</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起始时间</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大连石化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辽宁</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2050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2050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2020/5/7</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辽阳石化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辽宁</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240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渣油加氢装置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2020/6/1</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宁夏石化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宁夏</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500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500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2020/7/1</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锦西石化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辽宁</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650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650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2020/7/9</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华北石化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河北</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1000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渣油加氢装置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340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2020/9/12</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2021/10/18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云南石化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云南</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1300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1300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2020/12/5</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2021/1/15</w:t>
            </w:r>
          </w:p>
        </w:tc>
      </w:tr>
    </w:tbl>
    <w:p>
      <w:pPr>
        <w:numPr>
          <w:ilvl w:val="0"/>
          <w:numId w:val="0"/>
        </w:numPr>
        <w:rPr>
          <w:rFonts w:hint="eastAsia" w:ascii="宋体" w:hAnsi="宋体"/>
          <w:sz w:val="28"/>
          <w:szCs w:val="28"/>
          <w:highlight w:val="none"/>
        </w:rPr>
      </w:pPr>
    </w:p>
    <w:p>
      <w:pPr>
        <w:numPr>
          <w:ilvl w:val="0"/>
          <w:numId w:val="3"/>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pPr w:leftFromText="180" w:rightFromText="180" w:vertAnchor="text" w:horzAnchor="page" w:tblpX="624" w:tblpY="1289"/>
        <w:tblOverlap w:val="never"/>
        <w:tblW w:w="10296" w:type="dxa"/>
        <w:tblInd w:w="0" w:type="dxa"/>
        <w:shd w:val="clear" w:color="auto" w:fill="auto"/>
        <w:tblLayout w:type="autofit"/>
        <w:tblCellMar>
          <w:top w:w="0" w:type="dxa"/>
          <w:left w:w="0" w:type="dxa"/>
          <w:bottom w:w="0" w:type="dxa"/>
          <w:right w:w="0" w:type="dxa"/>
        </w:tblCellMar>
      </w:tblPr>
      <w:tblGrid>
        <w:gridCol w:w="879"/>
        <w:gridCol w:w="1138"/>
        <w:gridCol w:w="988"/>
        <w:gridCol w:w="919"/>
        <w:gridCol w:w="1867"/>
        <w:gridCol w:w="1978"/>
        <w:gridCol w:w="1263"/>
        <w:gridCol w:w="1264"/>
      </w:tblGrid>
      <w:tr>
        <w:tblPrEx>
          <w:shd w:val="clear" w:color="auto" w:fill="auto"/>
          <w:tblCellMar>
            <w:top w:w="0" w:type="dxa"/>
            <w:left w:w="0" w:type="dxa"/>
            <w:bottom w:w="0" w:type="dxa"/>
            <w:right w:w="0" w:type="dxa"/>
          </w:tblCellMar>
        </w:tblPrEx>
        <w:trPr>
          <w:trHeight w:val="333" w:hRule="atLeast"/>
        </w:trPr>
        <w:tc>
          <w:tcPr>
            <w:tcW w:w="879" w:type="dxa"/>
            <w:vMerge w:val="restart"/>
            <w:tcBorders>
              <w:top w:val="single" w:color="4F81BD" w:sz="8" w:space="0"/>
              <w:left w:val="single" w:color="4F81BD" w:sz="8" w:space="0"/>
              <w:bottom w:val="nil"/>
              <w:right w:val="single" w:color="4F81BD" w:sz="8" w:space="0"/>
            </w:tcBorders>
            <w:shd w:val="clear" w:color="auto" w:fill="4F81BD"/>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地区</w:t>
            </w:r>
          </w:p>
        </w:tc>
        <w:tc>
          <w:tcPr>
            <w:tcW w:w="1138" w:type="dxa"/>
            <w:vMerge w:val="restart"/>
            <w:tcBorders>
              <w:top w:val="single" w:color="4F81BD" w:sz="8" w:space="0"/>
              <w:left w:val="nil"/>
              <w:bottom w:val="nil"/>
              <w:right w:val="single" w:color="4F81BD" w:sz="8"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炼厂名称</w:t>
            </w:r>
          </w:p>
        </w:tc>
        <w:tc>
          <w:tcPr>
            <w:tcW w:w="988" w:type="dxa"/>
            <w:vMerge w:val="restart"/>
            <w:tcBorders>
              <w:top w:val="single" w:color="4F81BD" w:sz="8" w:space="0"/>
              <w:left w:val="nil"/>
              <w:bottom w:val="nil"/>
              <w:right w:val="single" w:color="4F81BD" w:sz="8"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检修装置</w:t>
            </w:r>
          </w:p>
        </w:tc>
        <w:tc>
          <w:tcPr>
            <w:tcW w:w="919" w:type="dxa"/>
            <w:vMerge w:val="restart"/>
            <w:tcBorders>
              <w:top w:val="single" w:color="4F81BD" w:sz="8" w:space="0"/>
              <w:left w:val="nil"/>
              <w:bottom w:val="nil"/>
              <w:right w:val="single" w:color="4F81BD" w:sz="8"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产能（万</w:t>
            </w:r>
          </w:p>
        </w:tc>
        <w:tc>
          <w:tcPr>
            <w:tcW w:w="1867" w:type="dxa"/>
            <w:vMerge w:val="restart"/>
            <w:tcBorders>
              <w:top w:val="single" w:color="4F81BD" w:sz="8" w:space="0"/>
              <w:left w:val="nil"/>
              <w:bottom w:val="nil"/>
              <w:right w:val="single" w:color="4F81BD" w:sz="8"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开工时间</w:t>
            </w:r>
          </w:p>
        </w:tc>
        <w:tc>
          <w:tcPr>
            <w:tcW w:w="1978" w:type="dxa"/>
            <w:vMerge w:val="restart"/>
            <w:tcBorders>
              <w:top w:val="single" w:color="4F81BD" w:sz="8" w:space="0"/>
              <w:left w:val="nil"/>
              <w:bottom w:val="nil"/>
              <w:right w:val="single" w:color="4F81BD" w:sz="8"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停工时间</w:t>
            </w:r>
          </w:p>
        </w:tc>
        <w:tc>
          <w:tcPr>
            <w:tcW w:w="2527" w:type="dxa"/>
            <w:gridSpan w:val="2"/>
            <w:vMerge w:val="restart"/>
            <w:tcBorders>
              <w:top w:val="single" w:color="4F81BD" w:sz="8" w:space="0"/>
              <w:left w:val="nil"/>
              <w:bottom w:val="single" w:color="FFFFFF" w:sz="12" w:space="0"/>
              <w:right w:val="single" w:color="4F81BD" w:sz="8"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检修损失量（万吨）吨/年）</w:t>
            </w:r>
          </w:p>
        </w:tc>
      </w:tr>
      <w:tr>
        <w:tblPrEx>
          <w:tblCellMar>
            <w:top w:w="0" w:type="dxa"/>
            <w:left w:w="0" w:type="dxa"/>
            <w:bottom w:w="0" w:type="dxa"/>
            <w:right w:w="0" w:type="dxa"/>
          </w:tblCellMar>
        </w:tblPrEx>
        <w:trPr>
          <w:trHeight w:val="342" w:hRule="atLeast"/>
        </w:trPr>
        <w:tc>
          <w:tcPr>
            <w:tcW w:w="879" w:type="dxa"/>
            <w:vMerge w:val="continue"/>
            <w:tcBorders>
              <w:top w:val="single" w:color="4F81BD" w:sz="8" w:space="0"/>
              <w:left w:val="single" w:color="4F81BD" w:sz="8" w:space="0"/>
              <w:bottom w:val="nil"/>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8" w:type="dxa"/>
            <w:vMerge w:val="continue"/>
            <w:tcBorders>
              <w:top w:val="single" w:color="4F81BD" w:sz="8" w:space="0"/>
              <w:left w:val="nil"/>
              <w:bottom w:val="nil"/>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8" w:type="dxa"/>
            <w:vMerge w:val="continue"/>
            <w:tcBorders>
              <w:top w:val="single" w:color="4F81BD" w:sz="8" w:space="0"/>
              <w:left w:val="nil"/>
              <w:bottom w:val="nil"/>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4F81BD" w:sz="8" w:space="0"/>
              <w:left w:val="nil"/>
              <w:bottom w:val="nil"/>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7" w:type="dxa"/>
            <w:vMerge w:val="continue"/>
            <w:tcBorders>
              <w:top w:val="single" w:color="4F81BD" w:sz="8" w:space="0"/>
              <w:left w:val="nil"/>
              <w:bottom w:val="nil"/>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78" w:type="dxa"/>
            <w:vMerge w:val="continue"/>
            <w:tcBorders>
              <w:top w:val="single" w:color="4F81BD" w:sz="8" w:space="0"/>
              <w:left w:val="nil"/>
              <w:bottom w:val="nil"/>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27" w:type="dxa"/>
            <w:gridSpan w:val="2"/>
            <w:vMerge w:val="continue"/>
            <w:tcBorders>
              <w:top w:val="single" w:color="4F81BD" w:sz="8" w:space="0"/>
              <w:left w:val="nil"/>
              <w:bottom w:val="single" w:color="FFFFFF" w:sz="12" w:space="0"/>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trPr>
        <w:tc>
          <w:tcPr>
            <w:tcW w:w="879" w:type="dxa"/>
            <w:tcBorders>
              <w:top w:val="nil"/>
              <w:left w:val="single" w:color="4F81BD" w:sz="8" w:space="0"/>
              <w:bottom w:val="single" w:color="4F81BD" w:sz="8" w:space="0"/>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8" w:type="dxa"/>
            <w:tcBorders>
              <w:top w:val="nil"/>
              <w:left w:val="nil"/>
              <w:bottom w:val="single" w:color="4F81BD" w:sz="8" w:space="0"/>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8" w:type="dxa"/>
            <w:tcBorders>
              <w:top w:val="nil"/>
              <w:left w:val="nil"/>
              <w:bottom w:val="single" w:color="4F81BD" w:sz="8" w:space="0"/>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tcBorders>
              <w:top w:val="nil"/>
              <w:left w:val="nil"/>
              <w:bottom w:val="single" w:color="4F81BD" w:sz="8" w:space="0"/>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7" w:type="dxa"/>
            <w:tcBorders>
              <w:top w:val="nil"/>
              <w:left w:val="nil"/>
              <w:bottom w:val="single" w:color="4F81BD" w:sz="8" w:space="0"/>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78" w:type="dxa"/>
            <w:tcBorders>
              <w:top w:val="nil"/>
              <w:left w:val="nil"/>
              <w:bottom w:val="single" w:color="4F81BD" w:sz="8" w:space="0"/>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3"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汽油</w:t>
            </w:r>
          </w:p>
        </w:tc>
        <w:tc>
          <w:tcPr>
            <w:tcW w:w="1264"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柴油</w:t>
            </w:r>
          </w:p>
        </w:tc>
      </w:tr>
      <w:tr>
        <w:tblPrEx>
          <w:tblCellMar>
            <w:top w:w="0" w:type="dxa"/>
            <w:left w:w="0" w:type="dxa"/>
            <w:bottom w:w="0" w:type="dxa"/>
            <w:right w:w="0" w:type="dxa"/>
          </w:tblCellMar>
        </w:tblPrEx>
        <w:trPr>
          <w:trHeight w:val="401" w:hRule="atLeast"/>
        </w:trPr>
        <w:tc>
          <w:tcPr>
            <w:tcW w:w="879" w:type="dxa"/>
            <w:tcBorders>
              <w:top w:val="nil"/>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荷泽</w:t>
            </w:r>
          </w:p>
        </w:tc>
        <w:tc>
          <w:tcPr>
            <w:tcW w:w="113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东明石化</w:t>
            </w:r>
          </w:p>
        </w:tc>
        <w:tc>
          <w:tcPr>
            <w:tcW w:w="98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催化裂化</w:t>
            </w:r>
          </w:p>
        </w:tc>
        <w:tc>
          <w:tcPr>
            <w:tcW w:w="919"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7"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2021/1月中旬</w:t>
            </w:r>
          </w:p>
        </w:tc>
        <w:tc>
          <w:tcPr>
            <w:tcW w:w="197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2021/1月初</w:t>
            </w:r>
          </w:p>
        </w:tc>
        <w:tc>
          <w:tcPr>
            <w:tcW w:w="1263"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1264"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r>
      <w:tr>
        <w:tblPrEx>
          <w:tblCellMar>
            <w:top w:w="0" w:type="dxa"/>
            <w:left w:w="0" w:type="dxa"/>
            <w:bottom w:w="0" w:type="dxa"/>
            <w:right w:w="0" w:type="dxa"/>
          </w:tblCellMar>
        </w:tblPrEx>
        <w:trPr>
          <w:trHeight w:val="401" w:hRule="atLeast"/>
        </w:trPr>
        <w:tc>
          <w:tcPr>
            <w:tcW w:w="879" w:type="dxa"/>
            <w:tcBorders>
              <w:top w:val="nil"/>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滨州</w:t>
            </w:r>
          </w:p>
        </w:tc>
        <w:tc>
          <w:tcPr>
            <w:tcW w:w="113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永鑫石化</w:t>
            </w:r>
          </w:p>
        </w:tc>
        <w:tc>
          <w:tcPr>
            <w:tcW w:w="988" w:type="dxa"/>
            <w:tcBorders>
              <w:top w:val="nil"/>
              <w:left w:val="nil"/>
              <w:bottom w:val="single" w:color="4F81BD" w:sz="8" w:space="0"/>
              <w:right w:val="single" w:color="4F81BD"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催化裂化</w:t>
            </w:r>
          </w:p>
        </w:tc>
        <w:tc>
          <w:tcPr>
            <w:tcW w:w="919"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7"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2021/1月中旬</w:t>
            </w:r>
          </w:p>
        </w:tc>
        <w:tc>
          <w:tcPr>
            <w:tcW w:w="197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2021/1月初</w:t>
            </w:r>
          </w:p>
        </w:tc>
        <w:tc>
          <w:tcPr>
            <w:tcW w:w="1263"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1264"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r>
      <w:tr>
        <w:tblPrEx>
          <w:tblCellMar>
            <w:top w:w="0" w:type="dxa"/>
            <w:left w:w="0" w:type="dxa"/>
            <w:bottom w:w="0" w:type="dxa"/>
            <w:right w:w="0" w:type="dxa"/>
          </w:tblCellMar>
        </w:tblPrEx>
        <w:trPr>
          <w:trHeight w:val="401" w:hRule="atLeast"/>
        </w:trPr>
        <w:tc>
          <w:tcPr>
            <w:tcW w:w="879"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东营</w:t>
            </w:r>
          </w:p>
        </w:tc>
        <w:tc>
          <w:tcPr>
            <w:tcW w:w="113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垦利石化</w:t>
            </w:r>
          </w:p>
        </w:tc>
        <w:tc>
          <w:tcPr>
            <w:tcW w:w="98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柴油加氢</w:t>
            </w:r>
          </w:p>
        </w:tc>
        <w:tc>
          <w:tcPr>
            <w:tcW w:w="919"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867" w:type="dxa"/>
            <w:tcBorders>
              <w:top w:val="nil"/>
              <w:left w:val="nil"/>
              <w:bottom w:val="single" w:color="4F81BD" w:sz="8" w:space="0"/>
              <w:right w:val="single" w:color="4F81BD" w:sz="8" w:space="0"/>
            </w:tcBorders>
            <w:shd w:val="clear" w:color="auto" w:fill="B7DEE8"/>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2020年12月20日</w:t>
            </w:r>
          </w:p>
        </w:tc>
        <w:tc>
          <w:tcPr>
            <w:tcW w:w="1978" w:type="dxa"/>
            <w:tcBorders>
              <w:top w:val="nil"/>
              <w:left w:val="nil"/>
              <w:bottom w:val="single" w:color="4F81BD" w:sz="8" w:space="0"/>
              <w:right w:val="single" w:color="4F81BD" w:sz="8" w:space="0"/>
            </w:tcBorders>
            <w:shd w:val="clear" w:color="auto" w:fill="B7DEE8"/>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2020年12月10日</w:t>
            </w:r>
          </w:p>
        </w:tc>
        <w:tc>
          <w:tcPr>
            <w:tcW w:w="1263"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1264"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563" w:hRule="atLeast"/>
        </w:trPr>
        <w:tc>
          <w:tcPr>
            <w:tcW w:w="879" w:type="dxa"/>
            <w:tcBorders>
              <w:top w:val="nil"/>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东营</w:t>
            </w:r>
          </w:p>
        </w:tc>
        <w:tc>
          <w:tcPr>
            <w:tcW w:w="113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亨润德石化</w:t>
            </w:r>
          </w:p>
        </w:tc>
        <w:tc>
          <w:tcPr>
            <w:tcW w:w="98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常减压</w:t>
            </w:r>
          </w:p>
        </w:tc>
        <w:tc>
          <w:tcPr>
            <w:tcW w:w="919"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867"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2021年1月</w:t>
            </w:r>
          </w:p>
        </w:tc>
        <w:tc>
          <w:tcPr>
            <w:tcW w:w="197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2020年10月23日</w:t>
            </w:r>
          </w:p>
        </w:tc>
        <w:tc>
          <w:tcPr>
            <w:tcW w:w="1263"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64"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r>
      <w:tr>
        <w:tblPrEx>
          <w:tblCellMar>
            <w:top w:w="0" w:type="dxa"/>
            <w:left w:w="0" w:type="dxa"/>
            <w:bottom w:w="0" w:type="dxa"/>
            <w:right w:w="0" w:type="dxa"/>
          </w:tblCellMar>
        </w:tblPrEx>
        <w:trPr>
          <w:trHeight w:val="401" w:hRule="atLeast"/>
        </w:trPr>
        <w:tc>
          <w:tcPr>
            <w:tcW w:w="879" w:type="dxa"/>
            <w:tcBorders>
              <w:top w:val="nil"/>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滨州</w:t>
            </w:r>
          </w:p>
        </w:tc>
        <w:tc>
          <w:tcPr>
            <w:tcW w:w="113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京博石化</w:t>
            </w:r>
          </w:p>
        </w:tc>
        <w:tc>
          <w:tcPr>
            <w:tcW w:w="98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延迟焦化</w:t>
            </w:r>
          </w:p>
        </w:tc>
        <w:tc>
          <w:tcPr>
            <w:tcW w:w="919"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867"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w:t>
            </w:r>
          </w:p>
        </w:tc>
        <w:tc>
          <w:tcPr>
            <w:tcW w:w="197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2020年8月下旬</w:t>
            </w:r>
          </w:p>
        </w:tc>
        <w:tc>
          <w:tcPr>
            <w:tcW w:w="1263"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64"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r>
      <w:tr>
        <w:tblPrEx>
          <w:tblCellMar>
            <w:top w:w="0" w:type="dxa"/>
            <w:left w:w="0" w:type="dxa"/>
            <w:bottom w:w="0" w:type="dxa"/>
            <w:right w:w="0" w:type="dxa"/>
          </w:tblCellMar>
        </w:tblPrEx>
        <w:trPr>
          <w:trHeight w:val="401" w:hRule="atLeast"/>
        </w:trPr>
        <w:tc>
          <w:tcPr>
            <w:tcW w:w="879" w:type="dxa"/>
            <w:tcBorders>
              <w:top w:val="nil"/>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淄博</w:t>
            </w:r>
          </w:p>
        </w:tc>
        <w:tc>
          <w:tcPr>
            <w:tcW w:w="113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金诚石化</w:t>
            </w:r>
          </w:p>
        </w:tc>
        <w:tc>
          <w:tcPr>
            <w:tcW w:w="98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常减压</w:t>
            </w:r>
          </w:p>
        </w:tc>
        <w:tc>
          <w:tcPr>
            <w:tcW w:w="919"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867"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w:t>
            </w:r>
          </w:p>
        </w:tc>
        <w:tc>
          <w:tcPr>
            <w:tcW w:w="197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2020年6月底</w:t>
            </w:r>
          </w:p>
        </w:tc>
        <w:tc>
          <w:tcPr>
            <w:tcW w:w="1263"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1264"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r>
      <w:tr>
        <w:tblPrEx>
          <w:tblCellMar>
            <w:top w:w="0" w:type="dxa"/>
            <w:left w:w="0" w:type="dxa"/>
            <w:bottom w:w="0" w:type="dxa"/>
            <w:right w:w="0" w:type="dxa"/>
          </w:tblCellMar>
        </w:tblPrEx>
        <w:trPr>
          <w:trHeight w:val="401" w:hRule="atLeast"/>
        </w:trPr>
        <w:tc>
          <w:tcPr>
            <w:tcW w:w="879" w:type="dxa"/>
            <w:tcBorders>
              <w:top w:val="nil"/>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东营</w:t>
            </w:r>
          </w:p>
        </w:tc>
        <w:tc>
          <w:tcPr>
            <w:tcW w:w="113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东方华龙</w:t>
            </w:r>
          </w:p>
        </w:tc>
        <w:tc>
          <w:tcPr>
            <w:tcW w:w="98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催化</w:t>
            </w:r>
          </w:p>
        </w:tc>
        <w:tc>
          <w:tcPr>
            <w:tcW w:w="919"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867"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w:t>
            </w:r>
          </w:p>
        </w:tc>
        <w:tc>
          <w:tcPr>
            <w:tcW w:w="197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2020年1月</w:t>
            </w:r>
          </w:p>
        </w:tc>
        <w:tc>
          <w:tcPr>
            <w:tcW w:w="1263"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64"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449" w:hRule="atLeast"/>
        </w:trPr>
        <w:tc>
          <w:tcPr>
            <w:tcW w:w="879" w:type="dxa"/>
            <w:tcBorders>
              <w:top w:val="nil"/>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东营</w:t>
            </w:r>
          </w:p>
        </w:tc>
        <w:tc>
          <w:tcPr>
            <w:tcW w:w="113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垦利石化</w:t>
            </w:r>
          </w:p>
        </w:tc>
        <w:tc>
          <w:tcPr>
            <w:tcW w:w="98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小重整</w:t>
            </w:r>
          </w:p>
        </w:tc>
        <w:tc>
          <w:tcPr>
            <w:tcW w:w="919"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867"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w:t>
            </w:r>
          </w:p>
        </w:tc>
        <w:tc>
          <w:tcPr>
            <w:tcW w:w="197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2019年4月27日</w:t>
            </w:r>
          </w:p>
        </w:tc>
        <w:tc>
          <w:tcPr>
            <w:tcW w:w="1263"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1264"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bl>
    <w:p>
      <w:pPr>
        <w:numPr>
          <w:ilvl w:val="0"/>
          <w:numId w:val="0"/>
        </w:numPr>
        <w:rPr>
          <w:rFonts w:hint="eastAsia" w:ascii="宋体" w:hAnsi="宋体"/>
          <w:sz w:val="28"/>
          <w:szCs w:val="28"/>
          <w:highlight w:val="none"/>
        </w:rPr>
      </w:pPr>
    </w:p>
    <w:p>
      <w:pPr>
        <w:numPr>
          <w:ilvl w:val="0"/>
          <w:numId w:val="0"/>
        </w:numPr>
        <w:jc w:val="center"/>
        <w:rPr>
          <w:rFonts w:hint="eastAsia" w:ascii="宋体" w:hAnsi="宋体"/>
          <w:sz w:val="28"/>
          <w:szCs w:val="28"/>
          <w:highlight w:val="none"/>
        </w:rPr>
      </w:pPr>
    </w:p>
    <w:p>
      <w:pPr>
        <w:rPr>
          <w:rFonts w:hint="eastAsia"/>
        </w:rPr>
      </w:pPr>
    </w:p>
    <w:p>
      <w:pPr>
        <w:pStyle w:val="3"/>
        <w:spacing w:before="120" w:after="120" w:line="240" w:lineRule="auto"/>
        <w:rPr>
          <w:rFonts w:hint="eastAsia" w:ascii="宋体" w:hAnsi="宋体"/>
          <w:b/>
          <w:sz w:val="30"/>
          <w:szCs w:val="30"/>
          <w:highlight w:val="none"/>
        </w:rPr>
      </w:pPr>
      <w:bookmarkStart w:id="11" w:name="_Toc1575"/>
      <w:r>
        <w:rPr>
          <w:rFonts w:hint="eastAsia" w:ascii="宋体" w:hAnsi="宋体"/>
          <w:b/>
          <w:sz w:val="30"/>
          <w:szCs w:val="30"/>
          <w:highlight w:val="none"/>
        </w:rPr>
        <w:t>3.2本周成品油市场行情</w:t>
      </w:r>
      <w:bookmarkEnd w:id="11"/>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国际原油期价涨跌互现，据测算第四个工作日参考原油变化率为1.89%。受此影响，国内成品油市场购销氛围持淡，各地主营单位汽柴油销售执行优惠政策。与此同时，山东地炼汽柴油行情先抑后扬，区内炼厂实际成交保持100元/吨左右优惠。具体来看出货方面：周初，原油弱势打压油市，买卖双方操作较为谨慎，市场成交多以散户小单为主。临近周末，受外盘油价续涨且新一轮变化率正向运行双重利好提振，区内油市看涨气氛渐起，中下游商家购进操作增加，市场交投气氛升温。因此周期内地炼整体出货表现尚可，汽油平均产销比在100%附近，柴油平均产销比在90-100%左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本周(1月15日-1月21日)基本面占据主导，华中区内柴油弱势愈加凸显 具体分析如下，周内国际原油先抑后扬，整体波动幅度有限，不过周初零售价刚刚兑现上调且新一轮变化率依然正向开端，消息面呈温和向好指向。与此同时，地炼为维持产销平衡，汽柴油价格趋弱调整，周边低价资源对市场影响逐渐增加。加之临近春节，柴油终端需求愈加疲弱，主营为积极赶量，柴油价格稳中有跌，或暗中增加优惠空间，相对而言，汽油需求相对平稳，下游仍存备货需求，汽油价格整体偏强。业者消库之余择低采购，市场购销提量有限。后市来看，美国经济刺激政策仍存良好预期，短期原油或维持偏强震荡，本轮零售价上调概率增加，消息面或延续利好指向。不过临近月末部分主营单位或仍有冲量操作。故预计下周区内主营挂牌价格或维持高位盘整态势。主营或根据自身销售情况灵活调整报价，春节前夕下游仍存一定备货需求，市场购销气氛或相对温和。</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月15日-1月21日)，华东地区成品油行情弱势盘整，消息面多空因素交织，市场整体交投气氛表现一般。具体来看，周内国际油价保持震荡，原油变化率保持正向延伸，但市场整体需求一般，加之周初国际油价震荡下行，区内部分主营单位理性回调汽柴油价格，下调幅度在50-100元/吨，随后各主营单位汽柴油价格挺价为主，实际成交优惠力度不断加大。需求方面，柴油需求进入淡季，而汽油方面受限于就地过年政策，汽油整体消耗趋于稳定，而市场观望情绪为主，下游商家入市补货多按需为主，故市场整体交投气氛表现一般。后市而言，国际油价或震荡上行，消息面或利好因素支撑，加之原油变化率正向延伸，本轮零售价或上调概率大，故预计短期内华东地区成品油行情或稳中小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月15日-1月21日)，消息面支撑偏向利好，华北区内行情稳中调整。分析来看，本周初上调预期落实，区内汽柴走势涨跌互现，部分高价市场高位回落，个别单位小幅推涨，因下游在调价前多提前备货，加之新一轮调价期显示搁浅，下游多退市观望，成交气氛清淡。周内原油走势震荡上涨，变化率正向幅度不断拉宽，区内主营单位挺价为主，部分单位报价小幅上涨，但实际成交政策灵活，为刺激出货多可议价商谈。另外区内河北省部分地区资源流通依旧受到限制，为保证区内资源供应，部分地区报价整体推高100-200元/吨。后市而言，因美国新任总统上任利于经济回暖的影响，国际消息面将受到一定支撑，原油走势或保持高位震荡，受此影响国内调价上调预期将继续拉宽。区内市场来看，国内疫情局势仍然严峻，部分地区市场流通仍存在一定困难，下周将进入月度下旬主营单位继续侧重走量，因市场需求或进一步减弱，预计后市价格继续上涨空间受限，汽油短期内尚有一定需求支撑价格维持坚挺，而柴油随需求进一步的回落而走势将承压回落。</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月14日-1月21日)，华南成品油市场整体呈现平稳走势，交投气氛维持清淡。具体来看，周初因全球疫情抑制国际原油价格延续走跌，消息面利好支撑减弱，区内汽柴油市场继续推涨承压，广东地区主营单位多维持坚挺守稳走势，但下游业者采购操作更显谨慎，市场成交情况清淡，实际出货价格小幅回落。 临近周末国际原油市场止跌回涨，拉动成品油上调窗口正式开启，但业者观望气氛浓厚，市场主要消化前期库存为主，高价购进操作稀少。拜登就任美国总统后，将会签署一系列行政命令，且有利于美国的经济回暖，这将对油价形成有效支撑，原油价格保持高位震荡，提振市场的守稳心态，预计下周汽油市场将维持平稳走势，柴油市场受需求低迷抑制不排除有小幅回落的可能。</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月15日-1月21日)，西南地区汽柴行情逐步转弱，主营价格涨后回落，市场成交氛围维持平淡。分析来看：周初，随着零售价上调兑现，部分地区主营略有推涨。虽然周内国际油价震荡上行，新一轮变化率正向区间运行，但目前预计上调幅度较小，后市行情仍存变化，消息面对市场指引有限。与此同时，下游需求整体平淡，对市场亦无明显支撑。再者，目前汽柴价格整体水平偏高，业者操作心态谨慎，消库之余小单补货为主，市场成交维持清淡。主营单位出货压力渐增，部分单位价格逐步下调，且优惠政策逐步放宽，成交重心下移。就后市而言，国际油价或将维持高位震荡，变化率窄幅波动，本轮调价方向仍存变数，消息面对市场难有明显支撑。预计短线西南地区汽柴行情趋弱整理，业者按需补货，市场成交难有提升。</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月15日-1月21日)，西北地炼汽油行情延续小涨，柴油行情继续维持平稳运行，市场成交气氛平平。分析来看：周内国际油价走势震荡，新一轮变化率虽为正向，但本轮调价方向变数较大，消息面对市场难有支撑。与此同时，随着春节假期临近，外出务工人员陆续休假，工程基建等行情开工率持续下滑，柴油需求逐步萎缩，业者补货稀少，市场成交清淡;汽油方面，疫情影响下，居民出行多以私家车为主，整体需求较为平稳。业者按需补货，市场成交好于柴油，成交价格小幅上推。就后市而言，国际油价高位震荡，消息面对市场指引有限，供需面仍占据市场主导。春节假期渐近，汽柴需求持续分化，预计短线西北地炼汽柴行情仍维持汽强柴弱局面。</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后市前瞻：国际原油期货保持高位震荡。以WTI为例，主流运行区间在52-55(均值53.5)美元/桶之间，环比上涨0.46美元/桶或0.87%。在消息面利好提振下，山东地区成品油行情有望保持坚挺，建议中下游商家可根据自身情况逐步分批备货，切忌一次性满仓。综上所述，预计下周山东地炼汽柴油价格稳中上涨，幅度在100元/吨左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3"/>
        <w:spacing w:before="120" w:after="120" w:line="240" w:lineRule="auto"/>
        <w:rPr>
          <w:rFonts w:ascii="宋体" w:hAnsi="宋体"/>
          <w:b/>
          <w:sz w:val="30"/>
          <w:szCs w:val="30"/>
        </w:rPr>
      </w:pPr>
      <w:bookmarkStart w:id="12" w:name="_Toc29026"/>
      <w:r>
        <w:rPr>
          <w:rFonts w:hint="eastAsia" w:ascii="宋体" w:hAnsi="宋体"/>
          <w:b/>
          <w:sz w:val="30"/>
          <w:szCs w:val="30"/>
        </w:rPr>
        <w:t>3.3 国内汽油价格周报</w:t>
      </w:r>
      <w:bookmarkEnd w:id="12"/>
    </w:p>
    <w:p>
      <w:pPr>
        <w:rPr>
          <w:rFonts w:hint="eastAsia"/>
        </w:rPr>
      </w:pPr>
      <w:r>
        <w:rPr>
          <w:rFonts w:hint="eastAsia"/>
        </w:rPr>
        <w:t>单位：元/吨</w:t>
      </w:r>
    </w:p>
    <w:p>
      <w:pPr>
        <w:rPr>
          <w:rFonts w:hint="eastAsia"/>
        </w:rPr>
      </w:pPr>
    </w:p>
    <w:tbl>
      <w:tblPr>
        <w:tblStyle w:val="24"/>
        <w:tblW w:w="9735" w:type="dxa"/>
        <w:tblInd w:w="0" w:type="dxa"/>
        <w:shd w:val="clear" w:color="auto" w:fill="auto"/>
        <w:tblLayout w:type="autofit"/>
        <w:tblCellMar>
          <w:top w:w="0" w:type="dxa"/>
          <w:left w:w="0" w:type="dxa"/>
          <w:bottom w:w="0" w:type="dxa"/>
          <w:right w:w="0" w:type="dxa"/>
        </w:tblCellMar>
      </w:tblPr>
      <w:tblGrid>
        <w:gridCol w:w="990"/>
        <w:gridCol w:w="1140"/>
        <w:gridCol w:w="1155"/>
        <w:gridCol w:w="1065"/>
        <w:gridCol w:w="885"/>
        <w:gridCol w:w="1080"/>
        <w:gridCol w:w="990"/>
        <w:gridCol w:w="1215"/>
        <w:gridCol w:w="1215"/>
      </w:tblGrid>
      <w:tr>
        <w:tblPrEx>
          <w:shd w:val="clear" w:color="auto" w:fill="auto"/>
          <w:tblCellMar>
            <w:top w:w="0" w:type="dxa"/>
            <w:left w:w="0" w:type="dxa"/>
            <w:bottom w:w="0" w:type="dxa"/>
            <w:right w:w="0" w:type="dxa"/>
          </w:tblCellMar>
        </w:tblPrEx>
        <w:trPr>
          <w:trHeight w:val="2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14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99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2021/1/21</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2021/1/14</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6490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6490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6330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6470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6280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6880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7055</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6030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6883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6620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bl>
    <w:p>
      <w:pPr>
        <w:rPr>
          <w:rFonts w:hint="eastAsia"/>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14588"/>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p>
      <w:pPr>
        <w:rPr>
          <w:rFonts w:hint="eastAsia"/>
          <w:lang w:val="en-US" w:eastAsia="zh-CN"/>
        </w:rPr>
      </w:pPr>
    </w:p>
    <w:tbl>
      <w:tblPr>
        <w:tblStyle w:val="24"/>
        <w:tblW w:w="10065" w:type="dxa"/>
        <w:tblInd w:w="0" w:type="dxa"/>
        <w:shd w:val="clear" w:color="auto" w:fill="auto"/>
        <w:tblLayout w:type="autofit"/>
        <w:tblCellMar>
          <w:top w:w="0" w:type="dxa"/>
          <w:left w:w="0" w:type="dxa"/>
          <w:bottom w:w="0" w:type="dxa"/>
          <w:right w:w="0" w:type="dxa"/>
        </w:tblCellMar>
      </w:tblPr>
      <w:tblGrid>
        <w:gridCol w:w="1245"/>
        <w:gridCol w:w="1110"/>
        <w:gridCol w:w="1275"/>
        <w:gridCol w:w="960"/>
        <w:gridCol w:w="795"/>
        <w:gridCol w:w="1080"/>
        <w:gridCol w:w="990"/>
        <w:gridCol w:w="1305"/>
        <w:gridCol w:w="1305"/>
      </w:tblGrid>
      <w:tr>
        <w:tblPrEx>
          <w:shd w:val="clear" w:color="auto" w:fill="auto"/>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1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2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99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3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2021/1/21</w:t>
            </w:r>
          </w:p>
        </w:tc>
        <w:tc>
          <w:tcPr>
            <w:tcW w:w="13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2021/1/14</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5180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5180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5580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5580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5630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5440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5720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6195</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6295</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商丘市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5580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商丘市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5380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5490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5590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4920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5380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5370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舟山市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6195</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6195</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6195</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5820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5605</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bl>
    <w:p>
      <w:pPr>
        <w:rPr>
          <w:rFonts w:hint="eastAsia" w:eastAsia="宋体"/>
          <w:lang w:val="en-US" w:eastAsia="zh-CN"/>
        </w:rPr>
      </w:pPr>
    </w:p>
    <w:p>
      <w:pPr>
        <w:pStyle w:val="3"/>
        <w:spacing w:before="120" w:after="120" w:line="240" w:lineRule="auto"/>
        <w:rPr>
          <w:rFonts w:hint="eastAsia" w:ascii="宋体" w:hAnsi="宋体"/>
          <w:b/>
          <w:sz w:val="30"/>
          <w:szCs w:val="30"/>
          <w:lang w:val="en-US" w:eastAsia="zh-CN"/>
        </w:rPr>
      </w:pPr>
      <w:bookmarkStart w:id="14" w:name="_Toc18935"/>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p>
      <w:pPr>
        <w:rPr>
          <w:rFonts w:hint="eastAsia"/>
          <w:lang w:val="en-US" w:eastAsia="zh-CN"/>
        </w:rPr>
      </w:pPr>
    </w:p>
    <w:tbl>
      <w:tblPr>
        <w:tblStyle w:val="24"/>
        <w:tblW w:w="9270" w:type="dxa"/>
        <w:tblInd w:w="0" w:type="dxa"/>
        <w:shd w:val="clear" w:color="auto" w:fill="auto"/>
        <w:tblLayout w:type="autofit"/>
        <w:tblCellMar>
          <w:top w:w="0" w:type="dxa"/>
          <w:left w:w="0" w:type="dxa"/>
          <w:bottom w:w="0" w:type="dxa"/>
          <w:right w:w="0" w:type="dxa"/>
        </w:tblCellMar>
      </w:tblPr>
      <w:tblGrid>
        <w:gridCol w:w="945"/>
        <w:gridCol w:w="1470"/>
        <w:gridCol w:w="977"/>
        <w:gridCol w:w="913"/>
        <w:gridCol w:w="1065"/>
        <w:gridCol w:w="1080"/>
        <w:gridCol w:w="1410"/>
        <w:gridCol w:w="1410"/>
      </w:tblGrid>
      <w:tr>
        <w:tblPrEx>
          <w:shd w:val="clear" w:color="auto" w:fill="auto"/>
          <w:tblCellMar>
            <w:top w:w="0" w:type="dxa"/>
            <w:left w:w="0" w:type="dxa"/>
            <w:bottom w:w="0" w:type="dxa"/>
            <w:right w:w="0"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977"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913"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2021/1/21</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2021/1/14</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垦利石化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东方华龙</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东方华龙</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5965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6075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6115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海科瑞林</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6012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6065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6148</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6312</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国四90#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国四93#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济南天蓝石油</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济南天蓝石油</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5278"/>
      <w:r>
        <w:rPr>
          <w:rFonts w:hint="eastAsia" w:ascii="宋体" w:hAnsi="宋体"/>
          <w:b/>
          <w:sz w:val="30"/>
          <w:szCs w:val="30"/>
          <w:lang w:val="en-US" w:eastAsia="zh-CN"/>
        </w:rPr>
        <w:t>3.6 山东地炼柴油出厂价格周报</w:t>
      </w:r>
      <w:bookmarkEnd w:id="15"/>
    </w:p>
    <w:p>
      <w:pPr>
        <w:rPr>
          <w:rFonts w:hint="eastAsia" w:ascii="宋体" w:hAnsi="宋体"/>
          <w:b/>
          <w:sz w:val="10"/>
          <w:szCs w:val="10"/>
          <w:lang w:val="en-US" w:eastAsia="zh-CN"/>
        </w:rPr>
      </w:pPr>
      <w:r>
        <w:rPr>
          <w:rFonts w:hint="eastAsia"/>
          <w:bCs/>
          <w:szCs w:val="21"/>
          <w:lang w:val="en-US" w:eastAsia="zh-CN"/>
        </w:rPr>
        <w:t>单位：元/吨</w:t>
      </w:r>
    </w:p>
    <w:p>
      <w:pPr>
        <w:rPr>
          <w:rFonts w:hint="eastAsia"/>
          <w:lang w:val="en-US" w:eastAsia="zh-CN"/>
        </w:rPr>
      </w:pPr>
    </w:p>
    <w:tbl>
      <w:tblPr>
        <w:tblStyle w:val="24"/>
        <w:tblW w:w="9930" w:type="dxa"/>
        <w:tblInd w:w="0" w:type="dxa"/>
        <w:shd w:val="clear" w:color="auto" w:fill="auto"/>
        <w:tblLayout w:type="autofit"/>
        <w:tblCellMar>
          <w:top w:w="0" w:type="dxa"/>
          <w:left w:w="0" w:type="dxa"/>
          <w:bottom w:w="0" w:type="dxa"/>
          <w:right w:w="0" w:type="dxa"/>
        </w:tblCellMar>
      </w:tblPr>
      <w:tblGrid>
        <w:gridCol w:w="675"/>
        <w:gridCol w:w="1875"/>
        <w:gridCol w:w="960"/>
        <w:gridCol w:w="1245"/>
        <w:gridCol w:w="1080"/>
        <w:gridCol w:w="1005"/>
        <w:gridCol w:w="1380"/>
        <w:gridCol w:w="1710"/>
      </w:tblGrid>
      <w:tr>
        <w:tblPrEx>
          <w:shd w:val="clear" w:color="auto" w:fill="auto"/>
          <w:tblCellMar>
            <w:top w:w="0" w:type="dxa"/>
            <w:left w:w="0" w:type="dxa"/>
            <w:bottom w:w="0" w:type="dxa"/>
            <w:right w:w="0"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9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2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2021/1/21</w:t>
            </w:r>
          </w:p>
        </w:tc>
        <w:tc>
          <w:tcPr>
            <w:tcW w:w="17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2021/1/14</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4890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4760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4760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垦利石化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4810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4995</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4975</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海科瑞林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4885</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4858</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4880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4780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4780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常压</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4740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亚通石化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鑫泰石化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海化石化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海化石化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p>
    <w:p>
      <w:pPr>
        <w:pStyle w:val="3"/>
        <w:spacing w:before="120" w:after="120" w:line="240" w:lineRule="auto"/>
        <w:rPr>
          <w:rFonts w:hint="eastAsia" w:ascii="宋体" w:hAnsi="宋体"/>
          <w:b/>
          <w:sz w:val="30"/>
          <w:szCs w:val="30"/>
          <w:lang w:val="en-US" w:eastAsia="zh-CN"/>
        </w:rPr>
      </w:pPr>
      <w:bookmarkStart w:id="16" w:name="_Toc23829"/>
      <w:r>
        <w:rPr>
          <w:rFonts w:hint="eastAsia" w:ascii="宋体" w:hAnsi="宋体"/>
          <w:b/>
          <w:sz w:val="30"/>
          <w:szCs w:val="30"/>
          <w:lang w:val="en-US" w:eastAsia="zh-CN"/>
        </w:rPr>
        <w:t>四、2020年11月份进出口统计数据</w:t>
      </w:r>
      <w:bookmarkEnd w:id="16"/>
    </w:p>
    <w:p>
      <w:pPr>
        <w:rPr>
          <w:rFonts w:hint="eastAsia"/>
        </w:rPr>
      </w:pPr>
    </w:p>
    <w:p>
      <w:pPr>
        <w:pStyle w:val="3"/>
        <w:spacing w:before="120" w:after="120" w:line="240" w:lineRule="auto"/>
        <w:rPr>
          <w:rFonts w:hint="eastAsia" w:ascii="宋体" w:hAnsi="宋体"/>
          <w:b/>
          <w:sz w:val="30"/>
          <w:szCs w:val="30"/>
        </w:rPr>
      </w:pPr>
      <w:bookmarkStart w:id="17" w:name="_Toc26331"/>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11</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bl>
      <w:tblPr>
        <w:tblStyle w:val="24"/>
        <w:tblW w:w="10380" w:type="dxa"/>
        <w:tblInd w:w="0" w:type="dxa"/>
        <w:shd w:val="clear" w:color="auto" w:fill="auto"/>
        <w:tblLayout w:type="autofit"/>
        <w:tblCellMar>
          <w:top w:w="0" w:type="dxa"/>
          <w:left w:w="0" w:type="dxa"/>
          <w:bottom w:w="0" w:type="dxa"/>
          <w:right w:w="0" w:type="dxa"/>
        </w:tblCellMar>
      </w:tblPr>
      <w:tblGrid>
        <w:gridCol w:w="1335"/>
        <w:gridCol w:w="3045"/>
        <w:gridCol w:w="1680"/>
        <w:gridCol w:w="1335"/>
        <w:gridCol w:w="1080"/>
        <w:gridCol w:w="1905"/>
      </w:tblGrid>
      <w:tr>
        <w:tblPrEx>
          <w:shd w:val="clear" w:color="auto" w:fill="auto"/>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商品编码</w:t>
            </w:r>
          </w:p>
        </w:tc>
        <w:tc>
          <w:tcPr>
            <w:tcW w:w="3045"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商品名称</w:t>
            </w:r>
          </w:p>
        </w:tc>
        <w:tc>
          <w:tcPr>
            <w:tcW w:w="1680"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出口目的地</w:t>
            </w:r>
          </w:p>
        </w:tc>
        <w:tc>
          <w:tcPr>
            <w:tcW w:w="1335"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数量</w:t>
            </w:r>
          </w:p>
        </w:tc>
        <w:tc>
          <w:tcPr>
            <w:tcW w:w="1080"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单位</w:t>
            </w:r>
          </w:p>
        </w:tc>
        <w:tc>
          <w:tcPr>
            <w:tcW w:w="1905"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出口金额美元</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巴基斯坦</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122367.707</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45640344</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菲律宾</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146907.7</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46427103</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韩国</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35000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14000000</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马来西亚</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194884.7</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74359070</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蒙古</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6194.3</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2531760</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缅甸</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6063.5</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2274514</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墨西哥</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35098.5</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12506058</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尼日利亚</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34596.4</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14184527</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新加坡</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600634</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213391094</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越南</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15604</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6814850</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中国澳门</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5941.9</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1663733</w:t>
            </w:r>
          </w:p>
        </w:tc>
      </w:tr>
    </w:tbl>
    <w:p>
      <w:pPr>
        <w:rPr>
          <w:rFonts w:hint="eastAsia"/>
        </w:rPr>
      </w:pPr>
    </w:p>
    <w:p>
      <w:pPr>
        <w:pStyle w:val="3"/>
        <w:spacing w:before="120" w:after="120" w:line="240" w:lineRule="auto"/>
        <w:rPr>
          <w:rFonts w:hint="eastAsia" w:ascii="宋体" w:hAnsi="宋体"/>
          <w:b/>
          <w:sz w:val="30"/>
          <w:szCs w:val="30"/>
        </w:rPr>
      </w:pPr>
      <w:bookmarkStart w:id="18" w:name="_Toc19129"/>
      <w:r>
        <w:rPr>
          <w:rFonts w:hint="eastAsia" w:ascii="宋体" w:hAnsi="宋体"/>
          <w:b/>
          <w:sz w:val="30"/>
          <w:szCs w:val="30"/>
        </w:rPr>
        <w:t>4.2 20</w:t>
      </w:r>
      <w:r>
        <w:rPr>
          <w:rFonts w:hint="eastAsia" w:ascii="宋体" w:hAnsi="宋体"/>
          <w:b/>
          <w:sz w:val="30"/>
          <w:szCs w:val="30"/>
          <w:lang w:val="en-US" w:eastAsia="zh-CN"/>
        </w:rPr>
        <w:t>20</w:t>
      </w:r>
      <w:r>
        <w:rPr>
          <w:rFonts w:hint="eastAsia" w:ascii="宋体" w:hAnsi="宋体"/>
          <w:b/>
          <w:sz w:val="30"/>
          <w:szCs w:val="30"/>
        </w:rPr>
        <w:t>年1</w:t>
      </w:r>
      <w:r>
        <w:rPr>
          <w:rFonts w:hint="eastAsia" w:ascii="宋体" w:hAnsi="宋体"/>
          <w:b/>
          <w:sz w:val="30"/>
          <w:szCs w:val="30"/>
          <w:lang w:val="en-US" w:eastAsia="zh-CN"/>
        </w:rPr>
        <w:t>1</w:t>
      </w:r>
      <w:r>
        <w:rPr>
          <w:rFonts w:hint="eastAsia" w:ascii="宋体" w:hAnsi="宋体"/>
          <w:b/>
          <w:sz w:val="30"/>
          <w:szCs w:val="30"/>
        </w:rPr>
        <w:t>月份全国柴油出口统计数据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10182" w:type="dxa"/>
        <w:tblInd w:w="0" w:type="dxa"/>
        <w:shd w:val="clear" w:color="auto" w:fill="auto"/>
        <w:tblLayout w:type="autofit"/>
        <w:tblCellMar>
          <w:top w:w="0" w:type="dxa"/>
          <w:left w:w="0" w:type="dxa"/>
          <w:bottom w:w="0" w:type="dxa"/>
          <w:right w:w="0" w:type="dxa"/>
        </w:tblCellMar>
      </w:tblPr>
      <w:tblGrid>
        <w:gridCol w:w="2187"/>
        <w:gridCol w:w="2625"/>
        <w:gridCol w:w="1380"/>
        <w:gridCol w:w="1770"/>
        <w:gridCol w:w="2220"/>
      </w:tblGrid>
      <w:tr>
        <w:tblPrEx>
          <w:shd w:val="clear" w:color="auto" w:fill="auto"/>
          <w:tblCellMar>
            <w:top w:w="0" w:type="dxa"/>
            <w:left w:w="0" w:type="dxa"/>
            <w:bottom w:w="0" w:type="dxa"/>
            <w:right w:w="0" w:type="dxa"/>
          </w:tblCellMar>
        </w:tblPrEx>
        <w:trPr>
          <w:trHeight w:val="560" w:hRule="atLeast"/>
        </w:trPr>
        <w:tc>
          <w:tcPr>
            <w:tcW w:w="2187"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bookmarkStart w:id="19" w:name="_Toc533771879"/>
            <w:r>
              <w:rPr>
                <w:rFonts w:hint="eastAsia" w:ascii="宋体" w:hAnsi="宋体" w:eastAsia="宋体" w:cs="宋体"/>
                <w:b/>
                <w:i w:val="0"/>
                <w:color w:val="000000"/>
                <w:kern w:val="0"/>
                <w:sz w:val="24"/>
                <w:szCs w:val="24"/>
                <w:u w:val="none"/>
                <w:lang w:val="en-US" w:eastAsia="zh-CN" w:bidi="ar"/>
              </w:rPr>
              <w:t>贸易伙伴名称</w:t>
            </w:r>
          </w:p>
        </w:tc>
        <w:tc>
          <w:tcPr>
            <w:tcW w:w="2625"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4"/>
                <w:szCs w:val="24"/>
                <w:u w:val="none"/>
              </w:rPr>
            </w:pPr>
            <w:r>
              <w:rPr>
                <w:rFonts w:hint="eastAsia" w:ascii="宋体" w:hAnsi="宋体" w:eastAsia="宋体" w:cs="宋体"/>
                <w:b/>
                <w:i w:val="0"/>
                <w:color w:val="2E363F"/>
                <w:kern w:val="0"/>
                <w:sz w:val="24"/>
                <w:szCs w:val="24"/>
                <w:u w:val="none"/>
                <w:lang w:val="en-US" w:eastAsia="zh-CN" w:bidi="ar"/>
              </w:rPr>
              <w:t>数量（吨）</w:t>
            </w:r>
          </w:p>
        </w:tc>
        <w:tc>
          <w:tcPr>
            <w:tcW w:w="1380"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4"/>
                <w:szCs w:val="24"/>
                <w:u w:val="none"/>
              </w:rPr>
            </w:pPr>
            <w:r>
              <w:rPr>
                <w:rFonts w:hint="eastAsia" w:ascii="宋体" w:hAnsi="宋体" w:eastAsia="宋体" w:cs="宋体"/>
                <w:b/>
                <w:i w:val="0"/>
                <w:color w:val="2E363F"/>
                <w:kern w:val="0"/>
                <w:sz w:val="24"/>
                <w:szCs w:val="24"/>
                <w:u w:val="none"/>
                <w:lang w:val="en-US" w:eastAsia="zh-CN" w:bidi="ar"/>
              </w:rPr>
              <w:t>所占比率</w:t>
            </w:r>
          </w:p>
        </w:tc>
        <w:tc>
          <w:tcPr>
            <w:tcW w:w="1770"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4"/>
                <w:szCs w:val="24"/>
                <w:u w:val="none"/>
              </w:rPr>
            </w:pPr>
            <w:r>
              <w:rPr>
                <w:rFonts w:hint="eastAsia" w:ascii="宋体" w:hAnsi="宋体" w:eastAsia="宋体" w:cs="宋体"/>
                <w:b/>
                <w:i w:val="0"/>
                <w:color w:val="2E363F"/>
                <w:kern w:val="0"/>
                <w:sz w:val="24"/>
                <w:szCs w:val="24"/>
                <w:u w:val="none"/>
                <w:lang w:val="en-US" w:eastAsia="zh-CN" w:bidi="ar"/>
              </w:rPr>
              <w:t>当月金额（元）</w:t>
            </w:r>
          </w:p>
        </w:tc>
        <w:tc>
          <w:tcPr>
            <w:tcW w:w="2220"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4"/>
                <w:szCs w:val="24"/>
                <w:u w:val="none"/>
              </w:rPr>
            </w:pPr>
            <w:r>
              <w:rPr>
                <w:rFonts w:hint="eastAsia" w:ascii="宋体" w:hAnsi="宋体" w:eastAsia="宋体" w:cs="宋体"/>
                <w:b/>
                <w:i w:val="0"/>
                <w:color w:val="2E363F"/>
                <w:kern w:val="0"/>
                <w:sz w:val="24"/>
                <w:szCs w:val="24"/>
                <w:u w:val="none"/>
                <w:lang w:val="en-US" w:eastAsia="zh-CN" w:bidi="ar"/>
              </w:rPr>
              <w:t>当月均价（元/吨）</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埃塞俄比亚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1385706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2771.41</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安提瓜和巴布达</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170085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2616.69</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澳大利亚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511757.9</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1129143671</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2206.4</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巴哈马</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871.61</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2393336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2745.89</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巴拿马</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14671.54</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38208916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2604.29</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百慕大</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74065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2468.83</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伯利兹</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55.44</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152370</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2748.23</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丹麦</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354657</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2848.65</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德国</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557</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1493304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2680.98</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多哥</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163349</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2969.98</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俄罗斯联邦</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323.99</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889676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2746.03</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菲律宾</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281264.18</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593034277</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2108.46</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韩国</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217119.52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482577567</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2222.64</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荷兰</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397</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1025882</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2584.09</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黑山</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83764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2792.13</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喀麦隆</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182996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3049.93</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开曼群岛</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139720</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2794.4</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利比里亚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6999.33</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20522887</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2932.12</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卢森堡</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18.77</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50134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2671.25</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马耳他</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2665.72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9623438</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3610.08</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马来西亚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39836.93</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84277612</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2115.57</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马绍尔群岛</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5644.08</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15684179</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2778.87</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毛里塔尼亚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657.61</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1712728</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2604.46</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孟加拉国</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168692.41</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360439596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2136.67</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缅甸</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17191.04</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41815804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2432.42</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挪威</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625.67</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1723483</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2754.62</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帕劳</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137755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2649.13</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葡萄牙</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233.5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1141402</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4888.23</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日本</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296</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1392969</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4705.98</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瑞士</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78.8</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234354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2974.22</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塞拉利昂</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66164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3308.2</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塞浦路斯</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1224.5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3411295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2785.87</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沙特阿拉伯</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479794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2665.52</w:t>
            </w:r>
          </w:p>
        </w:tc>
      </w:tr>
      <w:tr>
        <w:tblPrEx>
          <w:tblCellMar>
            <w:top w:w="0" w:type="dxa"/>
            <w:left w:w="0" w:type="dxa"/>
            <w:bottom w:w="0" w:type="dxa"/>
            <w:right w:w="0" w:type="dxa"/>
          </w:tblCellMar>
        </w:tblPrEx>
        <w:trPr>
          <w:trHeight w:val="49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圣其茨和尼维斯</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286900</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2441.7</w:t>
            </w:r>
          </w:p>
        </w:tc>
      </w:tr>
      <w:tr>
        <w:tblPrEx>
          <w:tblCellMar>
            <w:top w:w="0" w:type="dxa"/>
            <w:left w:w="0" w:type="dxa"/>
            <w:bottom w:w="0" w:type="dxa"/>
            <w:right w:w="0" w:type="dxa"/>
          </w:tblCellMar>
        </w:tblPrEx>
        <w:trPr>
          <w:trHeight w:val="49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圣文森特和格林纳丁斯</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249.8</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576051</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2306.05</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泰国</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130563</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2611.26</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图瓦卢</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574317</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2871.59</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希腊</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835.51</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2795036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3345.31</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新加坡</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161636.33</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347446436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2149.56</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牙买加</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19.65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56071</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2853.49</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印度尼西亚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24063</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58666575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2438.04</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英国</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640.22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1669893</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2608.32</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越南</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16821.89</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34747789</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2065.63</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智利</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77559.62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167610933</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2161.06</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中国澳门</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4555.75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9735610</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2136.99</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中国台湾</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455.62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1258785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2762.8</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中国香港</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361087.38</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820207403</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2271.49</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2625"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1920641.29</w:t>
            </w:r>
          </w:p>
        </w:tc>
        <w:tc>
          <w:tcPr>
            <w:tcW w:w="138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177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4239949297</w:t>
            </w:r>
          </w:p>
        </w:tc>
        <w:tc>
          <w:tcPr>
            <w:tcW w:w="222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2207.57</w:t>
            </w:r>
          </w:p>
        </w:tc>
      </w:tr>
    </w:tbl>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bookmarkStart w:id="20" w:name="_Toc23425"/>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11</w:t>
      </w:r>
      <w:r>
        <w:rPr>
          <w:rFonts w:hint="eastAsia" w:ascii="宋体" w:hAnsi="宋体"/>
          <w:b/>
          <w:sz w:val="30"/>
          <w:szCs w:val="30"/>
        </w:rPr>
        <w:t>月份全国原油进出口统计数据</w:t>
      </w:r>
      <w:bookmarkEnd w:id="20"/>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672" w:type="dxa"/>
        <w:jc w:val="center"/>
        <w:tblLayout w:type="fixed"/>
        <w:tblCellMar>
          <w:top w:w="0" w:type="dxa"/>
          <w:left w:w="108" w:type="dxa"/>
          <w:bottom w:w="0" w:type="dxa"/>
          <w:right w:w="108" w:type="dxa"/>
        </w:tblCellMar>
      </w:tblPr>
      <w:tblGrid>
        <w:gridCol w:w="704"/>
        <w:gridCol w:w="2083"/>
        <w:gridCol w:w="1650"/>
        <w:gridCol w:w="1742"/>
        <w:gridCol w:w="1843"/>
        <w:gridCol w:w="1650"/>
      </w:tblGrid>
      <w:tr>
        <w:tblPrEx>
          <w:tblCellMar>
            <w:top w:w="0" w:type="dxa"/>
            <w:left w:w="108" w:type="dxa"/>
            <w:bottom w:w="0" w:type="dxa"/>
            <w:right w:w="108" w:type="dxa"/>
          </w:tblCellMar>
        </w:tblPrEx>
        <w:trPr>
          <w:trHeight w:val="1230" w:hRule="atLeast"/>
          <w:jc w:val="center"/>
        </w:trPr>
        <w:tc>
          <w:tcPr>
            <w:tcW w:w="704" w:type="dxa"/>
            <w:tcBorders>
              <w:top w:val="single" w:color="333333" w:sz="8" w:space="0"/>
              <w:left w:val="nil"/>
              <w:bottom w:val="nil"/>
              <w:right w:val="single" w:color="333333" w:sz="8" w:space="0"/>
            </w:tcBorders>
            <w:shd w:val="clear" w:color="000000" w:fill="0070C0"/>
            <w:noWrap w:val="0"/>
            <w:vAlign w:val="bottom"/>
          </w:tcPr>
          <w:p>
            <w:pPr>
              <w:widowControl/>
              <w:jc w:val="center"/>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商品</w:t>
            </w:r>
          </w:p>
        </w:tc>
        <w:tc>
          <w:tcPr>
            <w:tcW w:w="2083"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国家</w:t>
            </w:r>
          </w:p>
        </w:tc>
        <w:tc>
          <w:tcPr>
            <w:tcW w:w="1650"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进口数量</w:t>
            </w:r>
          </w:p>
        </w:tc>
        <w:tc>
          <w:tcPr>
            <w:tcW w:w="1742"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计量单位</w:t>
            </w:r>
          </w:p>
        </w:tc>
        <w:tc>
          <w:tcPr>
            <w:tcW w:w="1843"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美元</w:t>
            </w:r>
          </w:p>
        </w:tc>
        <w:tc>
          <w:tcPr>
            <w:tcW w:w="1650"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均价</w:t>
            </w:r>
          </w:p>
        </w:tc>
      </w:tr>
      <w:tr>
        <w:tblPrEx>
          <w:tblCellMar>
            <w:top w:w="0" w:type="dxa"/>
            <w:left w:w="108" w:type="dxa"/>
            <w:bottom w:w="0" w:type="dxa"/>
            <w:right w:w="108" w:type="dxa"/>
          </w:tblCellMar>
        </w:tblPrEx>
        <w:trPr>
          <w:trHeight w:val="825" w:hRule="atLeast"/>
          <w:jc w:val="center"/>
        </w:trPr>
        <w:tc>
          <w:tcPr>
            <w:tcW w:w="70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石油原油及从沥青矿物提取的原油</w:t>
            </w: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沙特阿拉伯</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8480745.3</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2628753986</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309.96733</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俄罗斯联邦</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6104824.448</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1786501629</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292.63767</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阿曼</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5101940.266</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1546264915</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303.0739</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伊拉克</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5097728.808</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1535461550</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301.20503</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美国</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3611666.849</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1167711929</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323.31662</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安哥拉</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3421003.201</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1019309829</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297.95641</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巴西</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3104373.6</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934152362</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300.91493</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阿联酋</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2619502.795</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776414193</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296.39754</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科威特</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1989754.874</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602855906</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302.97999</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马来西亚</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1359947.316</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365340998</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268.64349</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刚果(布)</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861269.418</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254053448</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294.97558</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卡塔尔</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624919.973</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204569436</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327.35301</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赤道几内亚</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408669.88</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127566832</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312.15129</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哥伦比亚</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337761.949</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97820981</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289.61516</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挪威</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314061.367</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87941888</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280.01498</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厄瓜多尔</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278372.684</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71724964</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257.65805</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伊朗</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259699.948</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77513253</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298.47235</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加蓬</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251125.696</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76645313</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305.20697</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喀麦隆</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135183.47</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41981306</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310.55059</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乍得</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132036.501</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40744617</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308.58601</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加纳</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125814.27</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40177442</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319.33931</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刚果(金)</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124245.729</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39217976</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315.64848</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越南</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102446.857</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33906627</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330.96796</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埃及</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100325.042</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23057600</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229.82896</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加拿大</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82147.471</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22482714</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273.68723</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蒙古</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78618.01</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16135772</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205.24269</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也门</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64905.334</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20842274</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321.11805</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印度尼西亚</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47490.67</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15208996</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320.25229</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尼日利亚</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47395.609</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16759473</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353.60814</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哈萨克斯坦</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41619.476</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10545461</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253.37803</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泰国</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32602.591</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10242379</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314.15844</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阿塞拜疆</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13909.516</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5360898</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385.41226</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阿尔巴尼亚</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0.003</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88</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29333.333</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总计</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45356108.92</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13697267035</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301.99387</w:t>
            </w:r>
          </w:p>
        </w:tc>
      </w:tr>
    </w:tbl>
    <w:p>
      <w:pPr>
        <w:keepNext w:val="0"/>
        <w:keepLines w:val="0"/>
        <w:widowControl/>
        <w:suppressLineNumbers w:val="0"/>
        <w:jc w:val="center"/>
        <w:textAlignment w:val="center"/>
        <w:rPr>
          <w:rFonts w:hint="eastAsia"/>
          <w:bCs/>
          <w:szCs w:val="21"/>
        </w:rPr>
      </w:pPr>
    </w:p>
    <w:p>
      <w:pPr>
        <w:jc w:val="center"/>
        <w:rPr>
          <w:rFonts w:hint="eastAsia"/>
          <w:bCs/>
          <w:szCs w:val="21"/>
        </w:rPr>
      </w:pPr>
    </w:p>
    <w:p>
      <w:pPr>
        <w:pStyle w:val="3"/>
        <w:spacing w:before="120" w:after="120" w:line="240" w:lineRule="auto"/>
        <w:rPr>
          <w:rFonts w:hint="eastAsia" w:ascii="宋体" w:hAnsi="宋体"/>
          <w:b/>
          <w:sz w:val="30"/>
          <w:szCs w:val="30"/>
        </w:rPr>
      </w:pPr>
      <w:bookmarkStart w:id="21" w:name="_Toc29747"/>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11</w:t>
      </w:r>
      <w:r>
        <w:rPr>
          <w:rFonts w:hint="eastAsia" w:ascii="宋体" w:hAnsi="宋体"/>
          <w:b/>
          <w:sz w:val="30"/>
          <w:szCs w:val="30"/>
        </w:rPr>
        <w:t>月份航空煤油进出口统计数据</w:t>
      </w:r>
      <w:bookmarkEnd w:id="21"/>
    </w:p>
    <w:p>
      <w:pPr>
        <w:ind w:firstLine="420" w:firstLineChars="200"/>
        <w:jc w:val="left"/>
        <w:rPr>
          <w:rFonts w:hint="eastAsia" w:ascii="宋体" w:hAnsi="宋体"/>
          <w:b/>
          <w:sz w:val="30"/>
          <w:szCs w:val="30"/>
        </w:rPr>
      </w:pPr>
      <w:r>
        <w:rPr>
          <w:rFonts w:hint="eastAsia" w:ascii="宋体" w:hAnsi="宋体"/>
        </w:rPr>
        <w:t>单位：</w:t>
      </w:r>
      <w:r>
        <w:rPr>
          <w:rFonts w:hint="eastAsia" w:ascii="宋体" w:hAnsi="宋体"/>
          <w:lang w:eastAsia="zh-CN"/>
        </w:rPr>
        <w:t>吨</w:t>
      </w:r>
      <w:r>
        <w:rPr>
          <w:rFonts w:hint="eastAsia" w:ascii="宋体" w:hAnsi="宋体"/>
        </w:rPr>
        <w:t>，美元</w:t>
      </w:r>
    </w:p>
    <w:bookmarkEnd w:id="19"/>
    <w:tbl>
      <w:tblPr>
        <w:tblStyle w:val="24"/>
        <w:tblW w:w="10140" w:type="dxa"/>
        <w:tblInd w:w="0" w:type="dxa"/>
        <w:shd w:val="clear" w:color="auto" w:fill="auto"/>
        <w:tblLayout w:type="autofit"/>
        <w:tblCellMar>
          <w:top w:w="0" w:type="dxa"/>
          <w:left w:w="0" w:type="dxa"/>
          <w:bottom w:w="0" w:type="dxa"/>
          <w:right w:w="0" w:type="dxa"/>
        </w:tblCellMar>
      </w:tblPr>
      <w:tblGrid>
        <w:gridCol w:w="5235"/>
        <w:gridCol w:w="4905"/>
      </w:tblGrid>
      <w:tr>
        <w:tblPrEx>
          <w:shd w:val="clear" w:color="auto" w:fill="auto"/>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进口</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出口</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11月进口量:97096.47（吨）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11月出口量:462079.93（吨）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累计进口量:2132729.645 (吨）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累计出口量:9542978.694（吨）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当月进口均价:2251.67（元/吨）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当月出口均价:2538.59（元/吨）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累计进口均价：2215.666（元/吨）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累计出口均价:2891.12（元/吨）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进口量环比:390.68%</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出口量环比：5.67%</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进口量同比：-63.41%</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出口量同比：-71.55%</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累计进口量比去年同期：-19.29%</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累计出口量比去年同期：-32.22%</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DD852283"/>
    <w:multiLevelType w:val="singleLevel"/>
    <w:tmpl w:val="DD852283"/>
    <w:lvl w:ilvl="0" w:tentative="0">
      <w:start w:val="2"/>
      <w:numFmt w:val="chineseCounting"/>
      <w:suff w:val="nothing"/>
      <w:lvlText w:val="%1、"/>
      <w:lvlJc w:val="left"/>
      <w:rPr>
        <w:rFonts w:hint="eastAsia"/>
      </w:rPr>
    </w:lvl>
  </w:abstractNum>
  <w:abstractNum w:abstractNumId="2">
    <w:nsid w:val="4079CC3D"/>
    <w:multiLevelType w:val="singleLevel"/>
    <w:tmpl w:val="4079CC3D"/>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533173"/>
    <w:rsid w:val="0174199B"/>
    <w:rsid w:val="018C042F"/>
    <w:rsid w:val="019139BB"/>
    <w:rsid w:val="01A95B6A"/>
    <w:rsid w:val="01BD1D63"/>
    <w:rsid w:val="01ED4894"/>
    <w:rsid w:val="01F27845"/>
    <w:rsid w:val="01FE2CFE"/>
    <w:rsid w:val="02353D60"/>
    <w:rsid w:val="02526173"/>
    <w:rsid w:val="029A6142"/>
    <w:rsid w:val="029A6633"/>
    <w:rsid w:val="029F2908"/>
    <w:rsid w:val="02AC60AA"/>
    <w:rsid w:val="02B87E06"/>
    <w:rsid w:val="02CD4EB7"/>
    <w:rsid w:val="02D71373"/>
    <w:rsid w:val="02D85611"/>
    <w:rsid w:val="02E90170"/>
    <w:rsid w:val="02FE589D"/>
    <w:rsid w:val="031824AB"/>
    <w:rsid w:val="031B1C80"/>
    <w:rsid w:val="03211A1D"/>
    <w:rsid w:val="0324523D"/>
    <w:rsid w:val="03331E75"/>
    <w:rsid w:val="034407FB"/>
    <w:rsid w:val="034F6246"/>
    <w:rsid w:val="03562125"/>
    <w:rsid w:val="035F2635"/>
    <w:rsid w:val="036D5E24"/>
    <w:rsid w:val="037413B6"/>
    <w:rsid w:val="03A57F11"/>
    <w:rsid w:val="03C71B14"/>
    <w:rsid w:val="03C968EE"/>
    <w:rsid w:val="03EC30D3"/>
    <w:rsid w:val="040707FC"/>
    <w:rsid w:val="042972F1"/>
    <w:rsid w:val="042B4FB5"/>
    <w:rsid w:val="04331F6D"/>
    <w:rsid w:val="044D6C9D"/>
    <w:rsid w:val="044E5434"/>
    <w:rsid w:val="045E1E00"/>
    <w:rsid w:val="04684ED7"/>
    <w:rsid w:val="048101D3"/>
    <w:rsid w:val="048C7CAA"/>
    <w:rsid w:val="04987F00"/>
    <w:rsid w:val="04A45D71"/>
    <w:rsid w:val="04B04E89"/>
    <w:rsid w:val="04BF7371"/>
    <w:rsid w:val="04C829A7"/>
    <w:rsid w:val="04E22C17"/>
    <w:rsid w:val="04EE66C3"/>
    <w:rsid w:val="04F36106"/>
    <w:rsid w:val="04F4133B"/>
    <w:rsid w:val="05021B01"/>
    <w:rsid w:val="051E18E1"/>
    <w:rsid w:val="05292B71"/>
    <w:rsid w:val="052C0D66"/>
    <w:rsid w:val="052F18F0"/>
    <w:rsid w:val="05314FD7"/>
    <w:rsid w:val="0538191C"/>
    <w:rsid w:val="053B1A3D"/>
    <w:rsid w:val="05500555"/>
    <w:rsid w:val="0558720E"/>
    <w:rsid w:val="057F2A2A"/>
    <w:rsid w:val="05894C8A"/>
    <w:rsid w:val="05920A6B"/>
    <w:rsid w:val="05993019"/>
    <w:rsid w:val="05A63D05"/>
    <w:rsid w:val="05AA3E69"/>
    <w:rsid w:val="05C01E8E"/>
    <w:rsid w:val="05D0127E"/>
    <w:rsid w:val="05D708A6"/>
    <w:rsid w:val="06002DF6"/>
    <w:rsid w:val="06153E6E"/>
    <w:rsid w:val="0618444D"/>
    <w:rsid w:val="06254A25"/>
    <w:rsid w:val="062A6CB4"/>
    <w:rsid w:val="06300679"/>
    <w:rsid w:val="063E0E8C"/>
    <w:rsid w:val="06471306"/>
    <w:rsid w:val="06762765"/>
    <w:rsid w:val="067746D4"/>
    <w:rsid w:val="067D4056"/>
    <w:rsid w:val="069C6A8D"/>
    <w:rsid w:val="069D265D"/>
    <w:rsid w:val="06B474E1"/>
    <w:rsid w:val="06B9287B"/>
    <w:rsid w:val="06DA3028"/>
    <w:rsid w:val="06E3294D"/>
    <w:rsid w:val="06F31CB3"/>
    <w:rsid w:val="06F93008"/>
    <w:rsid w:val="0718687A"/>
    <w:rsid w:val="071A60E7"/>
    <w:rsid w:val="071C4EDC"/>
    <w:rsid w:val="07243E5A"/>
    <w:rsid w:val="07252677"/>
    <w:rsid w:val="07272AF3"/>
    <w:rsid w:val="0759111C"/>
    <w:rsid w:val="07594F06"/>
    <w:rsid w:val="076C6634"/>
    <w:rsid w:val="07743510"/>
    <w:rsid w:val="07820AB4"/>
    <w:rsid w:val="07906BB7"/>
    <w:rsid w:val="079B346A"/>
    <w:rsid w:val="079D7717"/>
    <w:rsid w:val="07B872E0"/>
    <w:rsid w:val="07CC2D78"/>
    <w:rsid w:val="07CC4016"/>
    <w:rsid w:val="07D15C8A"/>
    <w:rsid w:val="07E05AA3"/>
    <w:rsid w:val="07E76A1F"/>
    <w:rsid w:val="07F17792"/>
    <w:rsid w:val="080158C0"/>
    <w:rsid w:val="0809715C"/>
    <w:rsid w:val="080A4814"/>
    <w:rsid w:val="0820276D"/>
    <w:rsid w:val="082F1BCD"/>
    <w:rsid w:val="08573B5A"/>
    <w:rsid w:val="086F6B65"/>
    <w:rsid w:val="08A4401C"/>
    <w:rsid w:val="08A55AD2"/>
    <w:rsid w:val="08CD17C0"/>
    <w:rsid w:val="08E21688"/>
    <w:rsid w:val="0918731F"/>
    <w:rsid w:val="091D1431"/>
    <w:rsid w:val="09223CDC"/>
    <w:rsid w:val="09371EEF"/>
    <w:rsid w:val="093F6B95"/>
    <w:rsid w:val="09524755"/>
    <w:rsid w:val="095B63CA"/>
    <w:rsid w:val="09701692"/>
    <w:rsid w:val="09717916"/>
    <w:rsid w:val="09816B1A"/>
    <w:rsid w:val="098251C0"/>
    <w:rsid w:val="0984738F"/>
    <w:rsid w:val="09853CE2"/>
    <w:rsid w:val="098C4592"/>
    <w:rsid w:val="098C467A"/>
    <w:rsid w:val="09915D75"/>
    <w:rsid w:val="0996332C"/>
    <w:rsid w:val="09BE1AF4"/>
    <w:rsid w:val="09E0028A"/>
    <w:rsid w:val="09E31010"/>
    <w:rsid w:val="09ED009F"/>
    <w:rsid w:val="09F11ACB"/>
    <w:rsid w:val="09FB6243"/>
    <w:rsid w:val="0A047BEC"/>
    <w:rsid w:val="0A06506B"/>
    <w:rsid w:val="0A0A6618"/>
    <w:rsid w:val="0A207C84"/>
    <w:rsid w:val="0A29795D"/>
    <w:rsid w:val="0A2A7E86"/>
    <w:rsid w:val="0A2D68BE"/>
    <w:rsid w:val="0A3C22BA"/>
    <w:rsid w:val="0A3D34F3"/>
    <w:rsid w:val="0A3F54A5"/>
    <w:rsid w:val="0A557C07"/>
    <w:rsid w:val="0A5B4AF5"/>
    <w:rsid w:val="0A75433E"/>
    <w:rsid w:val="0A796F7C"/>
    <w:rsid w:val="0A7B7455"/>
    <w:rsid w:val="0A951C4F"/>
    <w:rsid w:val="0AA33DAF"/>
    <w:rsid w:val="0AB608CB"/>
    <w:rsid w:val="0AC60296"/>
    <w:rsid w:val="0AD32487"/>
    <w:rsid w:val="0AD50553"/>
    <w:rsid w:val="0ADB26A0"/>
    <w:rsid w:val="0AE31AD5"/>
    <w:rsid w:val="0B017D09"/>
    <w:rsid w:val="0B0715B1"/>
    <w:rsid w:val="0B0F0B26"/>
    <w:rsid w:val="0B2C39A7"/>
    <w:rsid w:val="0B400CB2"/>
    <w:rsid w:val="0B421176"/>
    <w:rsid w:val="0B4B49C1"/>
    <w:rsid w:val="0B721C38"/>
    <w:rsid w:val="0B860805"/>
    <w:rsid w:val="0B945C54"/>
    <w:rsid w:val="0BB16187"/>
    <w:rsid w:val="0BCB6AF2"/>
    <w:rsid w:val="0BCE6861"/>
    <w:rsid w:val="0BDC4FBC"/>
    <w:rsid w:val="0BDF0A5F"/>
    <w:rsid w:val="0C08318F"/>
    <w:rsid w:val="0C1E7ABD"/>
    <w:rsid w:val="0C206584"/>
    <w:rsid w:val="0C2444B3"/>
    <w:rsid w:val="0C270CC3"/>
    <w:rsid w:val="0C3E0441"/>
    <w:rsid w:val="0C586B50"/>
    <w:rsid w:val="0C586E44"/>
    <w:rsid w:val="0C7F402D"/>
    <w:rsid w:val="0C822A19"/>
    <w:rsid w:val="0C930A24"/>
    <w:rsid w:val="0C9F5640"/>
    <w:rsid w:val="0CAA3B04"/>
    <w:rsid w:val="0CB81916"/>
    <w:rsid w:val="0CD123E3"/>
    <w:rsid w:val="0CE32FB8"/>
    <w:rsid w:val="0CE44838"/>
    <w:rsid w:val="0D206C21"/>
    <w:rsid w:val="0D731CA1"/>
    <w:rsid w:val="0D775B07"/>
    <w:rsid w:val="0D8323A4"/>
    <w:rsid w:val="0D893BAC"/>
    <w:rsid w:val="0D952410"/>
    <w:rsid w:val="0D9F3354"/>
    <w:rsid w:val="0DA370DA"/>
    <w:rsid w:val="0DA7099A"/>
    <w:rsid w:val="0DB01CE1"/>
    <w:rsid w:val="0DBA1705"/>
    <w:rsid w:val="0DC46B30"/>
    <w:rsid w:val="0DC9706D"/>
    <w:rsid w:val="0DD115AA"/>
    <w:rsid w:val="0DD27705"/>
    <w:rsid w:val="0DEA06F6"/>
    <w:rsid w:val="0DEA1ECA"/>
    <w:rsid w:val="0E01030B"/>
    <w:rsid w:val="0E04318C"/>
    <w:rsid w:val="0E274301"/>
    <w:rsid w:val="0E31785B"/>
    <w:rsid w:val="0E357D47"/>
    <w:rsid w:val="0E5C0982"/>
    <w:rsid w:val="0E730195"/>
    <w:rsid w:val="0E7675E6"/>
    <w:rsid w:val="0E803657"/>
    <w:rsid w:val="0E8B35C9"/>
    <w:rsid w:val="0E9742FB"/>
    <w:rsid w:val="0E9E354A"/>
    <w:rsid w:val="0EAF107B"/>
    <w:rsid w:val="0EB4347F"/>
    <w:rsid w:val="0EBE27AA"/>
    <w:rsid w:val="0EC1627E"/>
    <w:rsid w:val="0ED36950"/>
    <w:rsid w:val="0EED0FC5"/>
    <w:rsid w:val="0EF07619"/>
    <w:rsid w:val="0EF248CA"/>
    <w:rsid w:val="0EFB4176"/>
    <w:rsid w:val="0F034AA6"/>
    <w:rsid w:val="0F08360E"/>
    <w:rsid w:val="0F125E7D"/>
    <w:rsid w:val="0F1F0D30"/>
    <w:rsid w:val="0F26373F"/>
    <w:rsid w:val="0F446A41"/>
    <w:rsid w:val="0F4A18F4"/>
    <w:rsid w:val="0F5808CC"/>
    <w:rsid w:val="0F666559"/>
    <w:rsid w:val="0F6B3E79"/>
    <w:rsid w:val="0F790BDF"/>
    <w:rsid w:val="0F7D42FE"/>
    <w:rsid w:val="0F820E85"/>
    <w:rsid w:val="0F8A41FA"/>
    <w:rsid w:val="0F962DED"/>
    <w:rsid w:val="0F9B4E2A"/>
    <w:rsid w:val="0FA45D17"/>
    <w:rsid w:val="0FB045CC"/>
    <w:rsid w:val="0FC910AB"/>
    <w:rsid w:val="0FCA36AC"/>
    <w:rsid w:val="0FD23F99"/>
    <w:rsid w:val="0FE34C1B"/>
    <w:rsid w:val="0FE35E2C"/>
    <w:rsid w:val="0FEF79AA"/>
    <w:rsid w:val="101B677C"/>
    <w:rsid w:val="101C7D06"/>
    <w:rsid w:val="1024515A"/>
    <w:rsid w:val="1046198D"/>
    <w:rsid w:val="105F3A71"/>
    <w:rsid w:val="106D475B"/>
    <w:rsid w:val="108C4660"/>
    <w:rsid w:val="10BA0A0E"/>
    <w:rsid w:val="10CE39DE"/>
    <w:rsid w:val="10FA6B68"/>
    <w:rsid w:val="10FF5E5F"/>
    <w:rsid w:val="11190B98"/>
    <w:rsid w:val="11247901"/>
    <w:rsid w:val="11365062"/>
    <w:rsid w:val="11422692"/>
    <w:rsid w:val="11590029"/>
    <w:rsid w:val="117F7F48"/>
    <w:rsid w:val="11F843DE"/>
    <w:rsid w:val="121446A8"/>
    <w:rsid w:val="12320E5B"/>
    <w:rsid w:val="124E5846"/>
    <w:rsid w:val="1265739D"/>
    <w:rsid w:val="12662947"/>
    <w:rsid w:val="127E2138"/>
    <w:rsid w:val="12BE2ADE"/>
    <w:rsid w:val="12D8263D"/>
    <w:rsid w:val="13086577"/>
    <w:rsid w:val="130B16E4"/>
    <w:rsid w:val="13267B35"/>
    <w:rsid w:val="134A6D86"/>
    <w:rsid w:val="13594CF7"/>
    <w:rsid w:val="135A728A"/>
    <w:rsid w:val="1367698A"/>
    <w:rsid w:val="13772D89"/>
    <w:rsid w:val="138744BB"/>
    <w:rsid w:val="13AA18EC"/>
    <w:rsid w:val="13B45FC3"/>
    <w:rsid w:val="13C924DB"/>
    <w:rsid w:val="13DB164D"/>
    <w:rsid w:val="13E7373B"/>
    <w:rsid w:val="13F712B9"/>
    <w:rsid w:val="13FE142E"/>
    <w:rsid w:val="14176463"/>
    <w:rsid w:val="144B6D3F"/>
    <w:rsid w:val="14522844"/>
    <w:rsid w:val="14546EAA"/>
    <w:rsid w:val="147759A4"/>
    <w:rsid w:val="147A75E5"/>
    <w:rsid w:val="149C7CF0"/>
    <w:rsid w:val="14BC21CE"/>
    <w:rsid w:val="14BE2339"/>
    <w:rsid w:val="14BF4DCE"/>
    <w:rsid w:val="14CD3607"/>
    <w:rsid w:val="14D14395"/>
    <w:rsid w:val="14D56BF6"/>
    <w:rsid w:val="14E36C24"/>
    <w:rsid w:val="14F32D76"/>
    <w:rsid w:val="14F5216B"/>
    <w:rsid w:val="14FE7778"/>
    <w:rsid w:val="15060A70"/>
    <w:rsid w:val="151A00D9"/>
    <w:rsid w:val="151B73F8"/>
    <w:rsid w:val="15211EFF"/>
    <w:rsid w:val="15353F74"/>
    <w:rsid w:val="153A274D"/>
    <w:rsid w:val="154B5C10"/>
    <w:rsid w:val="154F205D"/>
    <w:rsid w:val="15615E0F"/>
    <w:rsid w:val="156D2843"/>
    <w:rsid w:val="15701AB8"/>
    <w:rsid w:val="15786279"/>
    <w:rsid w:val="15892652"/>
    <w:rsid w:val="159001BC"/>
    <w:rsid w:val="15AA23F1"/>
    <w:rsid w:val="15B1437C"/>
    <w:rsid w:val="15B939D5"/>
    <w:rsid w:val="15D83B2E"/>
    <w:rsid w:val="15DD70EA"/>
    <w:rsid w:val="15E11AB3"/>
    <w:rsid w:val="15E25134"/>
    <w:rsid w:val="15E8785D"/>
    <w:rsid w:val="16113EF1"/>
    <w:rsid w:val="16116F4B"/>
    <w:rsid w:val="161D05B7"/>
    <w:rsid w:val="162E280E"/>
    <w:rsid w:val="164206BE"/>
    <w:rsid w:val="16446BD7"/>
    <w:rsid w:val="16600954"/>
    <w:rsid w:val="16734EEE"/>
    <w:rsid w:val="1691331C"/>
    <w:rsid w:val="16B0271F"/>
    <w:rsid w:val="16D82413"/>
    <w:rsid w:val="16DC7206"/>
    <w:rsid w:val="16E22B33"/>
    <w:rsid w:val="16EF1899"/>
    <w:rsid w:val="16F85570"/>
    <w:rsid w:val="16FA58EE"/>
    <w:rsid w:val="17116BE2"/>
    <w:rsid w:val="17194D7A"/>
    <w:rsid w:val="172078E9"/>
    <w:rsid w:val="172D12A6"/>
    <w:rsid w:val="173C1948"/>
    <w:rsid w:val="17464B66"/>
    <w:rsid w:val="175B5D81"/>
    <w:rsid w:val="17652D76"/>
    <w:rsid w:val="177742FF"/>
    <w:rsid w:val="177778D5"/>
    <w:rsid w:val="177C4324"/>
    <w:rsid w:val="179E41EC"/>
    <w:rsid w:val="17BD7A6D"/>
    <w:rsid w:val="17FE3268"/>
    <w:rsid w:val="18296936"/>
    <w:rsid w:val="182A5943"/>
    <w:rsid w:val="186022DC"/>
    <w:rsid w:val="186453BA"/>
    <w:rsid w:val="18704C74"/>
    <w:rsid w:val="187F1331"/>
    <w:rsid w:val="18AD026B"/>
    <w:rsid w:val="18B70A2B"/>
    <w:rsid w:val="18CA2202"/>
    <w:rsid w:val="18CA4E8D"/>
    <w:rsid w:val="18FC46F8"/>
    <w:rsid w:val="190E26FF"/>
    <w:rsid w:val="191B1724"/>
    <w:rsid w:val="19254E9B"/>
    <w:rsid w:val="19383C89"/>
    <w:rsid w:val="194573ED"/>
    <w:rsid w:val="195D29F2"/>
    <w:rsid w:val="196465FF"/>
    <w:rsid w:val="196B6E10"/>
    <w:rsid w:val="198154A5"/>
    <w:rsid w:val="19850C75"/>
    <w:rsid w:val="19856830"/>
    <w:rsid w:val="198A3D94"/>
    <w:rsid w:val="198F27F8"/>
    <w:rsid w:val="199C5ECD"/>
    <w:rsid w:val="19B1121F"/>
    <w:rsid w:val="19E14ABD"/>
    <w:rsid w:val="19F07148"/>
    <w:rsid w:val="1A031971"/>
    <w:rsid w:val="1A051BC1"/>
    <w:rsid w:val="1A110D84"/>
    <w:rsid w:val="1A2B0F11"/>
    <w:rsid w:val="1A2C43DF"/>
    <w:rsid w:val="1A372CD4"/>
    <w:rsid w:val="1A555BDB"/>
    <w:rsid w:val="1A660755"/>
    <w:rsid w:val="1A703BC4"/>
    <w:rsid w:val="1A7262E8"/>
    <w:rsid w:val="1A882B3D"/>
    <w:rsid w:val="1A964171"/>
    <w:rsid w:val="1AB162F9"/>
    <w:rsid w:val="1ABE2D20"/>
    <w:rsid w:val="1ACC4B7F"/>
    <w:rsid w:val="1AD34CD1"/>
    <w:rsid w:val="1AD417D6"/>
    <w:rsid w:val="1AE72378"/>
    <w:rsid w:val="1AE7665A"/>
    <w:rsid w:val="1AF74A59"/>
    <w:rsid w:val="1B111CB0"/>
    <w:rsid w:val="1B393D9E"/>
    <w:rsid w:val="1B3F0566"/>
    <w:rsid w:val="1B5A0EC6"/>
    <w:rsid w:val="1B5C3BD7"/>
    <w:rsid w:val="1B5F0C8F"/>
    <w:rsid w:val="1B743284"/>
    <w:rsid w:val="1B816F9A"/>
    <w:rsid w:val="1B8175D6"/>
    <w:rsid w:val="1B9C1B61"/>
    <w:rsid w:val="1BB46A20"/>
    <w:rsid w:val="1BBD6973"/>
    <w:rsid w:val="1BE24098"/>
    <w:rsid w:val="1BE81B85"/>
    <w:rsid w:val="1BFE2971"/>
    <w:rsid w:val="1C01336C"/>
    <w:rsid w:val="1C021382"/>
    <w:rsid w:val="1C081DD0"/>
    <w:rsid w:val="1C1669BA"/>
    <w:rsid w:val="1C1C3102"/>
    <w:rsid w:val="1C2230E8"/>
    <w:rsid w:val="1C251540"/>
    <w:rsid w:val="1C2E2C8D"/>
    <w:rsid w:val="1C6C7614"/>
    <w:rsid w:val="1CB31F52"/>
    <w:rsid w:val="1CC609D9"/>
    <w:rsid w:val="1CDC7753"/>
    <w:rsid w:val="1CE6684D"/>
    <w:rsid w:val="1CEC4A0D"/>
    <w:rsid w:val="1D1712A0"/>
    <w:rsid w:val="1D2B7B9F"/>
    <w:rsid w:val="1D305274"/>
    <w:rsid w:val="1D3F5714"/>
    <w:rsid w:val="1D466011"/>
    <w:rsid w:val="1D487015"/>
    <w:rsid w:val="1D5133E5"/>
    <w:rsid w:val="1D547E28"/>
    <w:rsid w:val="1D5B57EE"/>
    <w:rsid w:val="1D606070"/>
    <w:rsid w:val="1D655DB6"/>
    <w:rsid w:val="1D980258"/>
    <w:rsid w:val="1D9C1F14"/>
    <w:rsid w:val="1DB113DA"/>
    <w:rsid w:val="1DFB4E0B"/>
    <w:rsid w:val="1E196DA1"/>
    <w:rsid w:val="1E2278F4"/>
    <w:rsid w:val="1E4062B7"/>
    <w:rsid w:val="1E450B99"/>
    <w:rsid w:val="1E5542CC"/>
    <w:rsid w:val="1E64791C"/>
    <w:rsid w:val="1E6D6ABE"/>
    <w:rsid w:val="1E755624"/>
    <w:rsid w:val="1E8C73FA"/>
    <w:rsid w:val="1E9E3D33"/>
    <w:rsid w:val="1EAA616E"/>
    <w:rsid w:val="1EB15364"/>
    <w:rsid w:val="1EB20356"/>
    <w:rsid w:val="1EBE2AB5"/>
    <w:rsid w:val="1EC81089"/>
    <w:rsid w:val="1EDD703F"/>
    <w:rsid w:val="1F092A2D"/>
    <w:rsid w:val="1F1162FE"/>
    <w:rsid w:val="1F1C0B32"/>
    <w:rsid w:val="1F352B32"/>
    <w:rsid w:val="1F4A096C"/>
    <w:rsid w:val="1F5A5945"/>
    <w:rsid w:val="1F6B3A34"/>
    <w:rsid w:val="1F751CBE"/>
    <w:rsid w:val="1F7D6B10"/>
    <w:rsid w:val="1F963D6D"/>
    <w:rsid w:val="1F98363F"/>
    <w:rsid w:val="1FA70F8C"/>
    <w:rsid w:val="1FBF488C"/>
    <w:rsid w:val="1FC55B54"/>
    <w:rsid w:val="1FCD7450"/>
    <w:rsid w:val="1FCD7675"/>
    <w:rsid w:val="1FD377B1"/>
    <w:rsid w:val="1FDC18BC"/>
    <w:rsid w:val="1FEB4C55"/>
    <w:rsid w:val="1FEF77E1"/>
    <w:rsid w:val="1FFC155B"/>
    <w:rsid w:val="20010BD0"/>
    <w:rsid w:val="20137C9A"/>
    <w:rsid w:val="20261774"/>
    <w:rsid w:val="202A3AEF"/>
    <w:rsid w:val="203A4D2E"/>
    <w:rsid w:val="204030A0"/>
    <w:rsid w:val="205B78B2"/>
    <w:rsid w:val="205C4184"/>
    <w:rsid w:val="206558CE"/>
    <w:rsid w:val="206901B1"/>
    <w:rsid w:val="206B1575"/>
    <w:rsid w:val="2078018B"/>
    <w:rsid w:val="209323D8"/>
    <w:rsid w:val="209327AA"/>
    <w:rsid w:val="20AD55FF"/>
    <w:rsid w:val="20C12FDC"/>
    <w:rsid w:val="20C55A62"/>
    <w:rsid w:val="20EA7590"/>
    <w:rsid w:val="211001E9"/>
    <w:rsid w:val="21147D43"/>
    <w:rsid w:val="2119067D"/>
    <w:rsid w:val="211F5020"/>
    <w:rsid w:val="21216F1B"/>
    <w:rsid w:val="2123407B"/>
    <w:rsid w:val="21320B64"/>
    <w:rsid w:val="21370E12"/>
    <w:rsid w:val="214F55E4"/>
    <w:rsid w:val="215A4604"/>
    <w:rsid w:val="217C7ED4"/>
    <w:rsid w:val="21862B07"/>
    <w:rsid w:val="218A1EF5"/>
    <w:rsid w:val="21973788"/>
    <w:rsid w:val="219A3406"/>
    <w:rsid w:val="21A70D61"/>
    <w:rsid w:val="21B2244C"/>
    <w:rsid w:val="21C30EF9"/>
    <w:rsid w:val="21CB7C2D"/>
    <w:rsid w:val="21D956E3"/>
    <w:rsid w:val="21EF7C0A"/>
    <w:rsid w:val="221551D8"/>
    <w:rsid w:val="224441F7"/>
    <w:rsid w:val="224E7428"/>
    <w:rsid w:val="2261560B"/>
    <w:rsid w:val="227918A6"/>
    <w:rsid w:val="22944164"/>
    <w:rsid w:val="229674ED"/>
    <w:rsid w:val="22AC485D"/>
    <w:rsid w:val="22D174A6"/>
    <w:rsid w:val="22D2551D"/>
    <w:rsid w:val="22E67532"/>
    <w:rsid w:val="230F16FC"/>
    <w:rsid w:val="231C2E7E"/>
    <w:rsid w:val="232A4048"/>
    <w:rsid w:val="233344E4"/>
    <w:rsid w:val="2337735C"/>
    <w:rsid w:val="23384D61"/>
    <w:rsid w:val="23392A7A"/>
    <w:rsid w:val="235336A2"/>
    <w:rsid w:val="23817C48"/>
    <w:rsid w:val="23850BE5"/>
    <w:rsid w:val="238E2690"/>
    <w:rsid w:val="239015CD"/>
    <w:rsid w:val="23B946BE"/>
    <w:rsid w:val="23C01773"/>
    <w:rsid w:val="23EF13A7"/>
    <w:rsid w:val="23F7720B"/>
    <w:rsid w:val="24086432"/>
    <w:rsid w:val="240F1052"/>
    <w:rsid w:val="242A187D"/>
    <w:rsid w:val="24310987"/>
    <w:rsid w:val="24322A62"/>
    <w:rsid w:val="24554136"/>
    <w:rsid w:val="245C2B3F"/>
    <w:rsid w:val="24836E94"/>
    <w:rsid w:val="24867974"/>
    <w:rsid w:val="248945E2"/>
    <w:rsid w:val="24974A9D"/>
    <w:rsid w:val="24990AB6"/>
    <w:rsid w:val="24A21A55"/>
    <w:rsid w:val="24BC74B9"/>
    <w:rsid w:val="24BE33B8"/>
    <w:rsid w:val="24E234FE"/>
    <w:rsid w:val="250D3E66"/>
    <w:rsid w:val="252754C5"/>
    <w:rsid w:val="252D0E2C"/>
    <w:rsid w:val="252D3F69"/>
    <w:rsid w:val="2547370A"/>
    <w:rsid w:val="25585795"/>
    <w:rsid w:val="25740BBD"/>
    <w:rsid w:val="25955E96"/>
    <w:rsid w:val="259B6E31"/>
    <w:rsid w:val="259E33E1"/>
    <w:rsid w:val="25A07C39"/>
    <w:rsid w:val="25AF1FA5"/>
    <w:rsid w:val="25B677AD"/>
    <w:rsid w:val="25B904A8"/>
    <w:rsid w:val="25E06259"/>
    <w:rsid w:val="25FD0304"/>
    <w:rsid w:val="26090E12"/>
    <w:rsid w:val="261447E7"/>
    <w:rsid w:val="26162D47"/>
    <w:rsid w:val="26313BB1"/>
    <w:rsid w:val="26417898"/>
    <w:rsid w:val="26442276"/>
    <w:rsid w:val="26444B63"/>
    <w:rsid w:val="264D7096"/>
    <w:rsid w:val="26552532"/>
    <w:rsid w:val="26671EE8"/>
    <w:rsid w:val="269F6889"/>
    <w:rsid w:val="26AD0D8B"/>
    <w:rsid w:val="26C17431"/>
    <w:rsid w:val="26C27EC9"/>
    <w:rsid w:val="26C545A4"/>
    <w:rsid w:val="26C94300"/>
    <w:rsid w:val="26DF7D7C"/>
    <w:rsid w:val="26EE1723"/>
    <w:rsid w:val="26F154C7"/>
    <w:rsid w:val="26FD7030"/>
    <w:rsid w:val="27080E2E"/>
    <w:rsid w:val="270D21C6"/>
    <w:rsid w:val="270D2595"/>
    <w:rsid w:val="273301A4"/>
    <w:rsid w:val="277F5A23"/>
    <w:rsid w:val="279E36DD"/>
    <w:rsid w:val="27A7464B"/>
    <w:rsid w:val="27EA2797"/>
    <w:rsid w:val="28011EB5"/>
    <w:rsid w:val="28092464"/>
    <w:rsid w:val="2810409B"/>
    <w:rsid w:val="282013B4"/>
    <w:rsid w:val="282B47A7"/>
    <w:rsid w:val="282C5A3A"/>
    <w:rsid w:val="283F32F7"/>
    <w:rsid w:val="2855423F"/>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5C2D51"/>
    <w:rsid w:val="29A81CD2"/>
    <w:rsid w:val="29A90232"/>
    <w:rsid w:val="29A92B3A"/>
    <w:rsid w:val="29C804D1"/>
    <w:rsid w:val="29CB1410"/>
    <w:rsid w:val="29D617AC"/>
    <w:rsid w:val="29D84ABC"/>
    <w:rsid w:val="29F5410D"/>
    <w:rsid w:val="2A091D0A"/>
    <w:rsid w:val="2A0D39C3"/>
    <w:rsid w:val="2A1503FE"/>
    <w:rsid w:val="2A194990"/>
    <w:rsid w:val="2A215E5E"/>
    <w:rsid w:val="2A252C4C"/>
    <w:rsid w:val="2A3E7B5A"/>
    <w:rsid w:val="2A6B55C6"/>
    <w:rsid w:val="2A8475EE"/>
    <w:rsid w:val="2A951C8C"/>
    <w:rsid w:val="2A953E86"/>
    <w:rsid w:val="2A9B26F1"/>
    <w:rsid w:val="2AA81E53"/>
    <w:rsid w:val="2AB25451"/>
    <w:rsid w:val="2AC063B7"/>
    <w:rsid w:val="2ACB5B48"/>
    <w:rsid w:val="2ACD0874"/>
    <w:rsid w:val="2AD267B8"/>
    <w:rsid w:val="2AD8059C"/>
    <w:rsid w:val="2B0A5818"/>
    <w:rsid w:val="2B0D737C"/>
    <w:rsid w:val="2B0F004D"/>
    <w:rsid w:val="2B154A20"/>
    <w:rsid w:val="2B1B5BFD"/>
    <w:rsid w:val="2B380E7B"/>
    <w:rsid w:val="2B574357"/>
    <w:rsid w:val="2B5F5BE1"/>
    <w:rsid w:val="2B6638DE"/>
    <w:rsid w:val="2B843D59"/>
    <w:rsid w:val="2B84406F"/>
    <w:rsid w:val="2B8F58E2"/>
    <w:rsid w:val="2BA07FAD"/>
    <w:rsid w:val="2BBF0DDA"/>
    <w:rsid w:val="2BE5055C"/>
    <w:rsid w:val="2BED5A7C"/>
    <w:rsid w:val="2BF858F4"/>
    <w:rsid w:val="2BFC3C2B"/>
    <w:rsid w:val="2BFC6315"/>
    <w:rsid w:val="2BFD5564"/>
    <w:rsid w:val="2C054251"/>
    <w:rsid w:val="2C2E0403"/>
    <w:rsid w:val="2C4C1107"/>
    <w:rsid w:val="2C7C5CC5"/>
    <w:rsid w:val="2C811341"/>
    <w:rsid w:val="2C823F4E"/>
    <w:rsid w:val="2CAD067B"/>
    <w:rsid w:val="2CFD0FC0"/>
    <w:rsid w:val="2D050EBF"/>
    <w:rsid w:val="2D2009C3"/>
    <w:rsid w:val="2D2A25A1"/>
    <w:rsid w:val="2D2A51E4"/>
    <w:rsid w:val="2D3059BC"/>
    <w:rsid w:val="2D4D17E5"/>
    <w:rsid w:val="2D6F58D8"/>
    <w:rsid w:val="2D892B5C"/>
    <w:rsid w:val="2DB328B9"/>
    <w:rsid w:val="2DC6450C"/>
    <w:rsid w:val="2DD85082"/>
    <w:rsid w:val="2DE11692"/>
    <w:rsid w:val="2DF24F64"/>
    <w:rsid w:val="2DF5641D"/>
    <w:rsid w:val="2DF644E3"/>
    <w:rsid w:val="2E0D40F5"/>
    <w:rsid w:val="2E2F56E6"/>
    <w:rsid w:val="2E4A7323"/>
    <w:rsid w:val="2E682AAC"/>
    <w:rsid w:val="2E6D230F"/>
    <w:rsid w:val="2E7D543E"/>
    <w:rsid w:val="2E8C2DE3"/>
    <w:rsid w:val="2E98229F"/>
    <w:rsid w:val="2EA56E95"/>
    <w:rsid w:val="2EA673C9"/>
    <w:rsid w:val="2EAF1D1D"/>
    <w:rsid w:val="2EC0096E"/>
    <w:rsid w:val="2ECA710C"/>
    <w:rsid w:val="2ED4404D"/>
    <w:rsid w:val="2ED50475"/>
    <w:rsid w:val="2EE365C8"/>
    <w:rsid w:val="2F090AB4"/>
    <w:rsid w:val="2F13732E"/>
    <w:rsid w:val="2F336BA3"/>
    <w:rsid w:val="2F5621A6"/>
    <w:rsid w:val="2F66411F"/>
    <w:rsid w:val="2F9E2267"/>
    <w:rsid w:val="2FA5716E"/>
    <w:rsid w:val="2FB91769"/>
    <w:rsid w:val="2FBE7D06"/>
    <w:rsid w:val="2FCD4219"/>
    <w:rsid w:val="2FD85581"/>
    <w:rsid w:val="2FE513F6"/>
    <w:rsid w:val="2FE91ED2"/>
    <w:rsid w:val="2FEC28E9"/>
    <w:rsid w:val="2FF22D62"/>
    <w:rsid w:val="30037E76"/>
    <w:rsid w:val="300B0CEC"/>
    <w:rsid w:val="301B31E2"/>
    <w:rsid w:val="302909D7"/>
    <w:rsid w:val="30320AA9"/>
    <w:rsid w:val="30427218"/>
    <w:rsid w:val="30664FDE"/>
    <w:rsid w:val="309E4811"/>
    <w:rsid w:val="30A00CB5"/>
    <w:rsid w:val="30AF5F22"/>
    <w:rsid w:val="30C14186"/>
    <w:rsid w:val="30D71496"/>
    <w:rsid w:val="30E73B0D"/>
    <w:rsid w:val="30F74C53"/>
    <w:rsid w:val="30FC61C2"/>
    <w:rsid w:val="30FD55E0"/>
    <w:rsid w:val="31030DD2"/>
    <w:rsid w:val="310F6F60"/>
    <w:rsid w:val="311333E6"/>
    <w:rsid w:val="311467EF"/>
    <w:rsid w:val="31162712"/>
    <w:rsid w:val="311A24D7"/>
    <w:rsid w:val="31363ABC"/>
    <w:rsid w:val="314614BA"/>
    <w:rsid w:val="31490B7D"/>
    <w:rsid w:val="3153679E"/>
    <w:rsid w:val="315F2471"/>
    <w:rsid w:val="3177458F"/>
    <w:rsid w:val="3189708E"/>
    <w:rsid w:val="318B1F3D"/>
    <w:rsid w:val="3193741E"/>
    <w:rsid w:val="319434F7"/>
    <w:rsid w:val="31994D00"/>
    <w:rsid w:val="31A65E57"/>
    <w:rsid w:val="31AD16EF"/>
    <w:rsid w:val="31AE660C"/>
    <w:rsid w:val="31B05A1F"/>
    <w:rsid w:val="31B17EF2"/>
    <w:rsid w:val="31E155AC"/>
    <w:rsid w:val="31FC35FB"/>
    <w:rsid w:val="32010D04"/>
    <w:rsid w:val="3202665F"/>
    <w:rsid w:val="320A7836"/>
    <w:rsid w:val="323C3FDE"/>
    <w:rsid w:val="324163CA"/>
    <w:rsid w:val="32574FD8"/>
    <w:rsid w:val="325C547C"/>
    <w:rsid w:val="32646DB1"/>
    <w:rsid w:val="326C29F6"/>
    <w:rsid w:val="327C3888"/>
    <w:rsid w:val="329338D7"/>
    <w:rsid w:val="32945DAC"/>
    <w:rsid w:val="329B3155"/>
    <w:rsid w:val="329C631F"/>
    <w:rsid w:val="32A24DE0"/>
    <w:rsid w:val="32AB0897"/>
    <w:rsid w:val="32CB3A84"/>
    <w:rsid w:val="32CE45BC"/>
    <w:rsid w:val="32D9201A"/>
    <w:rsid w:val="32E42D0F"/>
    <w:rsid w:val="32E779A4"/>
    <w:rsid w:val="330D4D94"/>
    <w:rsid w:val="33435E16"/>
    <w:rsid w:val="335F11B3"/>
    <w:rsid w:val="337B12FB"/>
    <w:rsid w:val="33846435"/>
    <w:rsid w:val="339C5454"/>
    <w:rsid w:val="33D354DF"/>
    <w:rsid w:val="33DD1D83"/>
    <w:rsid w:val="33FC5F9C"/>
    <w:rsid w:val="34005D95"/>
    <w:rsid w:val="340370F4"/>
    <w:rsid w:val="34173060"/>
    <w:rsid w:val="342451AA"/>
    <w:rsid w:val="3425323C"/>
    <w:rsid w:val="342E5EA7"/>
    <w:rsid w:val="343E0BAC"/>
    <w:rsid w:val="34474FF1"/>
    <w:rsid w:val="344B3651"/>
    <w:rsid w:val="34555269"/>
    <w:rsid w:val="346B6657"/>
    <w:rsid w:val="34827541"/>
    <w:rsid w:val="34B63281"/>
    <w:rsid w:val="34C105B0"/>
    <w:rsid w:val="34CA39B2"/>
    <w:rsid w:val="34D564C3"/>
    <w:rsid w:val="34DC79C0"/>
    <w:rsid w:val="34EC4B86"/>
    <w:rsid w:val="351321CB"/>
    <w:rsid w:val="35367A72"/>
    <w:rsid w:val="355171EC"/>
    <w:rsid w:val="355E299F"/>
    <w:rsid w:val="355E6D49"/>
    <w:rsid w:val="35671EE7"/>
    <w:rsid w:val="3572663B"/>
    <w:rsid w:val="357D4C50"/>
    <w:rsid w:val="3591419B"/>
    <w:rsid w:val="35925B04"/>
    <w:rsid w:val="35963717"/>
    <w:rsid w:val="35AF3549"/>
    <w:rsid w:val="35CA49CB"/>
    <w:rsid w:val="35DA5213"/>
    <w:rsid w:val="35EE7B1B"/>
    <w:rsid w:val="35F65FAD"/>
    <w:rsid w:val="36202050"/>
    <w:rsid w:val="364A7C84"/>
    <w:rsid w:val="36605016"/>
    <w:rsid w:val="366B7A53"/>
    <w:rsid w:val="366D649A"/>
    <w:rsid w:val="368259EE"/>
    <w:rsid w:val="3689301E"/>
    <w:rsid w:val="369C7E5C"/>
    <w:rsid w:val="36B523AB"/>
    <w:rsid w:val="36C76D40"/>
    <w:rsid w:val="36F44E23"/>
    <w:rsid w:val="371D2966"/>
    <w:rsid w:val="373062E8"/>
    <w:rsid w:val="375C1AC9"/>
    <w:rsid w:val="37785098"/>
    <w:rsid w:val="377E7331"/>
    <w:rsid w:val="379038C8"/>
    <w:rsid w:val="379B1E6C"/>
    <w:rsid w:val="379D002A"/>
    <w:rsid w:val="37A6234C"/>
    <w:rsid w:val="37A907BA"/>
    <w:rsid w:val="37AF1535"/>
    <w:rsid w:val="37CA63F2"/>
    <w:rsid w:val="37CB57CA"/>
    <w:rsid w:val="37D337D1"/>
    <w:rsid w:val="37DD56C2"/>
    <w:rsid w:val="37F16302"/>
    <w:rsid w:val="38253136"/>
    <w:rsid w:val="38372548"/>
    <w:rsid w:val="384570A4"/>
    <w:rsid w:val="38467A04"/>
    <w:rsid w:val="38781C56"/>
    <w:rsid w:val="38A140CE"/>
    <w:rsid w:val="38B54C1A"/>
    <w:rsid w:val="38C30240"/>
    <w:rsid w:val="38CF65F7"/>
    <w:rsid w:val="38D30895"/>
    <w:rsid w:val="38E95212"/>
    <w:rsid w:val="38F3691D"/>
    <w:rsid w:val="3909408E"/>
    <w:rsid w:val="391C1C7A"/>
    <w:rsid w:val="39465968"/>
    <w:rsid w:val="394D1A3B"/>
    <w:rsid w:val="394F4D33"/>
    <w:rsid w:val="39600E80"/>
    <w:rsid w:val="399B72BC"/>
    <w:rsid w:val="39A73391"/>
    <w:rsid w:val="39A95A0D"/>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90237F"/>
    <w:rsid w:val="3B002E8F"/>
    <w:rsid w:val="3B0A7991"/>
    <w:rsid w:val="3B100A85"/>
    <w:rsid w:val="3B18283A"/>
    <w:rsid w:val="3B336F2F"/>
    <w:rsid w:val="3B567019"/>
    <w:rsid w:val="3B5C777B"/>
    <w:rsid w:val="3B691338"/>
    <w:rsid w:val="3B6B36CF"/>
    <w:rsid w:val="3BA60160"/>
    <w:rsid w:val="3BB46CD1"/>
    <w:rsid w:val="3BB6128D"/>
    <w:rsid w:val="3BD11411"/>
    <w:rsid w:val="3BD837A5"/>
    <w:rsid w:val="3BED4242"/>
    <w:rsid w:val="3C173EBE"/>
    <w:rsid w:val="3C317DDD"/>
    <w:rsid w:val="3C336F35"/>
    <w:rsid w:val="3C3D3F09"/>
    <w:rsid w:val="3C457CDF"/>
    <w:rsid w:val="3C61573F"/>
    <w:rsid w:val="3C742BEB"/>
    <w:rsid w:val="3C857740"/>
    <w:rsid w:val="3C8E02B7"/>
    <w:rsid w:val="3CA732CA"/>
    <w:rsid w:val="3CB004C5"/>
    <w:rsid w:val="3CB35047"/>
    <w:rsid w:val="3CB47F7E"/>
    <w:rsid w:val="3CB603EF"/>
    <w:rsid w:val="3CD82621"/>
    <w:rsid w:val="3CDD69B2"/>
    <w:rsid w:val="3CEA693F"/>
    <w:rsid w:val="3CEF1648"/>
    <w:rsid w:val="3D0D0F5F"/>
    <w:rsid w:val="3D0D55A5"/>
    <w:rsid w:val="3D187CD8"/>
    <w:rsid w:val="3D324998"/>
    <w:rsid w:val="3D354C10"/>
    <w:rsid w:val="3D475AFB"/>
    <w:rsid w:val="3D4C43AF"/>
    <w:rsid w:val="3D502422"/>
    <w:rsid w:val="3D5275CE"/>
    <w:rsid w:val="3D5404DD"/>
    <w:rsid w:val="3D6341E4"/>
    <w:rsid w:val="3D6A48AA"/>
    <w:rsid w:val="3D6D23E3"/>
    <w:rsid w:val="3D7C1281"/>
    <w:rsid w:val="3D8D1DDC"/>
    <w:rsid w:val="3D995C7E"/>
    <w:rsid w:val="3DD2333F"/>
    <w:rsid w:val="3DEC316F"/>
    <w:rsid w:val="3E000E38"/>
    <w:rsid w:val="3E037731"/>
    <w:rsid w:val="3E0F09D9"/>
    <w:rsid w:val="3E1646C1"/>
    <w:rsid w:val="3E247488"/>
    <w:rsid w:val="3E305EE4"/>
    <w:rsid w:val="3E360DF6"/>
    <w:rsid w:val="3E3D25F5"/>
    <w:rsid w:val="3E4E6762"/>
    <w:rsid w:val="3E5F5CBB"/>
    <w:rsid w:val="3E70166E"/>
    <w:rsid w:val="3E752011"/>
    <w:rsid w:val="3E8270FA"/>
    <w:rsid w:val="3E8E2505"/>
    <w:rsid w:val="3E8F0C9A"/>
    <w:rsid w:val="3E9953AC"/>
    <w:rsid w:val="3E9D3F84"/>
    <w:rsid w:val="3E9F3605"/>
    <w:rsid w:val="3EAF142E"/>
    <w:rsid w:val="3EEC1C8D"/>
    <w:rsid w:val="3EF15A07"/>
    <w:rsid w:val="3F0C0C5D"/>
    <w:rsid w:val="3F310E2B"/>
    <w:rsid w:val="3F3E5B85"/>
    <w:rsid w:val="3F4D19AF"/>
    <w:rsid w:val="3F691A99"/>
    <w:rsid w:val="3F837DDF"/>
    <w:rsid w:val="3F901403"/>
    <w:rsid w:val="3FA21405"/>
    <w:rsid w:val="3FA96E5D"/>
    <w:rsid w:val="3FC04528"/>
    <w:rsid w:val="3FCB012B"/>
    <w:rsid w:val="3FD27B2E"/>
    <w:rsid w:val="3FEE1DE8"/>
    <w:rsid w:val="3FFE5EFF"/>
    <w:rsid w:val="40171145"/>
    <w:rsid w:val="402104DC"/>
    <w:rsid w:val="402D3537"/>
    <w:rsid w:val="40480E8F"/>
    <w:rsid w:val="40662C29"/>
    <w:rsid w:val="40742438"/>
    <w:rsid w:val="40791098"/>
    <w:rsid w:val="40932E75"/>
    <w:rsid w:val="40A70377"/>
    <w:rsid w:val="40BC5D67"/>
    <w:rsid w:val="40CC7CA3"/>
    <w:rsid w:val="40D775A2"/>
    <w:rsid w:val="40EE33BE"/>
    <w:rsid w:val="40F61783"/>
    <w:rsid w:val="4100601D"/>
    <w:rsid w:val="410D75D5"/>
    <w:rsid w:val="411A76EB"/>
    <w:rsid w:val="411E3000"/>
    <w:rsid w:val="41402C24"/>
    <w:rsid w:val="414E7345"/>
    <w:rsid w:val="41546D3E"/>
    <w:rsid w:val="41696F7F"/>
    <w:rsid w:val="417240B9"/>
    <w:rsid w:val="417C0D06"/>
    <w:rsid w:val="418B25AA"/>
    <w:rsid w:val="418E56CE"/>
    <w:rsid w:val="41925E9B"/>
    <w:rsid w:val="419B1BC4"/>
    <w:rsid w:val="419D5169"/>
    <w:rsid w:val="419D7C05"/>
    <w:rsid w:val="41A46863"/>
    <w:rsid w:val="41A739EA"/>
    <w:rsid w:val="41B3371C"/>
    <w:rsid w:val="41B4302C"/>
    <w:rsid w:val="41CC67E1"/>
    <w:rsid w:val="41DA3C01"/>
    <w:rsid w:val="41E3266D"/>
    <w:rsid w:val="41E70FD1"/>
    <w:rsid w:val="41F604FA"/>
    <w:rsid w:val="41FE6085"/>
    <w:rsid w:val="42013C9E"/>
    <w:rsid w:val="420F24CA"/>
    <w:rsid w:val="421C0994"/>
    <w:rsid w:val="424F02B6"/>
    <w:rsid w:val="42523372"/>
    <w:rsid w:val="42683145"/>
    <w:rsid w:val="427133C0"/>
    <w:rsid w:val="42715180"/>
    <w:rsid w:val="4277762F"/>
    <w:rsid w:val="429D7D7D"/>
    <w:rsid w:val="42B06FDD"/>
    <w:rsid w:val="42B23DF0"/>
    <w:rsid w:val="42B45768"/>
    <w:rsid w:val="42DD7341"/>
    <w:rsid w:val="42E637C3"/>
    <w:rsid w:val="42FD1410"/>
    <w:rsid w:val="430C488E"/>
    <w:rsid w:val="43184FA0"/>
    <w:rsid w:val="431F563A"/>
    <w:rsid w:val="432A3E0D"/>
    <w:rsid w:val="432D0CD2"/>
    <w:rsid w:val="4338356A"/>
    <w:rsid w:val="433E24EE"/>
    <w:rsid w:val="4348259E"/>
    <w:rsid w:val="434C0977"/>
    <w:rsid w:val="434D5EB2"/>
    <w:rsid w:val="43604502"/>
    <w:rsid w:val="43705840"/>
    <w:rsid w:val="437E6752"/>
    <w:rsid w:val="43803823"/>
    <w:rsid w:val="438D2FF7"/>
    <w:rsid w:val="43AF6845"/>
    <w:rsid w:val="43CC31B4"/>
    <w:rsid w:val="43CC79E5"/>
    <w:rsid w:val="43D44FF8"/>
    <w:rsid w:val="441557E3"/>
    <w:rsid w:val="44226F3F"/>
    <w:rsid w:val="4425659D"/>
    <w:rsid w:val="44286453"/>
    <w:rsid w:val="44371554"/>
    <w:rsid w:val="444B4817"/>
    <w:rsid w:val="444C54FC"/>
    <w:rsid w:val="44615639"/>
    <w:rsid w:val="44762FC6"/>
    <w:rsid w:val="4488431A"/>
    <w:rsid w:val="448F5706"/>
    <w:rsid w:val="44944331"/>
    <w:rsid w:val="449A539D"/>
    <w:rsid w:val="44A538D4"/>
    <w:rsid w:val="44B05905"/>
    <w:rsid w:val="44B67F0B"/>
    <w:rsid w:val="451317C4"/>
    <w:rsid w:val="45252A65"/>
    <w:rsid w:val="45575AD5"/>
    <w:rsid w:val="457E0115"/>
    <w:rsid w:val="459B774E"/>
    <w:rsid w:val="45B72AB1"/>
    <w:rsid w:val="45BA079F"/>
    <w:rsid w:val="45CC0EF3"/>
    <w:rsid w:val="45CF5AD4"/>
    <w:rsid w:val="45DD06D9"/>
    <w:rsid w:val="460D21F2"/>
    <w:rsid w:val="460E0469"/>
    <w:rsid w:val="460E0A15"/>
    <w:rsid w:val="461909E8"/>
    <w:rsid w:val="4635298E"/>
    <w:rsid w:val="46355D58"/>
    <w:rsid w:val="463C04FA"/>
    <w:rsid w:val="464050BB"/>
    <w:rsid w:val="46405C21"/>
    <w:rsid w:val="466B6702"/>
    <w:rsid w:val="466F037A"/>
    <w:rsid w:val="467737E1"/>
    <w:rsid w:val="467C180C"/>
    <w:rsid w:val="468B577B"/>
    <w:rsid w:val="46A075FA"/>
    <w:rsid w:val="46A359DC"/>
    <w:rsid w:val="46A54FB3"/>
    <w:rsid w:val="46D040D1"/>
    <w:rsid w:val="46D47B0B"/>
    <w:rsid w:val="46D7121E"/>
    <w:rsid w:val="46E07671"/>
    <w:rsid w:val="46F84FBA"/>
    <w:rsid w:val="46FF57CE"/>
    <w:rsid w:val="47154F60"/>
    <w:rsid w:val="47162E3C"/>
    <w:rsid w:val="47476572"/>
    <w:rsid w:val="47700BCB"/>
    <w:rsid w:val="47732DB6"/>
    <w:rsid w:val="47C254B8"/>
    <w:rsid w:val="47DF082A"/>
    <w:rsid w:val="47EB5003"/>
    <w:rsid w:val="48081128"/>
    <w:rsid w:val="480D3EC3"/>
    <w:rsid w:val="48144FED"/>
    <w:rsid w:val="482B26B0"/>
    <w:rsid w:val="483A31DC"/>
    <w:rsid w:val="484715CC"/>
    <w:rsid w:val="485D616F"/>
    <w:rsid w:val="4873370F"/>
    <w:rsid w:val="48942C25"/>
    <w:rsid w:val="4898666C"/>
    <w:rsid w:val="489B75DE"/>
    <w:rsid w:val="489F44D2"/>
    <w:rsid w:val="48AB4379"/>
    <w:rsid w:val="48B5305A"/>
    <w:rsid w:val="48B63FE7"/>
    <w:rsid w:val="48C71061"/>
    <w:rsid w:val="48CC7D6E"/>
    <w:rsid w:val="48DD5408"/>
    <w:rsid w:val="48EB5A5C"/>
    <w:rsid w:val="490B579F"/>
    <w:rsid w:val="491F0291"/>
    <w:rsid w:val="4920208E"/>
    <w:rsid w:val="492A1C6E"/>
    <w:rsid w:val="492C7D33"/>
    <w:rsid w:val="493A79B5"/>
    <w:rsid w:val="49575C03"/>
    <w:rsid w:val="495E78EB"/>
    <w:rsid w:val="4969605D"/>
    <w:rsid w:val="496D1F2A"/>
    <w:rsid w:val="497C7394"/>
    <w:rsid w:val="498A3B85"/>
    <w:rsid w:val="49AE3287"/>
    <w:rsid w:val="49C65C46"/>
    <w:rsid w:val="49D021B0"/>
    <w:rsid w:val="49D61F4B"/>
    <w:rsid w:val="49D7375C"/>
    <w:rsid w:val="49E81BC9"/>
    <w:rsid w:val="49EC64E1"/>
    <w:rsid w:val="4A11668C"/>
    <w:rsid w:val="4A3546EB"/>
    <w:rsid w:val="4A443774"/>
    <w:rsid w:val="4A4A48A6"/>
    <w:rsid w:val="4A524812"/>
    <w:rsid w:val="4A526073"/>
    <w:rsid w:val="4A56215E"/>
    <w:rsid w:val="4A5D4A40"/>
    <w:rsid w:val="4A63534F"/>
    <w:rsid w:val="4A6C1B50"/>
    <w:rsid w:val="4A7E40F2"/>
    <w:rsid w:val="4A8561F1"/>
    <w:rsid w:val="4A943BC6"/>
    <w:rsid w:val="4AA30352"/>
    <w:rsid w:val="4AAF17A9"/>
    <w:rsid w:val="4ABA7840"/>
    <w:rsid w:val="4AE623A4"/>
    <w:rsid w:val="4AE74F60"/>
    <w:rsid w:val="4AFF5CC6"/>
    <w:rsid w:val="4B1D3A51"/>
    <w:rsid w:val="4B280F1E"/>
    <w:rsid w:val="4B3D4E30"/>
    <w:rsid w:val="4B411E5A"/>
    <w:rsid w:val="4B413D26"/>
    <w:rsid w:val="4B6B6050"/>
    <w:rsid w:val="4B8B446D"/>
    <w:rsid w:val="4BA324C2"/>
    <w:rsid w:val="4BB317A2"/>
    <w:rsid w:val="4BC27F8D"/>
    <w:rsid w:val="4BC97047"/>
    <w:rsid w:val="4BCC6CCE"/>
    <w:rsid w:val="4BE44E6C"/>
    <w:rsid w:val="4BF446B8"/>
    <w:rsid w:val="4C061338"/>
    <w:rsid w:val="4C497215"/>
    <w:rsid w:val="4C4F5F99"/>
    <w:rsid w:val="4C5474C5"/>
    <w:rsid w:val="4C5D0817"/>
    <w:rsid w:val="4C5E08E0"/>
    <w:rsid w:val="4C7C64A4"/>
    <w:rsid w:val="4CBF4AE9"/>
    <w:rsid w:val="4CCA7CF8"/>
    <w:rsid w:val="4CCC299D"/>
    <w:rsid w:val="4D0A349B"/>
    <w:rsid w:val="4D0D2E78"/>
    <w:rsid w:val="4D0F04ED"/>
    <w:rsid w:val="4D164C7E"/>
    <w:rsid w:val="4D384A7C"/>
    <w:rsid w:val="4D3A0411"/>
    <w:rsid w:val="4D427C91"/>
    <w:rsid w:val="4D7706F2"/>
    <w:rsid w:val="4D845711"/>
    <w:rsid w:val="4D8A02B7"/>
    <w:rsid w:val="4DBE12C2"/>
    <w:rsid w:val="4DCE6ED3"/>
    <w:rsid w:val="4DF46CF3"/>
    <w:rsid w:val="4E095444"/>
    <w:rsid w:val="4E0E40E2"/>
    <w:rsid w:val="4E333BBB"/>
    <w:rsid w:val="4E4E04E5"/>
    <w:rsid w:val="4E665F7B"/>
    <w:rsid w:val="4E6A06E9"/>
    <w:rsid w:val="4E715DB2"/>
    <w:rsid w:val="4E776B87"/>
    <w:rsid w:val="4E8E5857"/>
    <w:rsid w:val="4EC206BE"/>
    <w:rsid w:val="4EC46EFB"/>
    <w:rsid w:val="4EC951FF"/>
    <w:rsid w:val="4ED04B02"/>
    <w:rsid w:val="4EDD6EFA"/>
    <w:rsid w:val="4EE96853"/>
    <w:rsid w:val="4F105F02"/>
    <w:rsid w:val="4F121BEA"/>
    <w:rsid w:val="4F172396"/>
    <w:rsid w:val="4F1D4181"/>
    <w:rsid w:val="4F3F03C1"/>
    <w:rsid w:val="4F4C2971"/>
    <w:rsid w:val="4F566ACF"/>
    <w:rsid w:val="4F704BBC"/>
    <w:rsid w:val="4F8028EE"/>
    <w:rsid w:val="4F8435B4"/>
    <w:rsid w:val="4FAD0DF7"/>
    <w:rsid w:val="4FBC1F04"/>
    <w:rsid w:val="4FBD361C"/>
    <w:rsid w:val="4FBE1CEA"/>
    <w:rsid w:val="4FC15F00"/>
    <w:rsid w:val="4FF17370"/>
    <w:rsid w:val="4FF77C61"/>
    <w:rsid w:val="50037C0C"/>
    <w:rsid w:val="500F51F9"/>
    <w:rsid w:val="50200CEA"/>
    <w:rsid w:val="502E1CFA"/>
    <w:rsid w:val="50371519"/>
    <w:rsid w:val="503D6ACE"/>
    <w:rsid w:val="50447CE3"/>
    <w:rsid w:val="505A0A75"/>
    <w:rsid w:val="50753DB9"/>
    <w:rsid w:val="509E2BD3"/>
    <w:rsid w:val="50C04426"/>
    <w:rsid w:val="50C7518D"/>
    <w:rsid w:val="50C95413"/>
    <w:rsid w:val="50CA58C9"/>
    <w:rsid w:val="50ED0D36"/>
    <w:rsid w:val="50F462DA"/>
    <w:rsid w:val="510B317F"/>
    <w:rsid w:val="51130AD6"/>
    <w:rsid w:val="51147068"/>
    <w:rsid w:val="511B4097"/>
    <w:rsid w:val="51216FB7"/>
    <w:rsid w:val="512452DA"/>
    <w:rsid w:val="512E023D"/>
    <w:rsid w:val="514C3C7B"/>
    <w:rsid w:val="515029F4"/>
    <w:rsid w:val="51777BA1"/>
    <w:rsid w:val="517A1ADB"/>
    <w:rsid w:val="517C1302"/>
    <w:rsid w:val="51901189"/>
    <w:rsid w:val="51952A88"/>
    <w:rsid w:val="51B23F17"/>
    <w:rsid w:val="51B661F2"/>
    <w:rsid w:val="51BB2EED"/>
    <w:rsid w:val="51E51BA8"/>
    <w:rsid w:val="51EE27E3"/>
    <w:rsid w:val="52101F45"/>
    <w:rsid w:val="52125E5B"/>
    <w:rsid w:val="5213342A"/>
    <w:rsid w:val="52163344"/>
    <w:rsid w:val="52217FFE"/>
    <w:rsid w:val="5234477C"/>
    <w:rsid w:val="52515077"/>
    <w:rsid w:val="52806E8B"/>
    <w:rsid w:val="52A84489"/>
    <w:rsid w:val="52B118DE"/>
    <w:rsid w:val="52B80D5E"/>
    <w:rsid w:val="52C52078"/>
    <w:rsid w:val="52CB6EC0"/>
    <w:rsid w:val="52D061DA"/>
    <w:rsid w:val="52D211F8"/>
    <w:rsid w:val="52F26F28"/>
    <w:rsid w:val="53031E61"/>
    <w:rsid w:val="5315442E"/>
    <w:rsid w:val="533907AA"/>
    <w:rsid w:val="5341530E"/>
    <w:rsid w:val="534326DA"/>
    <w:rsid w:val="53434396"/>
    <w:rsid w:val="534D112E"/>
    <w:rsid w:val="53654967"/>
    <w:rsid w:val="53761C93"/>
    <w:rsid w:val="537B0A8C"/>
    <w:rsid w:val="538B1A6A"/>
    <w:rsid w:val="5393301A"/>
    <w:rsid w:val="53971518"/>
    <w:rsid w:val="5399073D"/>
    <w:rsid w:val="539E3677"/>
    <w:rsid w:val="53A84C2D"/>
    <w:rsid w:val="53AB2CD5"/>
    <w:rsid w:val="53AF23D8"/>
    <w:rsid w:val="53B31343"/>
    <w:rsid w:val="53B91D8C"/>
    <w:rsid w:val="53CA7A82"/>
    <w:rsid w:val="53CE2D5A"/>
    <w:rsid w:val="53D82514"/>
    <w:rsid w:val="53E56E6E"/>
    <w:rsid w:val="53EB2495"/>
    <w:rsid w:val="53F17662"/>
    <w:rsid w:val="54010C17"/>
    <w:rsid w:val="540366C1"/>
    <w:rsid w:val="542406F9"/>
    <w:rsid w:val="542C2C82"/>
    <w:rsid w:val="543F012A"/>
    <w:rsid w:val="546136C7"/>
    <w:rsid w:val="54635F00"/>
    <w:rsid w:val="54661F54"/>
    <w:rsid w:val="546C3F2D"/>
    <w:rsid w:val="547F46DA"/>
    <w:rsid w:val="54944893"/>
    <w:rsid w:val="549F75FE"/>
    <w:rsid w:val="54A51CC5"/>
    <w:rsid w:val="54AF6C60"/>
    <w:rsid w:val="54B52F94"/>
    <w:rsid w:val="54BD36E4"/>
    <w:rsid w:val="54DD78BD"/>
    <w:rsid w:val="54E06144"/>
    <w:rsid w:val="54F52367"/>
    <w:rsid w:val="550A393D"/>
    <w:rsid w:val="555E54FB"/>
    <w:rsid w:val="556D2811"/>
    <w:rsid w:val="55767F46"/>
    <w:rsid w:val="55CE1AD5"/>
    <w:rsid w:val="55ED37B8"/>
    <w:rsid w:val="55F04C52"/>
    <w:rsid w:val="55F35D23"/>
    <w:rsid w:val="56281CBC"/>
    <w:rsid w:val="56333685"/>
    <w:rsid w:val="56540424"/>
    <w:rsid w:val="567466BA"/>
    <w:rsid w:val="567B7B50"/>
    <w:rsid w:val="568F0DF7"/>
    <w:rsid w:val="56A332D5"/>
    <w:rsid w:val="56AD59C6"/>
    <w:rsid w:val="56B85F25"/>
    <w:rsid w:val="56C325A5"/>
    <w:rsid w:val="56E709F8"/>
    <w:rsid w:val="56F10A56"/>
    <w:rsid w:val="56FB32FA"/>
    <w:rsid w:val="570703AF"/>
    <w:rsid w:val="572D602C"/>
    <w:rsid w:val="57364D30"/>
    <w:rsid w:val="573D71D1"/>
    <w:rsid w:val="57574216"/>
    <w:rsid w:val="57636B03"/>
    <w:rsid w:val="57A21363"/>
    <w:rsid w:val="57A54C20"/>
    <w:rsid w:val="57B06D46"/>
    <w:rsid w:val="57B937A9"/>
    <w:rsid w:val="57BB4E50"/>
    <w:rsid w:val="57C34B39"/>
    <w:rsid w:val="57DE1F69"/>
    <w:rsid w:val="57E116B4"/>
    <w:rsid w:val="580C0140"/>
    <w:rsid w:val="580F431F"/>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3E6CC6"/>
    <w:rsid w:val="59404EE0"/>
    <w:rsid w:val="594B0A62"/>
    <w:rsid w:val="594E1B0E"/>
    <w:rsid w:val="594F32F2"/>
    <w:rsid w:val="595461B1"/>
    <w:rsid w:val="59591BB8"/>
    <w:rsid w:val="595C743E"/>
    <w:rsid w:val="59760077"/>
    <w:rsid w:val="59820786"/>
    <w:rsid w:val="59A774F2"/>
    <w:rsid w:val="59AD15AB"/>
    <w:rsid w:val="59CE313C"/>
    <w:rsid w:val="59E474BD"/>
    <w:rsid w:val="59E869EC"/>
    <w:rsid w:val="59FC6B89"/>
    <w:rsid w:val="5A143012"/>
    <w:rsid w:val="5A261D0E"/>
    <w:rsid w:val="5A2907FC"/>
    <w:rsid w:val="5A2E6A84"/>
    <w:rsid w:val="5A412A61"/>
    <w:rsid w:val="5A4752E2"/>
    <w:rsid w:val="5A527BDD"/>
    <w:rsid w:val="5A905E59"/>
    <w:rsid w:val="5A9311E7"/>
    <w:rsid w:val="5AA72593"/>
    <w:rsid w:val="5AA9358C"/>
    <w:rsid w:val="5AD0373D"/>
    <w:rsid w:val="5AF81B7B"/>
    <w:rsid w:val="5AF86253"/>
    <w:rsid w:val="5AFB1569"/>
    <w:rsid w:val="5B047A73"/>
    <w:rsid w:val="5B081862"/>
    <w:rsid w:val="5B0A0B9B"/>
    <w:rsid w:val="5B1140FC"/>
    <w:rsid w:val="5B1C3DCA"/>
    <w:rsid w:val="5B24355B"/>
    <w:rsid w:val="5B2D01BB"/>
    <w:rsid w:val="5B340596"/>
    <w:rsid w:val="5B3F26B3"/>
    <w:rsid w:val="5B467F94"/>
    <w:rsid w:val="5B491028"/>
    <w:rsid w:val="5B4B70AC"/>
    <w:rsid w:val="5B850F8B"/>
    <w:rsid w:val="5B8A7522"/>
    <w:rsid w:val="5B946B5D"/>
    <w:rsid w:val="5BA53E1C"/>
    <w:rsid w:val="5BA92AAB"/>
    <w:rsid w:val="5BB41290"/>
    <w:rsid w:val="5BC50503"/>
    <w:rsid w:val="5BCC4827"/>
    <w:rsid w:val="5BCD464A"/>
    <w:rsid w:val="5BF50EB6"/>
    <w:rsid w:val="5BF92128"/>
    <w:rsid w:val="5BFA7DB5"/>
    <w:rsid w:val="5BFB1F01"/>
    <w:rsid w:val="5C075DA6"/>
    <w:rsid w:val="5C1D7D30"/>
    <w:rsid w:val="5C275BD4"/>
    <w:rsid w:val="5C491EC9"/>
    <w:rsid w:val="5C5028D7"/>
    <w:rsid w:val="5C6D1904"/>
    <w:rsid w:val="5C790A6A"/>
    <w:rsid w:val="5C81109C"/>
    <w:rsid w:val="5C9E10E9"/>
    <w:rsid w:val="5C9E40DE"/>
    <w:rsid w:val="5CA11D7F"/>
    <w:rsid w:val="5CAF4CE5"/>
    <w:rsid w:val="5CC927D0"/>
    <w:rsid w:val="5CDA6371"/>
    <w:rsid w:val="5CF30224"/>
    <w:rsid w:val="5CFC64A7"/>
    <w:rsid w:val="5D1516BF"/>
    <w:rsid w:val="5D1569ED"/>
    <w:rsid w:val="5D1B2A4F"/>
    <w:rsid w:val="5D2E6665"/>
    <w:rsid w:val="5D4F34F7"/>
    <w:rsid w:val="5D521435"/>
    <w:rsid w:val="5D623C65"/>
    <w:rsid w:val="5D810CA8"/>
    <w:rsid w:val="5D8C1819"/>
    <w:rsid w:val="5DC477E0"/>
    <w:rsid w:val="5DD05318"/>
    <w:rsid w:val="5DE97207"/>
    <w:rsid w:val="5DEF6C2B"/>
    <w:rsid w:val="5DF22741"/>
    <w:rsid w:val="5DFE50F6"/>
    <w:rsid w:val="5E026A9A"/>
    <w:rsid w:val="5E123553"/>
    <w:rsid w:val="5E186B89"/>
    <w:rsid w:val="5E2D7C7A"/>
    <w:rsid w:val="5E4E3F80"/>
    <w:rsid w:val="5E5F4BD4"/>
    <w:rsid w:val="5E852B0D"/>
    <w:rsid w:val="5E8A7777"/>
    <w:rsid w:val="5E932264"/>
    <w:rsid w:val="5EA1268E"/>
    <w:rsid w:val="5ED20F44"/>
    <w:rsid w:val="5EE7073E"/>
    <w:rsid w:val="5EF67A22"/>
    <w:rsid w:val="5EFB4ED5"/>
    <w:rsid w:val="5F123BC6"/>
    <w:rsid w:val="5F184877"/>
    <w:rsid w:val="5F1A7A37"/>
    <w:rsid w:val="5F2E3F46"/>
    <w:rsid w:val="5F406402"/>
    <w:rsid w:val="5F474C09"/>
    <w:rsid w:val="5F475D4B"/>
    <w:rsid w:val="5F63419E"/>
    <w:rsid w:val="5F6B086B"/>
    <w:rsid w:val="5F736746"/>
    <w:rsid w:val="5F7B52AA"/>
    <w:rsid w:val="5F880842"/>
    <w:rsid w:val="5FD95A66"/>
    <w:rsid w:val="5FDF7A00"/>
    <w:rsid w:val="5FE12AC5"/>
    <w:rsid w:val="5FF309C7"/>
    <w:rsid w:val="5FFC4765"/>
    <w:rsid w:val="60046C0F"/>
    <w:rsid w:val="600E4F7F"/>
    <w:rsid w:val="60131685"/>
    <w:rsid w:val="601327BB"/>
    <w:rsid w:val="60245068"/>
    <w:rsid w:val="60255BE3"/>
    <w:rsid w:val="602717FC"/>
    <w:rsid w:val="602A62F8"/>
    <w:rsid w:val="602C01A9"/>
    <w:rsid w:val="603B1B21"/>
    <w:rsid w:val="603F44BF"/>
    <w:rsid w:val="60504051"/>
    <w:rsid w:val="607F2EF2"/>
    <w:rsid w:val="60842FF2"/>
    <w:rsid w:val="60AF5E00"/>
    <w:rsid w:val="60B1155A"/>
    <w:rsid w:val="60B54161"/>
    <w:rsid w:val="60D43BFA"/>
    <w:rsid w:val="60E16AB6"/>
    <w:rsid w:val="60E40C2C"/>
    <w:rsid w:val="60F32CD5"/>
    <w:rsid w:val="610D2A7D"/>
    <w:rsid w:val="61111BF1"/>
    <w:rsid w:val="61175A9A"/>
    <w:rsid w:val="612129FE"/>
    <w:rsid w:val="61375BEC"/>
    <w:rsid w:val="614A2305"/>
    <w:rsid w:val="614E4437"/>
    <w:rsid w:val="615F1F60"/>
    <w:rsid w:val="6182631E"/>
    <w:rsid w:val="61AF5CD6"/>
    <w:rsid w:val="61BC217C"/>
    <w:rsid w:val="61D9772A"/>
    <w:rsid w:val="61DA1B5D"/>
    <w:rsid w:val="61DB33CF"/>
    <w:rsid w:val="61EF0933"/>
    <w:rsid w:val="61F2327B"/>
    <w:rsid w:val="61F64176"/>
    <w:rsid w:val="61F6471A"/>
    <w:rsid w:val="62413765"/>
    <w:rsid w:val="625A4915"/>
    <w:rsid w:val="625E2011"/>
    <w:rsid w:val="626E5BD1"/>
    <w:rsid w:val="627803DA"/>
    <w:rsid w:val="627966B2"/>
    <w:rsid w:val="62921FA4"/>
    <w:rsid w:val="62A06349"/>
    <w:rsid w:val="62BF1D8B"/>
    <w:rsid w:val="62C83DFB"/>
    <w:rsid w:val="62CB6DF0"/>
    <w:rsid w:val="62DC2379"/>
    <w:rsid w:val="62EF16C5"/>
    <w:rsid w:val="62FA52C3"/>
    <w:rsid w:val="63077DCD"/>
    <w:rsid w:val="630C3818"/>
    <w:rsid w:val="63196725"/>
    <w:rsid w:val="631F3FB6"/>
    <w:rsid w:val="63307428"/>
    <w:rsid w:val="63356B20"/>
    <w:rsid w:val="633B4FC0"/>
    <w:rsid w:val="6349142A"/>
    <w:rsid w:val="634B7547"/>
    <w:rsid w:val="63647D08"/>
    <w:rsid w:val="637E69F6"/>
    <w:rsid w:val="63B47AD6"/>
    <w:rsid w:val="63B55E70"/>
    <w:rsid w:val="63BD1F88"/>
    <w:rsid w:val="63D07482"/>
    <w:rsid w:val="63E85719"/>
    <w:rsid w:val="63F34E27"/>
    <w:rsid w:val="63FD53D7"/>
    <w:rsid w:val="640D3774"/>
    <w:rsid w:val="64190D1A"/>
    <w:rsid w:val="642E2D6E"/>
    <w:rsid w:val="642F141D"/>
    <w:rsid w:val="64387FCB"/>
    <w:rsid w:val="6439179D"/>
    <w:rsid w:val="643A7D3D"/>
    <w:rsid w:val="644845EE"/>
    <w:rsid w:val="64494CF7"/>
    <w:rsid w:val="644C43F2"/>
    <w:rsid w:val="645E071A"/>
    <w:rsid w:val="64611864"/>
    <w:rsid w:val="6465357A"/>
    <w:rsid w:val="64704226"/>
    <w:rsid w:val="647E3F09"/>
    <w:rsid w:val="64870014"/>
    <w:rsid w:val="64B42AB0"/>
    <w:rsid w:val="64B76AA3"/>
    <w:rsid w:val="64C61C82"/>
    <w:rsid w:val="64D124DB"/>
    <w:rsid w:val="64EB099D"/>
    <w:rsid w:val="65012AAF"/>
    <w:rsid w:val="65233DA8"/>
    <w:rsid w:val="652860EC"/>
    <w:rsid w:val="652A1A84"/>
    <w:rsid w:val="652A5D21"/>
    <w:rsid w:val="65480BBE"/>
    <w:rsid w:val="6554639C"/>
    <w:rsid w:val="65687D20"/>
    <w:rsid w:val="657B264C"/>
    <w:rsid w:val="65933B3C"/>
    <w:rsid w:val="65AE026A"/>
    <w:rsid w:val="65B955CA"/>
    <w:rsid w:val="65BE6C54"/>
    <w:rsid w:val="65CC3546"/>
    <w:rsid w:val="65CE71FF"/>
    <w:rsid w:val="65EE73B7"/>
    <w:rsid w:val="66087C36"/>
    <w:rsid w:val="660A413F"/>
    <w:rsid w:val="661A0E12"/>
    <w:rsid w:val="66214D7C"/>
    <w:rsid w:val="6624580B"/>
    <w:rsid w:val="6625001A"/>
    <w:rsid w:val="662A15EB"/>
    <w:rsid w:val="66356B67"/>
    <w:rsid w:val="665078F8"/>
    <w:rsid w:val="66760042"/>
    <w:rsid w:val="667B6C3F"/>
    <w:rsid w:val="66933BD2"/>
    <w:rsid w:val="66B40E42"/>
    <w:rsid w:val="66B56D61"/>
    <w:rsid w:val="66B56D68"/>
    <w:rsid w:val="66DA6071"/>
    <w:rsid w:val="66E9392A"/>
    <w:rsid w:val="66EA1480"/>
    <w:rsid w:val="67056631"/>
    <w:rsid w:val="6745249B"/>
    <w:rsid w:val="674672D3"/>
    <w:rsid w:val="676E6425"/>
    <w:rsid w:val="67770DB9"/>
    <w:rsid w:val="67776ADD"/>
    <w:rsid w:val="6779797F"/>
    <w:rsid w:val="6789047F"/>
    <w:rsid w:val="67A27AF8"/>
    <w:rsid w:val="67A720F6"/>
    <w:rsid w:val="67AC1398"/>
    <w:rsid w:val="67E7540E"/>
    <w:rsid w:val="67EA1736"/>
    <w:rsid w:val="67FC02AC"/>
    <w:rsid w:val="68006207"/>
    <w:rsid w:val="68070E08"/>
    <w:rsid w:val="682D2C3F"/>
    <w:rsid w:val="682D432C"/>
    <w:rsid w:val="68382592"/>
    <w:rsid w:val="684A32DA"/>
    <w:rsid w:val="684F053A"/>
    <w:rsid w:val="68524FFC"/>
    <w:rsid w:val="686541B5"/>
    <w:rsid w:val="68784674"/>
    <w:rsid w:val="687C00C8"/>
    <w:rsid w:val="687C4042"/>
    <w:rsid w:val="68A742AD"/>
    <w:rsid w:val="68B87F12"/>
    <w:rsid w:val="68C25CFA"/>
    <w:rsid w:val="68C731B8"/>
    <w:rsid w:val="68D536DE"/>
    <w:rsid w:val="68E62895"/>
    <w:rsid w:val="69044A5D"/>
    <w:rsid w:val="691052CA"/>
    <w:rsid w:val="69194464"/>
    <w:rsid w:val="691D05F7"/>
    <w:rsid w:val="69312B59"/>
    <w:rsid w:val="69446209"/>
    <w:rsid w:val="694E271E"/>
    <w:rsid w:val="69534859"/>
    <w:rsid w:val="69726337"/>
    <w:rsid w:val="69787B08"/>
    <w:rsid w:val="698B1B24"/>
    <w:rsid w:val="6994580C"/>
    <w:rsid w:val="69B75241"/>
    <w:rsid w:val="69BB0755"/>
    <w:rsid w:val="69CD6D6F"/>
    <w:rsid w:val="69FB0A5B"/>
    <w:rsid w:val="6A0D79AA"/>
    <w:rsid w:val="6A115C81"/>
    <w:rsid w:val="6A162FAD"/>
    <w:rsid w:val="6A165F97"/>
    <w:rsid w:val="6A22015C"/>
    <w:rsid w:val="6A7A60F7"/>
    <w:rsid w:val="6A7E417E"/>
    <w:rsid w:val="6A9C36E2"/>
    <w:rsid w:val="6AAC2E76"/>
    <w:rsid w:val="6AB90DA9"/>
    <w:rsid w:val="6AD73CE6"/>
    <w:rsid w:val="6AE03E44"/>
    <w:rsid w:val="6AEE1969"/>
    <w:rsid w:val="6AF4494F"/>
    <w:rsid w:val="6B0A125F"/>
    <w:rsid w:val="6B1834FD"/>
    <w:rsid w:val="6B23484A"/>
    <w:rsid w:val="6B30457A"/>
    <w:rsid w:val="6B3B1CB3"/>
    <w:rsid w:val="6B43702A"/>
    <w:rsid w:val="6B446AE6"/>
    <w:rsid w:val="6B524C27"/>
    <w:rsid w:val="6B5A1EC9"/>
    <w:rsid w:val="6B7308B4"/>
    <w:rsid w:val="6B744505"/>
    <w:rsid w:val="6B7B26EC"/>
    <w:rsid w:val="6B990784"/>
    <w:rsid w:val="6BA2498F"/>
    <w:rsid w:val="6BB93C93"/>
    <w:rsid w:val="6BBC51E6"/>
    <w:rsid w:val="6BBF609A"/>
    <w:rsid w:val="6BC012E3"/>
    <w:rsid w:val="6BCA0F7D"/>
    <w:rsid w:val="6BDE4DDD"/>
    <w:rsid w:val="6BE07242"/>
    <w:rsid w:val="6BE5514A"/>
    <w:rsid w:val="6BE82C3E"/>
    <w:rsid w:val="6BE972DB"/>
    <w:rsid w:val="6BFE0452"/>
    <w:rsid w:val="6C0F2440"/>
    <w:rsid w:val="6C176418"/>
    <w:rsid w:val="6C392A9F"/>
    <w:rsid w:val="6C452784"/>
    <w:rsid w:val="6C4D097B"/>
    <w:rsid w:val="6C531367"/>
    <w:rsid w:val="6C5973BD"/>
    <w:rsid w:val="6C5F452A"/>
    <w:rsid w:val="6C762792"/>
    <w:rsid w:val="6C7D1213"/>
    <w:rsid w:val="6C801375"/>
    <w:rsid w:val="6C822E35"/>
    <w:rsid w:val="6CA31B9D"/>
    <w:rsid w:val="6CA714E6"/>
    <w:rsid w:val="6CEF6EBD"/>
    <w:rsid w:val="6CF01C95"/>
    <w:rsid w:val="6CF542B7"/>
    <w:rsid w:val="6CFA3A07"/>
    <w:rsid w:val="6D0071CD"/>
    <w:rsid w:val="6D18295E"/>
    <w:rsid w:val="6D1A13F6"/>
    <w:rsid w:val="6D1F12FA"/>
    <w:rsid w:val="6D206AE2"/>
    <w:rsid w:val="6D497025"/>
    <w:rsid w:val="6D5941BB"/>
    <w:rsid w:val="6D5B0CBD"/>
    <w:rsid w:val="6D6D33F8"/>
    <w:rsid w:val="6D6F3AB1"/>
    <w:rsid w:val="6D73256C"/>
    <w:rsid w:val="6D760430"/>
    <w:rsid w:val="6D8A08D8"/>
    <w:rsid w:val="6D9541F5"/>
    <w:rsid w:val="6D961017"/>
    <w:rsid w:val="6DBF3CF2"/>
    <w:rsid w:val="6DCD4F84"/>
    <w:rsid w:val="6DCE3EDB"/>
    <w:rsid w:val="6DD23F1E"/>
    <w:rsid w:val="6DDB4275"/>
    <w:rsid w:val="6DEE2081"/>
    <w:rsid w:val="6E0135EB"/>
    <w:rsid w:val="6E0A26D3"/>
    <w:rsid w:val="6E1B7D7D"/>
    <w:rsid w:val="6E210E7D"/>
    <w:rsid w:val="6E336938"/>
    <w:rsid w:val="6E360304"/>
    <w:rsid w:val="6E4C0EF4"/>
    <w:rsid w:val="6E4E028C"/>
    <w:rsid w:val="6E565A56"/>
    <w:rsid w:val="6E5C1E9E"/>
    <w:rsid w:val="6E5D68D3"/>
    <w:rsid w:val="6E682450"/>
    <w:rsid w:val="6E6A511F"/>
    <w:rsid w:val="6E7251F0"/>
    <w:rsid w:val="6E757524"/>
    <w:rsid w:val="6E7934F3"/>
    <w:rsid w:val="6E9C5623"/>
    <w:rsid w:val="6E9E05A5"/>
    <w:rsid w:val="6EAD6286"/>
    <w:rsid w:val="6EB24C59"/>
    <w:rsid w:val="6EBD3CCD"/>
    <w:rsid w:val="6EC9468F"/>
    <w:rsid w:val="6ECD60E1"/>
    <w:rsid w:val="6EDB6C60"/>
    <w:rsid w:val="6F0F28B8"/>
    <w:rsid w:val="6F2428C0"/>
    <w:rsid w:val="6F350CF1"/>
    <w:rsid w:val="6F3A17D7"/>
    <w:rsid w:val="6F433285"/>
    <w:rsid w:val="6F591B5D"/>
    <w:rsid w:val="6F7E65DB"/>
    <w:rsid w:val="6F7F6D3A"/>
    <w:rsid w:val="6F8D476D"/>
    <w:rsid w:val="6F9016E6"/>
    <w:rsid w:val="6F981073"/>
    <w:rsid w:val="6FA172A4"/>
    <w:rsid w:val="6FE07DD0"/>
    <w:rsid w:val="6FF72D78"/>
    <w:rsid w:val="6FFF65EB"/>
    <w:rsid w:val="702D3A00"/>
    <w:rsid w:val="70341230"/>
    <w:rsid w:val="70342FAD"/>
    <w:rsid w:val="7034472B"/>
    <w:rsid w:val="705A14E5"/>
    <w:rsid w:val="705A4D1B"/>
    <w:rsid w:val="705F37D3"/>
    <w:rsid w:val="708B108A"/>
    <w:rsid w:val="709143C4"/>
    <w:rsid w:val="70930271"/>
    <w:rsid w:val="70DB5146"/>
    <w:rsid w:val="70E51B6F"/>
    <w:rsid w:val="70E561EA"/>
    <w:rsid w:val="70FA4092"/>
    <w:rsid w:val="70FC3C7A"/>
    <w:rsid w:val="71075B1A"/>
    <w:rsid w:val="710E7F44"/>
    <w:rsid w:val="71193089"/>
    <w:rsid w:val="71211292"/>
    <w:rsid w:val="71243B68"/>
    <w:rsid w:val="712776C4"/>
    <w:rsid w:val="714344B4"/>
    <w:rsid w:val="71654226"/>
    <w:rsid w:val="7181738B"/>
    <w:rsid w:val="71820038"/>
    <w:rsid w:val="718B1478"/>
    <w:rsid w:val="71990145"/>
    <w:rsid w:val="719E164B"/>
    <w:rsid w:val="71A6693A"/>
    <w:rsid w:val="71AD6080"/>
    <w:rsid w:val="71BB33A2"/>
    <w:rsid w:val="71C01671"/>
    <w:rsid w:val="71C12788"/>
    <w:rsid w:val="71C90ED8"/>
    <w:rsid w:val="71D72430"/>
    <w:rsid w:val="71E12038"/>
    <w:rsid w:val="720A6753"/>
    <w:rsid w:val="720F4AFB"/>
    <w:rsid w:val="72112B83"/>
    <w:rsid w:val="72143F3C"/>
    <w:rsid w:val="721F61D9"/>
    <w:rsid w:val="723D42BE"/>
    <w:rsid w:val="72412901"/>
    <w:rsid w:val="72553DBC"/>
    <w:rsid w:val="72777556"/>
    <w:rsid w:val="72887B37"/>
    <w:rsid w:val="72910320"/>
    <w:rsid w:val="72A53302"/>
    <w:rsid w:val="72B3410C"/>
    <w:rsid w:val="72BD6DA9"/>
    <w:rsid w:val="72CB01B8"/>
    <w:rsid w:val="72CB5E1F"/>
    <w:rsid w:val="72D95B00"/>
    <w:rsid w:val="72F66709"/>
    <w:rsid w:val="730554B3"/>
    <w:rsid w:val="73092FAA"/>
    <w:rsid w:val="73272012"/>
    <w:rsid w:val="732C3102"/>
    <w:rsid w:val="73413694"/>
    <w:rsid w:val="734608F5"/>
    <w:rsid w:val="736D4BAC"/>
    <w:rsid w:val="736F1AFC"/>
    <w:rsid w:val="739B5B15"/>
    <w:rsid w:val="73B36872"/>
    <w:rsid w:val="73BA58B5"/>
    <w:rsid w:val="73CA3FB8"/>
    <w:rsid w:val="73E63732"/>
    <w:rsid w:val="73EC345F"/>
    <w:rsid w:val="73F34510"/>
    <w:rsid w:val="73FD1118"/>
    <w:rsid w:val="74090510"/>
    <w:rsid w:val="740E2D2D"/>
    <w:rsid w:val="7410282D"/>
    <w:rsid w:val="741752A2"/>
    <w:rsid w:val="74223A5C"/>
    <w:rsid w:val="742661E9"/>
    <w:rsid w:val="746075B0"/>
    <w:rsid w:val="746B6757"/>
    <w:rsid w:val="74780C44"/>
    <w:rsid w:val="7479294A"/>
    <w:rsid w:val="747B5C9D"/>
    <w:rsid w:val="747F1177"/>
    <w:rsid w:val="748028C0"/>
    <w:rsid w:val="748431AE"/>
    <w:rsid w:val="74A471EE"/>
    <w:rsid w:val="74AB58BC"/>
    <w:rsid w:val="74C111AB"/>
    <w:rsid w:val="74C768EE"/>
    <w:rsid w:val="74CA493F"/>
    <w:rsid w:val="74E97F38"/>
    <w:rsid w:val="74F13E40"/>
    <w:rsid w:val="750B1697"/>
    <w:rsid w:val="752A3F7B"/>
    <w:rsid w:val="7533655A"/>
    <w:rsid w:val="75444F15"/>
    <w:rsid w:val="75485488"/>
    <w:rsid w:val="75733C39"/>
    <w:rsid w:val="758516A2"/>
    <w:rsid w:val="759A2104"/>
    <w:rsid w:val="75B35E00"/>
    <w:rsid w:val="75CD1343"/>
    <w:rsid w:val="75EB2F64"/>
    <w:rsid w:val="75F04A64"/>
    <w:rsid w:val="7609404D"/>
    <w:rsid w:val="76192C32"/>
    <w:rsid w:val="761D1573"/>
    <w:rsid w:val="761F64EF"/>
    <w:rsid w:val="76281DF8"/>
    <w:rsid w:val="763929C4"/>
    <w:rsid w:val="765B6CE9"/>
    <w:rsid w:val="765D3DA8"/>
    <w:rsid w:val="766740C2"/>
    <w:rsid w:val="766852F0"/>
    <w:rsid w:val="766A6521"/>
    <w:rsid w:val="766C7968"/>
    <w:rsid w:val="766E7DAC"/>
    <w:rsid w:val="76936F16"/>
    <w:rsid w:val="76993FC0"/>
    <w:rsid w:val="76A64EB2"/>
    <w:rsid w:val="76BC1014"/>
    <w:rsid w:val="77025DC3"/>
    <w:rsid w:val="772354E1"/>
    <w:rsid w:val="77276E30"/>
    <w:rsid w:val="772C68C6"/>
    <w:rsid w:val="773E0DC5"/>
    <w:rsid w:val="77594BC8"/>
    <w:rsid w:val="776C53FF"/>
    <w:rsid w:val="776E3681"/>
    <w:rsid w:val="777E5705"/>
    <w:rsid w:val="7781654E"/>
    <w:rsid w:val="779231D8"/>
    <w:rsid w:val="77A618BC"/>
    <w:rsid w:val="77B92312"/>
    <w:rsid w:val="77CC68FE"/>
    <w:rsid w:val="77DE5CDB"/>
    <w:rsid w:val="77F67883"/>
    <w:rsid w:val="7827423F"/>
    <w:rsid w:val="78341E10"/>
    <w:rsid w:val="78386307"/>
    <w:rsid w:val="783A63BE"/>
    <w:rsid w:val="78493B6B"/>
    <w:rsid w:val="7850391E"/>
    <w:rsid w:val="78586B5B"/>
    <w:rsid w:val="78597E32"/>
    <w:rsid w:val="78703EBE"/>
    <w:rsid w:val="78805A36"/>
    <w:rsid w:val="78830880"/>
    <w:rsid w:val="78970F49"/>
    <w:rsid w:val="78A51D8F"/>
    <w:rsid w:val="78AE0946"/>
    <w:rsid w:val="78D02D1A"/>
    <w:rsid w:val="78D1727E"/>
    <w:rsid w:val="78D17516"/>
    <w:rsid w:val="78D96E40"/>
    <w:rsid w:val="78FE038B"/>
    <w:rsid w:val="7911644D"/>
    <w:rsid w:val="792078D7"/>
    <w:rsid w:val="79331EC1"/>
    <w:rsid w:val="79404911"/>
    <w:rsid w:val="794D0D3C"/>
    <w:rsid w:val="7967360B"/>
    <w:rsid w:val="79781473"/>
    <w:rsid w:val="7986601A"/>
    <w:rsid w:val="79905EB8"/>
    <w:rsid w:val="7993616D"/>
    <w:rsid w:val="799D69BF"/>
    <w:rsid w:val="799F3A31"/>
    <w:rsid w:val="79AE14B2"/>
    <w:rsid w:val="79B1687C"/>
    <w:rsid w:val="79B22738"/>
    <w:rsid w:val="79CE4B72"/>
    <w:rsid w:val="79FE0269"/>
    <w:rsid w:val="7A055366"/>
    <w:rsid w:val="7A292C38"/>
    <w:rsid w:val="7A49541C"/>
    <w:rsid w:val="7A5E6715"/>
    <w:rsid w:val="7A5F22B4"/>
    <w:rsid w:val="7A680094"/>
    <w:rsid w:val="7A7508D5"/>
    <w:rsid w:val="7A80455C"/>
    <w:rsid w:val="7A81102C"/>
    <w:rsid w:val="7A8D6BBC"/>
    <w:rsid w:val="7AA37ECA"/>
    <w:rsid w:val="7AB16073"/>
    <w:rsid w:val="7ABB5514"/>
    <w:rsid w:val="7AC2458A"/>
    <w:rsid w:val="7ADE3222"/>
    <w:rsid w:val="7AF037CB"/>
    <w:rsid w:val="7AF04DB0"/>
    <w:rsid w:val="7AFA759D"/>
    <w:rsid w:val="7B0D28AD"/>
    <w:rsid w:val="7B133363"/>
    <w:rsid w:val="7B1C1737"/>
    <w:rsid w:val="7B2F5379"/>
    <w:rsid w:val="7B322761"/>
    <w:rsid w:val="7B3C2640"/>
    <w:rsid w:val="7B41164E"/>
    <w:rsid w:val="7B4443D1"/>
    <w:rsid w:val="7BA76397"/>
    <w:rsid w:val="7BB151FD"/>
    <w:rsid w:val="7BB43296"/>
    <w:rsid w:val="7BBE12F2"/>
    <w:rsid w:val="7BDE6C84"/>
    <w:rsid w:val="7BE07A81"/>
    <w:rsid w:val="7BE81B8B"/>
    <w:rsid w:val="7BE97D38"/>
    <w:rsid w:val="7BED162A"/>
    <w:rsid w:val="7BF01170"/>
    <w:rsid w:val="7C272B3E"/>
    <w:rsid w:val="7C471D4F"/>
    <w:rsid w:val="7C573A0C"/>
    <w:rsid w:val="7C5A71C2"/>
    <w:rsid w:val="7C7A6596"/>
    <w:rsid w:val="7CA76A22"/>
    <w:rsid w:val="7CB167D6"/>
    <w:rsid w:val="7CCC4E54"/>
    <w:rsid w:val="7CEB2ACD"/>
    <w:rsid w:val="7CEF6F65"/>
    <w:rsid w:val="7CF41D8D"/>
    <w:rsid w:val="7D0E7370"/>
    <w:rsid w:val="7D2745EF"/>
    <w:rsid w:val="7D2D2CA0"/>
    <w:rsid w:val="7D5C29E8"/>
    <w:rsid w:val="7D7A7BC6"/>
    <w:rsid w:val="7D995EB0"/>
    <w:rsid w:val="7DBB08B6"/>
    <w:rsid w:val="7DBC7173"/>
    <w:rsid w:val="7DC815C9"/>
    <w:rsid w:val="7DD90B59"/>
    <w:rsid w:val="7DEF15A6"/>
    <w:rsid w:val="7DFC511B"/>
    <w:rsid w:val="7E0565F6"/>
    <w:rsid w:val="7E221AFC"/>
    <w:rsid w:val="7E2A514E"/>
    <w:rsid w:val="7E2C4E20"/>
    <w:rsid w:val="7E2D20BE"/>
    <w:rsid w:val="7E35355F"/>
    <w:rsid w:val="7E4306A6"/>
    <w:rsid w:val="7E5733E1"/>
    <w:rsid w:val="7E660C33"/>
    <w:rsid w:val="7E6637F7"/>
    <w:rsid w:val="7E707801"/>
    <w:rsid w:val="7E733B66"/>
    <w:rsid w:val="7E8A121F"/>
    <w:rsid w:val="7EA36680"/>
    <w:rsid w:val="7EC12AAE"/>
    <w:rsid w:val="7EC52141"/>
    <w:rsid w:val="7EC73D34"/>
    <w:rsid w:val="7ED12FEE"/>
    <w:rsid w:val="7EFD03F7"/>
    <w:rsid w:val="7F1648D6"/>
    <w:rsid w:val="7F21639D"/>
    <w:rsid w:val="7F23784E"/>
    <w:rsid w:val="7F3A0E31"/>
    <w:rsid w:val="7F442E56"/>
    <w:rsid w:val="7F457080"/>
    <w:rsid w:val="7F4734EB"/>
    <w:rsid w:val="7F486BDC"/>
    <w:rsid w:val="7F493BBB"/>
    <w:rsid w:val="7F4C71A0"/>
    <w:rsid w:val="7F5124CE"/>
    <w:rsid w:val="7F5653E5"/>
    <w:rsid w:val="7F6347A3"/>
    <w:rsid w:val="7F6F44D4"/>
    <w:rsid w:val="7F7B4335"/>
    <w:rsid w:val="7F8805ED"/>
    <w:rsid w:val="7FB745D2"/>
    <w:rsid w:val="7FC4182D"/>
    <w:rsid w:val="7FC44AE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95</TotalTime>
  <ScaleCrop>false</ScaleCrop>
  <LinksUpToDate>false</LinksUpToDate>
  <CharactersWithSpaces>26786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2021-01-21T08:21:33Z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2052-11.1.0.10314</vt:lpwstr>
  </property>
</Properties>
</file>