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85483C" w:rsidP="005622FD">
      <w:pPr>
        <w:ind w:firstLine="420"/>
        <w:rPr>
          <w:rFonts w:cs="Times New Roman"/>
        </w:rPr>
      </w:pPr>
      <w:bookmarkStart w:id="0" w:name="_Toc485828985"/>
      <w:r w:rsidRPr="008548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85483C" w:rsidP="005622FD">
      <w:pPr>
        <w:ind w:firstLine="420"/>
        <w:rPr>
          <w:rFonts w:cs="Times New Roman"/>
        </w:rPr>
      </w:pPr>
      <w:r w:rsidRPr="008548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2F772D">
                    <w:rPr>
                      <w:rFonts w:hint="eastAsia"/>
                      <w:kern w:val="2"/>
                    </w:rPr>
                    <w:t>2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4E3A3B">
                    <w:rPr>
                      <w:rFonts w:hint="eastAsia"/>
                      <w:kern w:val="2"/>
                    </w:rPr>
                    <w:t>20</w:t>
                  </w:r>
                </w:p>
              </w:txbxContent>
            </v:textbox>
          </v:shape>
        </w:pict>
      </w:r>
      <w:r w:rsidRPr="0085483C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85483C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85483C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85483C">
                    <w:fldChar w:fldCharType="begin"/>
                  </w:r>
                  <w:r w:rsidR="00890D02">
                    <w:instrText xml:space="preserve"> TOC \o "1-3" \h \z \u </w:instrText>
                  </w:r>
                  <w:r w:rsidRPr="0085483C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2F772D">
                      <w:rPr>
                        <w:rStyle w:val="aa"/>
                        <w:noProof/>
                      </w:rPr>
                      <w:t>.</w:t>
                    </w:r>
                    <w:r w:rsidR="002F772D">
                      <w:rPr>
                        <w:rStyle w:val="aa"/>
                        <w:rFonts w:hint="eastAsia"/>
                        <w:noProof/>
                      </w:rPr>
                      <w:t>2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4E3A3B">
                      <w:rPr>
                        <w:rStyle w:val="aa"/>
                        <w:rFonts w:hint="eastAsia"/>
                        <w:noProof/>
                      </w:rPr>
                      <w:t>20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85483C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85483C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4E3A3B" w:rsidRPr="004E3A3B" w:rsidRDefault="004E3A3B" w:rsidP="004E3A3B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4E3A3B">
        <w:rPr>
          <w:rFonts w:ascii="仿宋" w:eastAsia="仿宋" w:hAnsi="仿宋" w:cs="仿宋"/>
          <w:sz w:val="28"/>
          <w:szCs w:val="28"/>
        </w:rPr>
        <w:t>本周国内纯碱成交价格以稳为主，受运输不畅影响，上下游均有提前协商签单，近期多以走量运行，整体行情变化不大。本周河南金山、河南金天、福建耀隆、云南云维等企业装置停车及低产影响明显，另外青海盐湖、青海五彩、青海发投、青海昆仑、河南骏化等企业装置开产提升，整体纯碱行业开工负荷以上升表现为主，加之运输不畅，部分企业供应增加明显，纯碱厂家2月订单充足，节后余另订单指标较少，节前发运偏紧，节后需求略弱，下游用户订单考虑年后影响不明，节前到货居多，节后运输复苏走货量减弱。</w:t>
      </w:r>
    </w:p>
    <w:p w:rsidR="004E3A3B" w:rsidRPr="004E3A3B" w:rsidRDefault="004E3A3B" w:rsidP="004E3A3B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4E3A3B">
        <w:rPr>
          <w:rFonts w:ascii="仿宋" w:eastAsia="仿宋" w:hAnsi="仿宋" w:cs="仿宋"/>
          <w:sz w:val="28"/>
          <w:szCs w:val="28"/>
        </w:rPr>
        <w:t>本周纯碱成本无明显变化，春节期间以前期原料为主，厂家货源尚足，纯碱的成本面变化不大。纯碱的利润水平持稳运行，受企业成</w:t>
      </w:r>
      <w:r w:rsidRPr="004E3A3B">
        <w:rPr>
          <w:rFonts w:ascii="仿宋" w:eastAsia="仿宋" w:hAnsi="仿宋" w:cs="仿宋"/>
          <w:sz w:val="28"/>
          <w:szCs w:val="28"/>
        </w:rPr>
        <w:lastRenderedPageBreak/>
        <w:t>本及市场价格维稳表现，厂家的利润水平良好。库存水平受运输不畅而大幅提升，截止2月18日，纯碱企业库存总量为71.5万吨，较上上周↑35%。综合来看，国内纯碱市场空好因素均存，受节后库存增压，开工走高且下游按需采购情绪以节后观望影响，供需面春节后价格支撑略弱，行情暂以维稳运行。</w:t>
      </w:r>
    </w:p>
    <w:p w:rsidR="004E3A3B" w:rsidRPr="004E3A3B" w:rsidRDefault="004E3A3B" w:rsidP="004E3A3B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AE20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</w:t>
            </w:r>
            <w:r w:rsidR="004E3A3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1380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26E84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</w:t>
            </w:r>
            <w:r w:rsidR="00687E6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126E84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148</w:t>
            </w:r>
            <w:r w:rsidR="006343B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</w:t>
            </w:r>
            <w:r w:rsidR="001C08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4E3A3B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4E3A3B">
            <w:pPr>
              <w:ind w:firstLine="420"/>
            </w:pP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</w:tr>
      <w:tr w:rsidR="004E3A3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4E3A3B">
            <w:pPr>
              <w:ind w:firstLine="420"/>
            </w:pP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</w:tr>
      <w:tr w:rsidR="004E3A3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4E3A3B">
            <w:pPr>
              <w:ind w:firstLine="420"/>
            </w:pP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</w:tr>
      <w:tr w:rsidR="004E3A3B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4E3A3B">
            <w:pPr>
              <w:ind w:firstLine="420"/>
            </w:pP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4E3A3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4E3A3B">
            <w:pPr>
              <w:ind w:firstLine="420"/>
            </w:pP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4E3A3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</w:tr>
      <w:tr w:rsidR="004E3A3B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3A3B" w:rsidRDefault="004E3A3B" w:rsidP="004E3A3B">
            <w:pPr>
              <w:ind w:firstLine="420"/>
            </w:pP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70A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0A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2/20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3A3B" w:rsidRDefault="004E3A3B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1280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4E3A3B" w:rsidRPr="004E3A3B" w:rsidRDefault="004E3A3B" w:rsidP="004E3A3B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4E3A3B">
        <w:rPr>
          <w:rFonts w:ascii="仿宋" w:eastAsia="仿宋" w:hAnsi="仿宋" w:cs="仿宋"/>
          <w:sz w:val="28"/>
          <w:szCs w:val="28"/>
        </w:rPr>
        <w:t>本周春节期间中国液碱市场成交一般，各个地区有累库表现。北方地区液碱出货情况不佳，部分地区有下调表现;南方地区春节期间氯碱装置多因液氯出货难的问题减产运行，多数企业保持6-8成的生产负荷运行。 春节期间中国液碱市场表现平淡，各地区走货接皆放缓表现，现阶段库存水平普遍偏高。部分地区春节期间出货价格下调15元/吨，春节期间因物流以及下游停工影响，企业出货压力较大，价格弱势走跌，但随着下游及运输的恢复，厂家交易有好转趋势。液碱市场零星调整为主，受春节期间高速公路对危化品禁行等利空因素制约企业出货情况，且节前下游已有一定货物储备，节日期间山东地区液碱开工微降，价格灵活调整，目前下游目前多已复工，预计近期</w:t>
      </w:r>
      <w:r w:rsidRPr="004E3A3B">
        <w:rPr>
          <w:rFonts w:ascii="仿宋" w:eastAsia="仿宋" w:hAnsi="仿宋" w:cs="仿宋"/>
          <w:sz w:val="28"/>
          <w:szCs w:val="28"/>
        </w:rPr>
        <w:lastRenderedPageBreak/>
        <w:t>以消化库存为主。天津、山西地区液碱价格表现稳定，按需发货为主。下周来看，下游逐渐开始复工复产，提货热情将有所恢复，预计厂家库存将有所降温，价格或有小幅上行表现。预计价格调整幅度在10-30元/吨。</w:t>
      </w:r>
    </w:p>
    <w:p w:rsidR="002F772D" w:rsidRPr="002F772D" w:rsidRDefault="002F772D" w:rsidP="002F772D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D90CA5" w:rsidRDefault="001C0884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C0884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884" w:rsidRDefault="00E21243" w:rsidP="00687E6F">
            <w:pPr>
              <w:ind w:firstLine="420"/>
              <w:rPr>
                <w:rFonts w:cs="Times New Roman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2021/2</w:t>
            </w:r>
            <w:r w:rsidR="006A7371">
              <w:rPr>
                <w:rFonts w:asciiTheme="minorEastAsia" w:eastAsiaTheme="minorEastAsia" w:hAnsiTheme="minorEastAsia" w:hint="eastAsia"/>
                <w:kern w:val="0"/>
              </w:rPr>
              <w:t>/</w:t>
            </w:r>
            <w:r w:rsidR="00FC3FF0">
              <w:rPr>
                <w:rFonts w:asciiTheme="minorEastAsia" w:eastAsiaTheme="minorEastAsia" w:hAnsiTheme="minorEastAsia" w:hint="eastAsia"/>
                <w:kern w:val="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  <w:r w:rsidR="001C08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2050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687E6F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1550</w:t>
            </w:r>
          </w:p>
        </w:tc>
      </w:tr>
      <w:tr w:rsidR="00FC3FF0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FF0" w:rsidRDefault="00FC3FF0" w:rsidP="00FC3FF0">
            <w:pPr>
              <w:ind w:firstLine="420"/>
            </w:pPr>
            <w:r w:rsidRPr="00090E61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FF0" w:rsidRDefault="00FC3FF0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59" w:name="_Toc527705003"/>
      <w:bookmarkStart w:id="260" w:name="_Toc233795930"/>
      <w:bookmarkStart w:id="261" w:name="_Toc295403452"/>
      <w:bookmarkStart w:id="262" w:name="_Toc525289549"/>
      <w:bookmarkStart w:id="263" w:name="_Toc516234900"/>
      <w:bookmarkStart w:id="264" w:name="_Toc1394103"/>
      <w:bookmarkStart w:id="265" w:name="_Toc521057604"/>
      <w:bookmarkStart w:id="266" w:name="_Toc250731929"/>
      <w:bookmarkStart w:id="267" w:name="_Toc4139109"/>
      <w:bookmarkStart w:id="268" w:name="_Toc4596902"/>
      <w:bookmarkStart w:id="269" w:name="_Toc300238851"/>
      <w:bookmarkStart w:id="270" w:name="_Toc518638262"/>
      <w:bookmarkStart w:id="271" w:name="_Toc515610376"/>
      <w:bookmarkStart w:id="272" w:name="_Toc528930996"/>
      <w:bookmarkStart w:id="273" w:name="_Toc525912529"/>
      <w:bookmarkStart w:id="274" w:name="_Toc518032002"/>
      <w:bookmarkStart w:id="275" w:name="_Toc516234894"/>
      <w:bookmarkStart w:id="276" w:name="_Toc522870763"/>
      <w:bookmarkStart w:id="277" w:name="_Toc527101793"/>
      <w:bookmarkStart w:id="278" w:name="_Toc511390008"/>
      <w:bookmarkStart w:id="279" w:name="_Toc517425041"/>
      <w:bookmarkStart w:id="280" w:name="_Toc528329959"/>
      <w:bookmarkStart w:id="281" w:name="_Toc9597669"/>
      <w:bookmarkStart w:id="282" w:name="_Toc12609913"/>
      <w:bookmarkStart w:id="283" w:name="_Toc532564066"/>
      <w:bookmarkStart w:id="284" w:name="_Toc13217641"/>
      <w:bookmarkStart w:id="285" w:name="_Toc530128352"/>
      <w:bookmarkStart w:id="286" w:name="_Toc532564040"/>
      <w:bookmarkStart w:id="287" w:name="_Toc528919989"/>
      <w:bookmarkStart w:id="288" w:name="_Toc520465079"/>
      <w:bookmarkStart w:id="289" w:name="_Toc10202318"/>
      <w:bookmarkStart w:id="290" w:name="_Toc534378403"/>
      <w:bookmarkStart w:id="291" w:name="_Toc524701467"/>
      <w:bookmarkStart w:id="292" w:name="_Toc532564263"/>
      <w:bookmarkStart w:id="293" w:name="_Toc525306466"/>
      <w:bookmarkStart w:id="294" w:name="_Toc535588711"/>
      <w:bookmarkStart w:id="295" w:name="_Toc534915168"/>
      <w:bookmarkStart w:id="296" w:name="_Toc536198170"/>
      <w:bookmarkStart w:id="297" w:name="_Toc536540310"/>
      <w:bookmarkStart w:id="298" w:name="_Toc1739297"/>
      <w:bookmarkStart w:id="299" w:name="_Toc533149333"/>
      <w:bookmarkStart w:id="300" w:name="_Toc1139288"/>
      <w:bookmarkStart w:id="301" w:name="_Toc8991663"/>
      <w:bookmarkStart w:id="302" w:name="_Toc9583962"/>
      <w:bookmarkStart w:id="303" w:name="_Toc4654039"/>
      <w:bookmarkStart w:id="304" w:name="_Toc392240282"/>
      <w:bookmarkStart w:id="305" w:name="_Toc8378825"/>
      <w:bookmarkStart w:id="306" w:name="_Toc8313143"/>
      <w:bookmarkStart w:id="307" w:name="_Toc4767074"/>
      <w:bookmarkStart w:id="308" w:name="_Toc522870748"/>
      <w:bookmarkStart w:id="309" w:name="_Toc524091684"/>
      <w:bookmarkStart w:id="310" w:name="_Toc513127193"/>
      <w:bookmarkStart w:id="311" w:name="_Toc522870772"/>
      <w:bookmarkStart w:id="312" w:name="_Toc536541140"/>
      <w:bookmarkStart w:id="313" w:name="_Toc1035933"/>
      <w:bookmarkStart w:id="314" w:name="_Toc530750142"/>
      <w:bookmarkStart w:id="315" w:name="_Toc252539758"/>
      <w:bookmarkStart w:id="316" w:name="_Toc531954275"/>
      <w:bookmarkStart w:id="317" w:name="_Toc485981325"/>
      <w:bookmarkStart w:id="318" w:name="_Toc536789788"/>
      <w:bookmarkStart w:id="319" w:name="_Toc529526328"/>
      <w:bookmarkStart w:id="320" w:name="_Toc522259767"/>
      <w:bookmarkStart w:id="321" w:name="_Toc522280057"/>
      <w:bookmarkStart w:id="322" w:name="_Toc521660550"/>
      <w:bookmarkStart w:id="323" w:name="_Toc525306477"/>
      <w:bookmarkStart w:id="324" w:name="_Toc522870754"/>
      <w:bookmarkStart w:id="325" w:name="_Toc516839087"/>
      <w:bookmarkStart w:id="326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761A35" w:rsidRPr="00761A35" w:rsidRDefault="00761A35" w:rsidP="00761A3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761A35">
        <w:rPr>
          <w:rFonts w:ascii="仿宋" w:eastAsia="仿宋" w:hAnsi="仿宋" w:cs="仿宋"/>
          <w:sz w:val="28"/>
          <w:szCs w:val="28"/>
        </w:rPr>
        <w:t>本周春节期间北方液氯市场强势反弹，累计上涨500元/吨;华东地区处于低稳态势，价格偏低。部分液氯市场春节期间价格上涨，累计上调500元/吨，本次春节期间液氯价格调整较为频繁，春节期间液氯处于近期低位水平，终端客户存货积极性较高　　华东地区液氯市场春节期间耗氯下游停工较多，液氯需求萎缩加之高速禁行危化品，运输受限影响等因素下氯碱企业多降负荷运行;江苏、安徽氯碱企业负荷维持在6-8成之间运行。春节期间整体市场价格相对平稳，出货情况相对稳定，区域内自给自足为主，外来货源减少，本地价格保持坚挺态势。氯市场横盘整理为主，局部有下滑风险;华东地区预计新增产能释放，企业出货受阻，价格有创新低的可能。</w:t>
      </w:r>
    </w:p>
    <w:p w:rsidR="001C0884" w:rsidRPr="002F772D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E21243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243" w:rsidRDefault="00E21243" w:rsidP="00E21243">
            <w:pPr>
              <w:ind w:firstLine="420"/>
            </w:pPr>
            <w:r w:rsidRPr="00010F22">
              <w:rPr>
                <w:rFonts w:asciiTheme="minorEastAsia" w:eastAsiaTheme="minorEastAsia" w:hAnsiTheme="minorEastAsia" w:hint="eastAsia"/>
                <w:kern w:val="0"/>
              </w:rPr>
              <w:t>2021/2/</w:t>
            </w:r>
            <w:r w:rsidR="00FC3FF0">
              <w:rPr>
                <w:rFonts w:asciiTheme="minorEastAsia" w:eastAsiaTheme="minorEastAsia" w:hAnsiTheme="minorEastAsia" w:hint="eastAsia"/>
                <w:kern w:val="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243" w:rsidRDefault="00E21243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243" w:rsidRDefault="00E21243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243" w:rsidRDefault="00761A3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243" w:rsidRDefault="00761A3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C3FF0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FF0" w:rsidRDefault="00FC3FF0" w:rsidP="00FC3FF0">
            <w:pPr>
              <w:ind w:firstLine="420"/>
            </w:pPr>
            <w:r w:rsidRPr="005468E2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2021/2/20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C3FF0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FF0" w:rsidRDefault="00FC3FF0" w:rsidP="00FC3FF0">
            <w:pPr>
              <w:ind w:firstLine="420"/>
            </w:pPr>
            <w:r w:rsidRPr="005468E2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C3FF0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FF0" w:rsidRDefault="00FC3FF0" w:rsidP="00FC3FF0">
            <w:pPr>
              <w:ind w:firstLine="420"/>
            </w:pPr>
            <w:r w:rsidRPr="005468E2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FC3FF0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FF0" w:rsidRDefault="00FC3FF0" w:rsidP="00FC3FF0">
            <w:pPr>
              <w:ind w:firstLine="420"/>
            </w:pPr>
            <w:r w:rsidRPr="005468E2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C3FF0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FF0" w:rsidRDefault="00FC3FF0" w:rsidP="00FC3FF0">
            <w:pPr>
              <w:ind w:firstLine="420"/>
            </w:pPr>
            <w:r w:rsidRPr="005468E2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FC3FF0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FF0" w:rsidRDefault="00FC3FF0" w:rsidP="00FC3FF0">
            <w:pPr>
              <w:ind w:firstLine="420"/>
            </w:pPr>
            <w:r w:rsidRPr="005468E2">
              <w:rPr>
                <w:rFonts w:asciiTheme="minorEastAsia" w:eastAsiaTheme="minorEastAsia" w:hAnsiTheme="minorEastAsia" w:hint="eastAsia"/>
                <w:kern w:val="0"/>
              </w:rPr>
              <w:t>2021/2/20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FF0" w:rsidRDefault="00FC3FF0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FC" w:rsidRDefault="005E7FFC" w:rsidP="00935B31">
      <w:pPr>
        <w:ind w:firstLine="420"/>
      </w:pPr>
      <w:r>
        <w:separator/>
      </w:r>
    </w:p>
  </w:endnote>
  <w:endnote w:type="continuationSeparator" w:id="1">
    <w:p w:rsidR="005E7FFC" w:rsidRDefault="005E7FFC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5483C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761A35">
      <w:rPr>
        <w:b/>
        <w:bCs/>
        <w:noProof/>
      </w:rPr>
      <w:t>1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761A35">
      <w:rPr>
        <w:b/>
        <w:bCs/>
        <w:noProof/>
      </w:rPr>
      <w:t>9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FC" w:rsidRDefault="005E7FFC" w:rsidP="00935B31">
      <w:pPr>
        <w:ind w:firstLine="420"/>
      </w:pPr>
      <w:r>
        <w:separator/>
      </w:r>
    </w:p>
  </w:footnote>
  <w:footnote w:type="continuationSeparator" w:id="1">
    <w:p w:rsidR="005E7FFC" w:rsidRDefault="005E7FFC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5483C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1E0E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26E84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E11E0"/>
    <w:rsid w:val="002E3CE5"/>
    <w:rsid w:val="002E3DB4"/>
    <w:rsid w:val="002E415C"/>
    <w:rsid w:val="002E4AEB"/>
    <w:rsid w:val="002E7AC7"/>
    <w:rsid w:val="002F1450"/>
    <w:rsid w:val="002F27CF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D0F4C"/>
    <w:rsid w:val="003D13FD"/>
    <w:rsid w:val="003D4003"/>
    <w:rsid w:val="003D6138"/>
    <w:rsid w:val="003E10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34E1"/>
    <w:rsid w:val="0068540E"/>
    <w:rsid w:val="00687E6F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729"/>
    <w:rsid w:val="007619F9"/>
    <w:rsid w:val="00761A35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50EDB"/>
    <w:rsid w:val="00851423"/>
    <w:rsid w:val="0085483C"/>
    <w:rsid w:val="00854E9B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E58D6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1243"/>
    <w:rsid w:val="00E26184"/>
    <w:rsid w:val="00E26B1F"/>
    <w:rsid w:val="00E32EB6"/>
    <w:rsid w:val="00E34E9A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858844D4-03A2-451B-9479-4D8064D72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350</Words>
  <Characters>2000</Characters>
  <Application>Microsoft Office Word</Application>
  <DocSecurity>0</DocSecurity>
  <Lines>16</Lines>
  <Paragraphs>4</Paragraphs>
  <ScaleCrop>false</ScaleCrop>
  <Company>china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692</cp:revision>
  <dcterms:created xsi:type="dcterms:W3CDTF">2018-07-12T05:18:00Z</dcterms:created>
  <dcterms:modified xsi:type="dcterms:W3CDTF">2021-02-20T07:26:00Z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