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-1001395</wp:posOffset>
            </wp:positionH>
            <wp:positionV relativeFrom="paragraph">
              <wp:posOffset>-890905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2.25</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_Toc12675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_Toc12675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_Toc16355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_Toc16355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_Toc19257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_Toc19257 </w:instrText>
      </w:r>
      <w:r>
        <w:fldChar w:fldCharType="separate"/>
      </w:r>
      <w:r>
        <w:t>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_Toc19334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_Toc19334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_Toc21154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_Toc21154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_Toc6262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_Toc6262 </w:instrText>
      </w:r>
      <w:r>
        <w:fldChar w:fldCharType="separate"/>
      </w:r>
      <w:r>
        <w:t>14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_Toc7156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_Toc7156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_Toc7991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_Toc7991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_Toc1575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_Toc1575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_Toc29026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_Toc29026 </w:instrText>
      </w:r>
      <w:r>
        <w:fldChar w:fldCharType="separate"/>
      </w:r>
      <w:r>
        <w:t>20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_Toc14588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_Toc14588 </w:instrText>
      </w:r>
      <w:r>
        <w:fldChar w:fldCharType="separate"/>
      </w:r>
      <w:r>
        <w:t>23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_Toc18935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_Toc18935 </w:instrText>
      </w:r>
      <w:r>
        <w:fldChar w:fldCharType="separate"/>
      </w:r>
      <w:r>
        <w:t>26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_Toc5278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_Toc5278 </w:instrText>
      </w:r>
      <w:r>
        <w:fldChar w:fldCharType="separate"/>
      </w:r>
      <w:r>
        <w:t>28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_Toc23829 </w:instrText>
      </w:r>
      <w:r>
        <w:rPr>
          <w:rFonts w:hint="eastAsia" w:ascii="宋体" w:hAnsi="宋体" w:eastAsia="宋体" w:cs="宋体"/>
          <w:szCs w:val="21"/>
        </w:rPr>
        <w:fldChar w:fldCharType="separate"/>
      </w:r>
      <w:r>
        <w:rPr>
          <w:rFonts w:hint="eastAsia" w:ascii="宋体" w:hAnsi="宋体"/>
          <w:szCs w:val="30"/>
          <w:lang w:val="en-US" w:eastAsia="zh-CN"/>
        </w:rPr>
        <w:t>四、2020年11月份进出口统计数据</w:t>
      </w:r>
      <w:r>
        <w:tab/>
      </w:r>
      <w:r>
        <w:fldChar w:fldCharType="begin"/>
      </w:r>
      <w:r>
        <w:instrText xml:space="preserve"> PAGEREF _Toc23829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_Toc26331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份全国车用汽油和航空汽油进出口统计数据</w:t>
      </w:r>
      <w:r>
        <w:tab/>
      </w:r>
      <w:r>
        <w:fldChar w:fldCharType="begin"/>
      </w:r>
      <w:r>
        <w:instrText xml:space="preserve"> PAGEREF _Toc26331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_Toc19129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1</w:t>
      </w:r>
      <w:r>
        <w:rPr>
          <w:rFonts w:hint="eastAsia" w:ascii="宋体" w:hAnsi="宋体"/>
          <w:szCs w:val="30"/>
        </w:rPr>
        <w:t>月份全国柴油出口统计数据</w:t>
      </w:r>
      <w:r>
        <w:tab/>
      </w:r>
      <w:r>
        <w:fldChar w:fldCharType="begin"/>
      </w:r>
      <w:r>
        <w:instrText xml:space="preserve"> PAGEREF _Toc19129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_Toc23425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月份全国原油进出口统计数据</w:t>
      </w:r>
      <w:r>
        <w:tab/>
      </w:r>
      <w:r>
        <w:fldChar w:fldCharType="begin"/>
      </w:r>
      <w:r>
        <w:instrText xml:space="preserve"> PAGEREF _Toc23425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_Toc29747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月份航空煤油进出口统计数据</w:t>
      </w:r>
      <w:r>
        <w:tab/>
      </w:r>
      <w:r>
        <w:fldChar w:fldCharType="begin"/>
      </w:r>
      <w:r>
        <w:instrText xml:space="preserve"> PAGEREF _Toc29747 </w:instrText>
      </w:r>
      <w:r>
        <w:fldChar w:fldCharType="separate"/>
      </w:r>
      <w:r>
        <w:t>34</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12675"/>
      <w:r>
        <w:rPr>
          <w:rFonts w:hint="eastAsia"/>
        </w:rPr>
        <w:t>一、国际原油市场回顾 </w:t>
      </w:r>
      <w:bookmarkEnd w:id="0"/>
    </w:p>
    <w:p>
      <w:pPr>
        <w:widowControl/>
        <w:numPr>
          <w:ilvl w:val="0"/>
          <w:numId w:val="1"/>
        </w:numPr>
        <w:wordWrap w:val="0"/>
        <w:spacing w:after="90" w:line="288" w:lineRule="auto"/>
        <w:ind w:firstLine="238"/>
        <w:jc w:val="left"/>
        <w:outlineLvl w:val="1"/>
        <w:rPr>
          <w:rFonts w:hint="eastAsia" w:ascii="宋体" w:hAnsi="宋体" w:cs="Arial"/>
          <w:b/>
          <w:kern w:val="0"/>
          <w:sz w:val="30"/>
          <w:szCs w:val="30"/>
        </w:rPr>
      </w:pPr>
      <w:bookmarkStart w:id="1" w:name="_Toc65136901"/>
      <w:r>
        <w:rPr>
          <w:rFonts w:hint="eastAsia" w:ascii="宋体" w:hAnsi="宋体" w:cs="Arial"/>
          <w:b/>
          <w:kern w:val="0"/>
          <w:sz w:val="30"/>
          <w:szCs w:val="30"/>
        </w:rPr>
        <w:t>国际原油收盘价涨跌情况（单位：美元/桶）</w:t>
      </w:r>
      <w:bookmarkEnd w:id="1"/>
    </w:p>
    <w:p>
      <w:pPr>
        <w:widowControl/>
        <w:numPr>
          <w:ilvl w:val="0"/>
          <w:numId w:val="0"/>
        </w:numPr>
        <w:wordWrap w:val="0"/>
        <w:spacing w:after="90" w:line="288" w:lineRule="auto"/>
        <w:jc w:val="left"/>
        <w:outlineLvl w:val="1"/>
        <w:rPr>
          <w:rFonts w:hint="eastAsia" w:ascii="宋体" w:hAnsi="宋体" w:cs="Arial"/>
          <w:b/>
          <w:kern w:val="0"/>
          <w:sz w:val="30"/>
          <w:szCs w:val="30"/>
        </w:rPr>
      </w:pPr>
    </w:p>
    <w:tbl>
      <w:tblPr>
        <w:tblStyle w:val="29"/>
        <w:tblW w:w="9860" w:type="dxa"/>
        <w:tblInd w:w="0" w:type="dxa"/>
        <w:tblLayout w:type="fixed"/>
        <w:tblCellMar>
          <w:top w:w="15" w:type="dxa"/>
          <w:left w:w="15" w:type="dxa"/>
          <w:bottom w:w="15" w:type="dxa"/>
          <w:right w:w="15" w:type="dxa"/>
        </w:tblCellMar>
      </w:tblPr>
      <w:tblGrid>
        <w:gridCol w:w="1351"/>
        <w:gridCol w:w="1101"/>
        <w:gridCol w:w="1048"/>
        <w:gridCol w:w="6360"/>
      </w:tblGrid>
      <w:tr>
        <w:tblPrEx>
          <w:tblLayout w:type="fixed"/>
          <w:tblCellMar>
            <w:top w:w="15" w:type="dxa"/>
            <w:left w:w="15" w:type="dxa"/>
            <w:bottom w:w="15" w:type="dxa"/>
            <w:right w:w="15" w:type="dxa"/>
          </w:tblCellMar>
        </w:tblPrEx>
        <w:trPr>
          <w:trHeight w:val="560" w:hRule="atLeast"/>
        </w:trPr>
        <w:tc>
          <w:tcPr>
            <w:tcW w:w="135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110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1048"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636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Layout w:type="fixed"/>
          <w:tblCellMar>
            <w:top w:w="15" w:type="dxa"/>
            <w:left w:w="15" w:type="dxa"/>
            <w:bottom w:w="15" w:type="dxa"/>
            <w:right w:w="15" w:type="dxa"/>
          </w:tblCellMar>
        </w:tblPrEx>
        <w:trPr>
          <w:trHeight w:val="1469"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2021/2/18</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60.52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63.93</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原油收盘下跌，油价连日上涨后，投资者获利了结导致油价承压，但EIA库存数据超市场预期大幅减少限制了油价的跌幅。</w:t>
            </w:r>
          </w:p>
        </w:tc>
      </w:tr>
      <w:tr>
        <w:tblPrEx>
          <w:tblLayout w:type="fixed"/>
          <w:tblCellMar>
            <w:top w:w="15" w:type="dxa"/>
            <w:left w:w="15" w:type="dxa"/>
            <w:bottom w:w="15" w:type="dxa"/>
            <w:right w:w="15" w:type="dxa"/>
          </w:tblCellMar>
        </w:tblPrEx>
        <w:trPr>
          <w:trHeight w:val="1469"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2021/2/19</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59.24</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62.91</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原油收盘下跌，市场担心美国炼油厂在寒潮后需要时间恢复生产，需求下降的担忧导致油价下行压力加大。此外，OPEC+或将放松原油减产计划的预期也令油价承压。</w:t>
            </w:r>
          </w:p>
        </w:tc>
      </w:tr>
      <w:tr>
        <w:tblPrEx>
          <w:tblLayout w:type="fixed"/>
          <w:tblCellMar>
            <w:top w:w="15" w:type="dxa"/>
            <w:left w:w="15" w:type="dxa"/>
            <w:bottom w:w="15" w:type="dxa"/>
            <w:right w:w="15" w:type="dxa"/>
          </w:tblCellMar>
        </w:tblPrEx>
        <w:trPr>
          <w:trHeight w:val="2378"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2021/2/22</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61.49</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65.24</w:t>
            </w:r>
          </w:p>
        </w:tc>
        <w:tc>
          <w:tcPr>
            <w:tcW w:w="6360" w:type="dxa"/>
            <w:tcBorders>
              <w:top w:val="single" w:color="000000" w:sz="4" w:space="0"/>
              <w:left w:val="single" w:color="000000" w:sz="4" w:space="0"/>
              <w:bottom w:val="single" w:color="000000" w:sz="4" w:space="0"/>
              <w:right w:val="single" w:color="000000" w:sz="4" w:space="0"/>
            </w:tcBorders>
            <w:noWrap w:val="0"/>
            <w:vAlign w:val="center"/>
          </w:tcPr>
          <w:p>
            <w:pPr>
              <w:pStyle w:val="23"/>
              <w:jc w:val="left"/>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大幅上涨，市场认为美国本次受到影响的原油生产和炼化产能可能需要二至三周才能恢复，市场利好情绪反弹。此外，随着全球疫情逐渐好转，需求复苏以及供应面趋紧或将使能源市场重回供不应求状态的预期也提振油价。</w:t>
            </w:r>
          </w:p>
        </w:tc>
      </w:tr>
      <w:tr>
        <w:tblPrEx>
          <w:tblLayout w:type="fixed"/>
          <w:tblCellMar>
            <w:top w:w="15" w:type="dxa"/>
            <w:left w:w="15" w:type="dxa"/>
            <w:bottom w:w="15" w:type="dxa"/>
            <w:right w:w="15" w:type="dxa"/>
          </w:tblCellMar>
        </w:tblPrEx>
        <w:trPr>
          <w:trHeight w:val="1469"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2021/2/23</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61.67</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65.37</w:t>
            </w:r>
          </w:p>
        </w:tc>
        <w:tc>
          <w:tcPr>
            <w:tcW w:w="6360" w:type="dxa"/>
            <w:tcBorders>
              <w:top w:val="single" w:color="000000" w:sz="4" w:space="0"/>
              <w:left w:val="single" w:color="000000" w:sz="4" w:space="0"/>
              <w:bottom w:val="single" w:color="000000" w:sz="4" w:space="0"/>
              <w:right w:val="single" w:color="000000" w:sz="4" w:space="0"/>
            </w:tcBorders>
            <w:noWrap w:val="0"/>
            <w:vAlign w:val="bottom"/>
          </w:tcPr>
          <w:p>
            <w:pPr>
              <w:pStyle w:val="23"/>
              <w:jc w:val="left"/>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原油收盘涨跌不一，IEA预期到年底前石油需求不会恢复到新冠疫情爆发前的水平，需求忧虑削弱了市场利好情绪，油价涨幅受限。</w:t>
            </w:r>
          </w:p>
        </w:tc>
      </w:tr>
      <w:tr>
        <w:tblPrEx>
          <w:tblLayout w:type="fixed"/>
          <w:tblCellMar>
            <w:top w:w="15" w:type="dxa"/>
            <w:left w:w="15" w:type="dxa"/>
            <w:bottom w:w="15" w:type="dxa"/>
            <w:right w:w="15" w:type="dxa"/>
          </w:tblCellMar>
        </w:tblPrEx>
        <w:trPr>
          <w:trHeight w:val="1495" w:hRule="atLeast"/>
        </w:trPr>
        <w:tc>
          <w:tcPr>
            <w:tcW w:w="135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2021/2/24</w:t>
            </w:r>
          </w:p>
        </w:tc>
        <w:tc>
          <w:tcPr>
            <w:tcW w:w="110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63.22</w:t>
            </w:r>
          </w:p>
        </w:tc>
        <w:tc>
          <w:tcPr>
            <w:tcW w:w="1048"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67.04</w:t>
            </w:r>
          </w:p>
        </w:tc>
        <w:tc>
          <w:tcPr>
            <w:tcW w:w="6360"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原油收盘上涨，疫情缓解令油市供不应求的预期加强提振油价上涨，加之尽管EIA库存数据超预期增加，但数据同时显示美原油日产量减少110万桶也利好油价。</w:t>
            </w:r>
          </w:p>
        </w:tc>
      </w:tr>
    </w:tbl>
    <w:p>
      <w:pPr>
        <w:rPr>
          <w:rFonts w:hint="eastAsia" w:ascii="宋体" w:hAnsi="宋体" w:cs="Arial"/>
          <w:kern w:val="0"/>
          <w:szCs w:val="21"/>
        </w:rPr>
      </w:pPr>
    </w:p>
    <w:p>
      <w:pPr>
        <w:rPr>
          <w:rFonts w:hint="eastAsia" w:ascii="宋体" w:hAnsi="宋体" w:cs="Arial"/>
          <w:kern w:val="0"/>
          <w:szCs w:val="21"/>
        </w:rPr>
      </w:pPr>
    </w:p>
    <w:p>
      <w:pPr>
        <w:widowControl/>
        <w:wordWrap w:val="0"/>
        <w:spacing w:after="90" w:line="288" w:lineRule="auto"/>
        <w:ind w:firstLine="238"/>
        <w:jc w:val="left"/>
        <w:outlineLvl w:val="1"/>
        <w:rPr>
          <w:rFonts w:ascii="宋体" w:hAnsi="宋体" w:cs="Arial"/>
          <w:b/>
          <w:kern w:val="0"/>
          <w:sz w:val="30"/>
          <w:szCs w:val="30"/>
        </w:rPr>
      </w:pPr>
      <w:bookmarkStart w:id="2" w:name="_Toc65136902"/>
    </w:p>
    <w:p>
      <w:pPr>
        <w:widowControl/>
        <w:wordWrap w:val="0"/>
        <w:spacing w:after="90" w:line="288" w:lineRule="auto"/>
        <w:ind w:firstLine="238"/>
        <w:jc w:val="left"/>
        <w:outlineLvl w:val="1"/>
        <w:rPr>
          <w:rFonts w:ascii="宋体" w:hAnsi="宋体" w:cs="Arial"/>
          <w:b/>
          <w:kern w:val="0"/>
          <w:sz w:val="30"/>
          <w:szCs w:val="30"/>
        </w:rPr>
      </w:pPr>
    </w:p>
    <w:p>
      <w:pPr>
        <w:widowControl/>
        <w:wordWrap w:val="0"/>
        <w:spacing w:after="90" w:line="288" w:lineRule="auto"/>
        <w:ind w:firstLine="238"/>
        <w:jc w:val="left"/>
        <w:outlineLvl w:val="1"/>
        <w:rPr>
          <w:rFonts w:ascii="宋体" w:hAnsi="宋体" w:cs="Arial"/>
          <w:b/>
          <w:kern w:val="0"/>
          <w:sz w:val="30"/>
          <w:szCs w:val="30"/>
        </w:rPr>
      </w:pPr>
    </w:p>
    <w:p>
      <w:pPr>
        <w:widowControl/>
        <w:wordWrap w:val="0"/>
        <w:spacing w:after="90" w:line="288" w:lineRule="auto"/>
        <w:ind w:firstLine="238"/>
        <w:jc w:val="left"/>
        <w:outlineLvl w:val="1"/>
        <w:rPr>
          <w:rFonts w:ascii="宋体" w:hAnsi="宋体" w:cs="Arial"/>
          <w:b/>
          <w:kern w:val="0"/>
          <w:sz w:val="30"/>
          <w:szCs w:val="30"/>
        </w:rPr>
      </w:pPr>
    </w:p>
    <w:p>
      <w:pPr>
        <w:widowControl/>
        <w:wordWrap w:val="0"/>
        <w:spacing w:after="90" w:line="288" w:lineRule="auto"/>
        <w:jc w:val="left"/>
        <w:outlineLvl w:val="1"/>
        <w:rPr>
          <w:rFonts w:ascii="宋体" w:hAnsi="宋体" w:cs="Arial"/>
          <w:b/>
          <w:kern w:val="0"/>
          <w:sz w:val="30"/>
          <w:szCs w:val="30"/>
        </w:rPr>
      </w:pPr>
      <w:r>
        <w:rPr>
          <w:rFonts w:ascii="宋体" w:hAnsi="宋体" w:cs="Arial"/>
          <w:b/>
          <w:kern w:val="0"/>
          <w:sz w:val="30"/>
          <w:szCs w:val="30"/>
        </w:rPr>
        <w:t>2.20</w:t>
      </w:r>
      <w:r>
        <w:rPr>
          <w:rFonts w:hint="eastAsia" w:ascii="宋体" w:hAnsi="宋体" w:cs="Arial"/>
          <w:b/>
          <w:kern w:val="0"/>
          <w:sz w:val="30"/>
          <w:szCs w:val="30"/>
        </w:rPr>
        <w:t>21</w:t>
      </w:r>
      <w:r>
        <w:rPr>
          <w:rFonts w:ascii="宋体" w:hAnsi="宋体" w:cs="Arial"/>
          <w:b/>
          <w:kern w:val="0"/>
          <w:sz w:val="30"/>
          <w:szCs w:val="30"/>
        </w:rPr>
        <w:t>年</w:t>
      </w:r>
      <w:r>
        <w:rPr>
          <w:rFonts w:hint="eastAsia" w:ascii="宋体" w:hAnsi="宋体" w:cs="Arial"/>
          <w:b/>
          <w:kern w:val="0"/>
          <w:sz w:val="30"/>
          <w:szCs w:val="30"/>
        </w:rPr>
        <w:t>国际</w:t>
      </w:r>
      <w:r>
        <w:rPr>
          <w:rFonts w:ascii="宋体" w:hAnsi="宋体" w:cs="Arial"/>
          <w:b/>
          <w:kern w:val="0"/>
          <w:sz w:val="30"/>
          <w:szCs w:val="30"/>
        </w:rPr>
        <w:t>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4677410" cy="3254375"/>
            <wp:effectExtent l="0" t="0" r="8890" b="317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677410" cy="3254375"/>
                    </a:xfrm>
                    <a:prstGeom prst="rect">
                      <a:avLst/>
                    </a:prstGeom>
                    <a:noFill/>
                    <a:ln w="9525">
                      <a:noFill/>
                    </a:ln>
                  </pic:spPr>
                </pic:pic>
              </a:graphicData>
            </a:graphic>
          </wp:inline>
        </w:drawing>
      </w:r>
    </w:p>
    <w:p>
      <w:pPr>
        <w:rPr>
          <w:rFonts w:hint="eastAsia"/>
        </w:rPr>
      </w:pPr>
    </w:p>
    <w:p>
      <w:pPr>
        <w:numPr>
          <w:ilvl w:val="0"/>
          <w:numId w:val="2"/>
        </w:numPr>
        <w:outlineLvl w:val="0"/>
        <w:rPr>
          <w:rFonts w:hint="eastAsia" w:ascii="宋体" w:hAnsi="宋体" w:cs="Arial"/>
          <w:b/>
          <w:bCs/>
          <w:kern w:val="0"/>
          <w:sz w:val="32"/>
          <w:szCs w:val="32"/>
        </w:rPr>
      </w:pPr>
      <w:bookmarkStart w:id="3" w:name="_Toc65136903"/>
      <w:r>
        <w:rPr>
          <w:rFonts w:ascii="宋体" w:hAnsi="宋体" w:cs="Arial"/>
          <w:b/>
          <w:bCs/>
          <w:kern w:val="0"/>
          <w:sz w:val="32"/>
          <w:szCs w:val="32"/>
        </w:rPr>
        <w:t>近期影响国际原油市场的主要因素</w:t>
      </w:r>
      <w:bookmarkEnd w:id="3"/>
    </w:p>
    <w:p>
      <w:pPr>
        <w:ind w:firstLine="562" w:firstLineChars="200"/>
        <w:rPr>
          <w:rFonts w:hint="eastAsia" w:ascii="黑体" w:hAnsi="宋体" w:eastAsia="黑体"/>
          <w:b/>
          <w:sz w:val="28"/>
          <w:szCs w:val="28"/>
        </w:rPr>
      </w:pPr>
    </w:p>
    <w:p>
      <w:pPr>
        <w:ind w:firstLine="551" w:firstLineChars="196"/>
        <w:outlineLvl w:val="1"/>
        <w:rPr>
          <w:rFonts w:hint="eastAsia" w:ascii="黑体" w:hAnsi="宋体" w:eastAsia="黑体"/>
          <w:b/>
          <w:color w:val="000000"/>
          <w:sz w:val="28"/>
          <w:szCs w:val="28"/>
        </w:rPr>
      </w:pPr>
      <w:bookmarkStart w:id="4" w:name="_Toc65136904"/>
      <w:r>
        <w:rPr>
          <w:rFonts w:hint="eastAsia" w:ascii="黑体" w:hAnsi="宋体" w:eastAsia="黑体"/>
          <w:b/>
          <w:color w:val="000000"/>
          <w:sz w:val="28"/>
          <w:szCs w:val="28"/>
        </w:rPr>
        <w:t>1.美国原油库存情况</w:t>
      </w:r>
      <w:bookmarkEnd w:id="4"/>
      <w:r>
        <w:rPr>
          <w:rFonts w:hint="eastAsia" w:ascii="黑体" w:hAnsi="宋体" w:eastAsia="黑体"/>
          <w:b/>
          <w:color w:val="000000"/>
          <w:sz w:val="28"/>
          <w:szCs w:val="28"/>
        </w:rPr>
        <w:t xml:space="preserve"> </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EIA公布的数据显示，截至2月12日当周美国除却战略储备的商业原油库存意外大幅度减少，精炼油库存同样大幅减少，汽油库存增幅不及预期。具体数据显示，美国截至2月12日当周EIA原油库存变动实际公布减少725.70万桶，预期减少242.9万桶，前值减少664.5万桶。此外，美国截至2月12日当周EIA汽油库存实际公布增加67.20万桶，预期增加139.7万桶，前值增加425.9万桶;美国截至2月12日当周EIA精炼油库存实际公布减少342.20万桶，预期减少157.1万桶，前值减少173.2万桶。EIA报告显示，美国精炼油库存变化值连续4周录得下滑，且创2020年11月20日当周(13周)以来新低。美国俄克拉荷马州库欣原油库存变化值连续6周录得下滑。美国汽油库存变化值连续4周录得增长。美国原油库存变化值连续4周录得下滑。</w:t>
      </w:r>
    </w:p>
    <w:p>
      <w:pPr>
        <w:pStyle w:val="23"/>
        <w:spacing w:line="360" w:lineRule="auto"/>
        <w:ind w:firstLine="560" w:firstLineChars="200"/>
        <w:rPr>
          <w:rFonts w:ascii="华文仿宋" w:hAnsi="华文仿宋" w:eastAsia="华文仿宋"/>
          <w:sz w:val="28"/>
          <w:szCs w:val="28"/>
        </w:rPr>
      </w:pPr>
    </w:p>
    <w:p>
      <w:pPr>
        <w:pStyle w:val="23"/>
        <w:spacing w:line="360" w:lineRule="auto"/>
        <w:ind w:firstLine="562" w:firstLineChars="200"/>
        <w:outlineLvl w:val="1"/>
        <w:rPr>
          <w:rFonts w:hint="eastAsia" w:ascii="黑体" w:eastAsia="黑体"/>
          <w:b/>
          <w:sz w:val="28"/>
          <w:szCs w:val="28"/>
        </w:rPr>
      </w:pPr>
      <w:bookmarkStart w:id="5" w:name="_Toc65136905"/>
      <w:r>
        <w:rPr>
          <w:rFonts w:hint="eastAsia" w:ascii="黑体" w:eastAsia="黑体"/>
          <w:b/>
          <w:sz w:val="28"/>
          <w:szCs w:val="28"/>
        </w:rPr>
        <w:t>2.美国经济形势</w:t>
      </w:r>
      <w:bookmarkEnd w:id="5"/>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本周北京时间25日凌晨，美股周三收高，道指创盘中与收盘历史新高。鲍威尔称美国或需3年才能实现通胀目标。投资者忽略通胀与国债收益率上涨的风险，继续追捧有望从经济复苏中受益的周期性股票。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道指涨424.51点，或1.35%，报31961.86点;纳指涨132.77点，或0.99%，报13597.97点;标普500指数涨44.06点，或1.14%，报3925.43点。</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周三盘中，道指最高上涨至32009.64点，创盘中历史新高。能源、工业与金融板块涨幅领先。</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早间，美国10年期国债收益率一度攀升至1.429%，创2020年2月以来新高。受国债收益率上涨影响，今日早间科技股普遍走低。国债收益率的上涨促使投资者出售高增长型股票、投入债市，亦有可能使受益于低利率环境的成长型股票受到冲击。</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美联储主席鲍威尔连续第二天在美国国会发表证词。他继续安抚市场，表示不必担心通胀威胁，称可能需要连续三年才能实现联储的通胀目标。鲍威尔讲话后，美债收益率回落。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鲍威尔在周二的讲话中表示，美国经济仍远未达到美联储的就业和通胀双重目标，没有迹象表明近期国债收益率的上升会促使美联储开始缩减其资产购买计划。</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美国证监会(SEC)公告，自2021年2月25日起，美国证监会规费(仅卖出订单收取)收费标准将由0.00221%降至0.00051%。</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美国食品与药物管理局(FDA)授予强生公司(JNJ)的单次注射新冠疫苗紧急情况使用权(EUA)，这是美国官方批准的第三种疫苗。</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鲍威尔称美国或需三年才能实现通胀目标 当前不会更改QE</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美联储主席鲍威尔周三参加众议院金融服务委员会听证时，重申了昨日在参议院听证会的表态，即“美联储将继续按当前速度购买资产”，并维持基准利率在近零水平。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鲍威尔称，美联储希望通胀预期被锚定在2%，而不是低于2%。尽管他仍然相信美国最终会实现通胀目标，但预计“可能要花三年多的时间才能实现这一目标”。</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他表示，美联储将每个季度更新对该问题的评估，致力于使用所有工具实现通胀目标，“我们生活的时代在全球范围内面临巨大通缩压力，基本上所有发达经济体都无法实现2%的通胀目标。”</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他预计通胀将会走高，但升幅不会太大、也不会持续上升，如果通胀升幅不受人欢迎，美联储有工具来应对。他在被问及通胀风险时称，由于新冠疫情的缘故，美国经济仍存在大量闲置产能。</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在谈及货币政策时，鲍威尔重申，美联储打算维持超低利率并继续进行大量资产购买，直到美国经济进一步复苏为止，而实现充分就业和物价稳定目标“可能需要一些时间”。</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他表示，美联储将针对QE政策潜在的调整尽可能提前地与外界沟通。具体来说，美联储希望看到“实际数据”表明正在接近目标，随后才会减慢债券购买速度;放缓债券购买速度是退出宽松政策立场的第一步。分析称，市场普遍认为，缩表措施不会在明年初之前出现。</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鲍威尔昨日明确表示，在满足以下三个条件之前，美联储都不会加息，即通胀率已达到2%;预测者认为通胀将保持在该水平或更高;一系列统计数据表明劳动力市场处于最大强度。</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周三的问答环节，鲍威尔再一次着重描述了美国劳动力市场的疲软现状，例如：美国就业人口较一年前减少1000万人，劳动力市场存在大量闲置问题，距离实现充分就业还有很长的路要走，不过应当认为在疫情结束后，他们最终会重返劳动力市场。美国经济的疲软问题集中在酒店、餐饮、旅游等少数特定行业，向这些行业提供帮助的方式就是坚决地结束新冠疫情。</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当被问及是否看到资产泡沫形成时，鲍威尔表示“情况错综复杂”，尽管按某些指标来看，“部分资产价格偏高”，但金融稳定的其他方面“温和”，特别是金融系统中的杠杆水平和融资风险。</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当被问及“数字美元”时，他称，不允许设计数字美元破坏美国的金融体系，美联储需要在设计数字美元时保持谨慎，发行时需要国会立法并授权，但对数字美元而言，今年将是重要的一年。</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资金轮动继续 周期性股票受青睐</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对美联储可能会比预期速度更快加息的担忧，是造成美股在2月下旬出现动荡的原因之一，它导致那些已经大涨的科技股和高增长型股票受到最大的冲击，而对经济周期更为敏感的股票则从中受益。</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过去一周内，指向周期性股票和价值型股票的板块轮动升温，去年引领美股走高的某些高增长型股票遭到抛售。在过去5个交易日内，能源、金融、材料与金融板块表现强劲，而信息科技与非必须消费品板块普遍下滑。</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Levin Easterly Partners分析师Sam Hendel表示：“2月份实际上是过去20年来价值型股票领先增长型股票最多的一个月。我们看到了价值股票出现了非常诱人的机会，这些股票远远落后于大盘。而高增长型股票已经涨得太多，几乎没有什么可供获利的空间。”</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美众院发布刺激法案新文本 总额进一步超标</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美国众议院民主党人发布抗疫纾困法案的新文本，其中包括新的支出项目。这增加了议员们调整数字的工作负担，以使其符合本月初国会设定的1.889万亿美元上限。</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众议院规则委员会是该法案送交众议院全会讨论的最后一关。该委员会周三发布了新的法案文本，包括其他委员会草拟法案中没有的3类新支出——其他委员会的草拟法案已经超出1.889万亿美元的上限。议员们需要先解决这个问题，法案才可能获得通过。</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众议院多数党领袖Steny Hoyer周二晚间说，众议院全会将在周五对总统拜登的救济法案进行表决。预计参议院将对众议院的版本做出自己的修改，包括可能调整或取消逐步提高最低工资至每小时15美元的规定。然后，众议院需要对参议院调整通过的法案再次投票。民主党领导人希望在3月14日前获得最后通过。</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在抗疫纾困法案完成后，拜登计划推出长期经济增长计划，其中将包括基础设施和清洁能源计划。</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预算委员会总法律顾问Raquel Spencer周一表示，三类新支出预计将令法案总规模增加约117.5亿美元。美国参众两院本月早些时候在预算决议投票中设定了1.889万亿美元上限，而根据国会预算办公室的计算，上一版本法案文本已经超支310亿美元。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如果法案总额超过预算决议的限制，则不符合参议院正在使用的快速程序的条件。</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众议院规则委员会增加的开支包括对外援助、部落援助以及对国家科学基金会和国家标准技术研究院的拨款。</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纽约商品交易所4月交割的西德州中质原油(WTI)期货价格上涨1.55美元，涨幅2.5%，收于每桶63.22美元，创2020年1月6日以来的最高收盘价。</w:t>
      </w:r>
    </w:p>
    <w:p>
      <w:pPr>
        <w:pStyle w:val="23"/>
        <w:spacing w:line="360" w:lineRule="auto"/>
        <w:ind w:firstLine="560" w:firstLineChars="200"/>
        <w:rPr>
          <w:rFonts w:hint="eastAsia" w:ascii="华文仿宋" w:hAnsi="华文仿宋" w:eastAsia="华文仿宋" w:cs="华文仿宋"/>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4月布伦特原油期货价格上涨1.67美元，涨幅近2.6%，收于每桶67.04美元，亦创去年1月初以来的最高收盘价。交投更加活跃的5月布伦特原油上涨1.70美元，涨幅2.6%，收于每桶66.18美元。</w:t>
      </w:r>
    </w:p>
    <w:p>
      <w:pPr>
        <w:pStyle w:val="23"/>
        <w:ind w:firstLine="643" w:firstLineChars="200"/>
        <w:outlineLvl w:val="1"/>
        <w:rPr>
          <w:rFonts w:hint="eastAsia" w:cs="Arial"/>
          <w:b/>
          <w:bCs/>
          <w:sz w:val="32"/>
          <w:szCs w:val="32"/>
        </w:rPr>
      </w:pPr>
      <w:bookmarkStart w:id="6" w:name="_Toc65136906"/>
      <w:r>
        <w:rPr>
          <w:rFonts w:hint="eastAsia" w:cs="Arial"/>
          <w:b/>
          <w:bCs/>
          <w:sz w:val="32"/>
          <w:szCs w:val="32"/>
        </w:rPr>
        <w:t>3.世界经济形势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今日俄罗斯电视台2月22日报道，总部设在美国华盛顿的国际金融协会(IIF)对今日俄罗斯电视台表示，未来一年半，全球债务总额可能增长19万亿美元(1美元约合6.5元人民币)，到2022年年中将首次突破300万亿美元。该机构的数据显示，2020年，在新冠疫情肆虐的背景下，世界各国政府、企业和民众的总体债务激增，目前达到全球经济总量的3.5倍以上。与此同时，专家认为，为从新冠疫情的影响中恢复元气，各国需要额外注资和新贷款。</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IIF专家表示，受新冠疫情冲击，今后几年，全球债务总额将保持高速增长。</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IIF可持续发展领域研究主管埃姆雷·蒂夫蒂克透露：“据我们估计，未来15至18个月，世界债务总额将超过300万亿美元。”</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IIF专家此前估算，2020年，全球债务总额增长24万亿美元，有史以来首次达到281万亿美元，是全球经济总量的3.5倍以上。</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该机构在研究报告中说：“2020年，全球债务与全球国内生产总值(GDP)之比达到355%以上，上升35个百分点，升幅远大于2008年全球金融危机期间。”</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报道称，政府债务增幅占全球债务增幅的一半。2020年，全球政府债务增长12万亿美元，至82万亿美元，与全球GDP之比为105%。</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俄罗斯“更新”信贷消费合作社负责人米哈伊尔·多罗费耶夫对今日俄罗斯电视台说：“在消费支出和投资活动因疫情而下降的背景下，多国政府被迫急剧扩大国家开支。通过这种方式可以维持总体消费，缓解危机后果。”</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国际货币基金组织估计，疫情致使2020年全球GDP下降3.5%。它预测，2021年全球经济将复苏并增长5.5%，2022年将增长4.2%。多罗费耶夫认为，为让经济增速保持稳定，需要更多注资和举债。</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IIF预测，2021年，全球政府债务或将增至92万亿美元。由于必须偿还日益增长的国债，各国财政负担将加重。该机构专家认为，在这种形势下，世界经济在未来可能出现的危机面前正变得更加脆弱。</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俄罗斯“火箭工作”平台总经理阿纳斯塔西娅·乌斯科娃指出：“实际上，世界经济如今靠举债生存。”</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据报道，目前，美国(债务与GDP之比为372%)、欧元区(422%)、英国(506%)和日本(557%)的债务负担最重。此外，韩国负债也很高(363%)。</w:t>
      </w:r>
    </w:p>
    <w:p>
      <w:pPr>
        <w:pStyle w:val="23"/>
        <w:spacing w:line="360" w:lineRule="auto"/>
        <w:ind w:firstLine="560" w:firstLineChars="200"/>
        <w:rPr>
          <w:rFonts w:hint="eastAsia"/>
        </w:rPr>
      </w:pPr>
      <w:r>
        <w:rPr>
          <w:rFonts w:hint="eastAsia" w:ascii="宋体" w:hAnsi="宋体" w:eastAsia="宋体" w:cs="宋体"/>
          <w:color w:val="333335"/>
          <w:kern w:val="2"/>
          <w:sz w:val="28"/>
          <w:szCs w:val="28"/>
          <w:shd w:val="clear" w:color="auto" w:fill="FFFFFF"/>
        </w:rPr>
        <w:t>报道指出，引人注目的是，在此背景下，俄罗斯债务水平仍旧相当低，与GDP之比为146%。不仅如此，俄政府债务与GDP之比仅为18.6%。相比之下，美国和欧元区政府债务与GDP之比分别为128%和120%。</w:t>
      </w:r>
    </w:p>
    <w:p>
      <w:pPr>
        <w:pStyle w:val="23"/>
        <w:numPr>
          <w:ilvl w:val="0"/>
          <w:numId w:val="3"/>
        </w:numPr>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bookmarkStart w:id="7" w:name="_Toc6262"/>
      <w:r>
        <w:rPr>
          <w:rFonts w:hint="eastAsia" w:ascii="宋体" w:hAnsi="宋体" w:eastAsia="宋体" w:cs="宋体"/>
          <w:color w:val="333335"/>
          <w:kern w:val="2"/>
          <w:sz w:val="28"/>
          <w:szCs w:val="28"/>
          <w:shd w:val="clear" w:color="auto" w:fill="FFFFFF"/>
        </w:rPr>
        <w:t>本周美国WTI原油原油价格在59.24-63.22美元/桶。布伦特原油价格在62.91-67.04美元/桶震荡。周内国际油价震荡上涨。油价周三攀升至13个月新高，此前EIA数据显示，上周原油产量下降，因原油生产在遭遇极寒天气后中断。布伦特原油期货上涨1.67美元，或2.6%，结算价报每桶67.04美元，盘中一度触及每桶67.30美元日高，为2020年1月8日以来的最高水平。WTI原油期货结算价上涨1.55美元，或2.5%，报每桶63.22美元，此前曾触及每桶63.37美元，也是自2020年1月8日以来的最高水平。基本面利好因素：1.据俄新社报道，俄外交部副部长谢尔盖·里亚布科夫在接受彭博社采访中表示，俄罗斯有必要采取新的措施，以便能够脱离美国的金融体系。里亚布科夫指出，在过去几年，美国的制裁已经影响到俄罗斯的银行、国有企业、石油与天然气行业、高官和商人。在当前情况下，美国拜登政府有继续扩大对俄罗斯制裁的打算。因此，里亚布科夫认为，俄罗斯需要减少美元在一切交易中的作用，摆脱对美元这一“毒源”的依赖。2.美国能源信息署(EIA)发布的最新报告显示，上周美国原油日产量减少110万桶，为历史最大降幅。美国上周炼油厂利用率下降14.5%，为2017年9月以来的最大降幅。美国原油进口量下降460万桶/天，为1992年以来最低水平。美国墨西哥湾原油库存上周降至2020年3月以来的最低水平。美国东海岸原油库存上周跌至历史最低水平。美国东海岸馏分油库存上周降至2020年5月以来的最低水平。3.当地时间周二，法国、德国及英国外长发表联合声明称，对伊朗自23日当天起暂停自愿履行《不扩散核武器条约》附加议定书及《联合全面行动计划》透明措施深表遗憾。三国外长表示，伊朗此举是对其自身承诺的进一步破坏，同时也将很大程度上影响国际原子能机构的保障监督工作。三国外长还在声明中敦促伊朗停止并撤销所有减少透明度的措施，同时确保与国际原子能机构开展完全和及时的合作。三国外长还称，其目标仍然是维护《联合全面行动计划》，并通过外交途径来寻求一个协商的解决方案，让伊朗和美国重新完全履行对《联合全面行动计划》的承诺。美国国务卿布林肯(Antony Blinken)周一表示，美国将寻求加强和延长世界大国与伊朗之间旨在遏制其核项目的协议。如若美国解除对伊朗的制裁，这可能会使得原油市场增加逾200万桶/日的供给，进而给于油价重击。基本面利空因素：1.欧佩克+消息人士表示，鉴于近期油价的回升，欧佩克+产油国将考虑从4月起适度放宽产量限制。消息人士认为，在不增加库存的情况下，从4月开始增产50万桶/日的选项似乎是有可能实现的。沙特自愿性减产100万桶/日的计划将在下个月结束，目前欧佩克对沙特在4月起开始逐渐恢复增产的预期正在逐渐增加。对此，消息人士认为，一旦沙特恢复此前产量，这也就意味着其他欧佩克+国家不应该增产。2.南非部长级疫苗咨询委员会主席Barry Schoub表示，在南非发现了大约4000例新冠肺炎病毒再次感染病例，这在很大程度上可能是由于在南非首次发现的变异毒株B.1.351所致的(该毒株于2020年在南非被发现，现已成为该国的主要毒株)。南非政府将于周四(2月25日)发布有关该变异毒株传播性、是否会引起再次感染、以及是否会导致更严重疾病的研究结果。3.美国银行预计，随着布油达到60-65美元/桶水平，预计欧佩克+二季度产量将增加超过130万桶/日。预计欧佩克+在第二季度日产量增幅将超过130万桶，并将会在年底前进一步增加产量，以控制价格和市场平衡。预计2021年至2026年，欧佩克总产能增加幅度将从2015年-2020年间的60万桶/日降至20万桶/日，但目前欧佩克现有的闲置产能将成为缓冲因素;非欧佩克国家除页岩油以外的总产能增加量将超过150万桶/日。而美国在2021年至2026年原油与天然气的年度产量增幅将低于40万桶/日的水平。</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预测下周WTI油价将触及58-64美元/桶，布油在之后几个月触及61-68美元/桶。</w:t>
      </w:r>
    </w:p>
    <w:p>
      <w:pPr>
        <w:pStyle w:val="3"/>
        <w:spacing w:before="120" w:after="120" w:line="240" w:lineRule="auto"/>
        <w:rPr>
          <w:rFonts w:hint="eastAsia" w:ascii="宋体" w:hAnsi="宋体" w:eastAsia="宋体"/>
          <w:b/>
          <w:sz w:val="30"/>
          <w:szCs w:val="30"/>
          <w:highlight w:val="none"/>
          <w:lang w:val="en-US" w:eastAsia="zh-CN"/>
        </w:rPr>
      </w:pPr>
      <w:r>
        <w:rPr>
          <w:rFonts w:hint="eastAsia" w:ascii="宋体" w:hAnsi="宋体"/>
          <w:b/>
          <w:sz w:val="30"/>
          <w:szCs w:val="30"/>
          <w:highlight w:val="none"/>
        </w:rPr>
        <w:t>2.2国际市场MTBE价格</w:t>
      </w:r>
      <w:bookmarkEnd w:id="7"/>
      <w:r>
        <w:rPr>
          <w:rFonts w:hint="eastAsia" w:ascii="宋体" w:hAnsi="宋体"/>
          <w:b/>
          <w:sz w:val="30"/>
          <w:szCs w:val="30"/>
          <w:highlight w:val="none"/>
          <w:lang w:val="en-US" w:eastAsia="zh-CN"/>
        </w:rPr>
        <w:t xml:space="preserve"> </w:t>
      </w:r>
    </w:p>
    <w:p>
      <w:pPr>
        <w:rPr>
          <w:rFonts w:hint="eastAsia"/>
        </w:rPr>
      </w:pPr>
    </w:p>
    <w:tbl>
      <w:tblPr>
        <w:tblStyle w:val="29"/>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2月24日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665.00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199.20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696.75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2月23日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687.00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197.43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669.00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2月22日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671.00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191.79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646.25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2月19日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188.31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641.25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2月18日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668.00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179.21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638.25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8" w:name="_Toc7156"/>
      <w:r>
        <w:rPr>
          <w:rFonts w:hint="eastAsia"/>
          <w:b/>
          <w:lang w:eastAsia="zh-CN"/>
        </w:rPr>
        <w:t>三、</w:t>
      </w:r>
      <w:r>
        <w:rPr>
          <w:rFonts w:hint="eastAsia"/>
          <w:b/>
        </w:rPr>
        <w:t>本周国内市场</w:t>
      </w:r>
      <w:bookmarkEnd w:id="8"/>
    </w:p>
    <w:p>
      <w:pPr>
        <w:numPr>
          <w:ilvl w:val="0"/>
          <w:numId w:val="0"/>
        </w:numPr>
      </w:pPr>
    </w:p>
    <w:p>
      <w:pPr>
        <w:pStyle w:val="3"/>
        <w:spacing w:before="120" w:after="120" w:line="240" w:lineRule="auto"/>
      </w:pPr>
      <w:bookmarkStart w:id="9" w:name="_Toc7991"/>
      <w:r>
        <w:rPr>
          <w:rFonts w:hint="eastAsia" w:ascii="宋体" w:hAnsi="宋体"/>
          <w:b/>
          <w:sz w:val="30"/>
          <w:szCs w:val="30"/>
          <w:highlight w:val="none"/>
        </w:rPr>
        <w:t>3.1 国内炼厂装置运行情况</w:t>
      </w:r>
      <w:bookmarkEnd w:id="9"/>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9"/>
        <w:tblW w:w="10306"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67"/>
        <w:gridCol w:w="893"/>
        <w:gridCol w:w="1053"/>
        <w:gridCol w:w="1197"/>
        <w:gridCol w:w="2325"/>
        <w:gridCol w:w="1755"/>
        <w:gridCol w:w="1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0306" w:type="dxa"/>
            <w:gridSpan w:val="7"/>
            <w:tcBorders>
              <w:top w:val="single" w:color="auto" w:sz="6" w:space="0"/>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金陵石化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江苏</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1800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1800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2020/11/26</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济南炼化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山东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800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800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2021年2月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燕山石化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北京</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4#常减压</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长岭石化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湖南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上海石化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上海</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1600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1600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2021年6月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茂名石化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广东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5#常减压</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石家庄炼厂</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河北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2021年9月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2021年10月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950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950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2021年11月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云南石化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云南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1300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2020/12/5</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抚顺石化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辽宁</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2021年5月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吉林石化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吉林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2021年6月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格尔木炼厂</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青海</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150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150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2021/7/1</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炼厂名称</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所在地</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加工能力</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检修装置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检修产能（单位：万吨）</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起始时间</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东方石化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海南</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全厂检修</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2021/3/1</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267"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惠州炼化</w:t>
            </w:r>
          </w:p>
        </w:tc>
        <w:tc>
          <w:tcPr>
            <w:tcW w:w="89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广东</w:t>
            </w:r>
          </w:p>
        </w:tc>
        <w:tc>
          <w:tcPr>
            <w:tcW w:w="1053"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2200</w:t>
            </w:r>
          </w:p>
        </w:tc>
        <w:tc>
          <w:tcPr>
            <w:tcW w:w="1197"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二期</w:t>
            </w:r>
          </w:p>
        </w:tc>
        <w:tc>
          <w:tcPr>
            <w:tcW w:w="232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1000</w:t>
            </w:r>
          </w:p>
        </w:tc>
        <w:tc>
          <w:tcPr>
            <w:tcW w:w="1755"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2021年3月</w:t>
            </w:r>
          </w:p>
        </w:tc>
        <w:tc>
          <w:tcPr>
            <w:tcW w:w="1816" w:type="dxa"/>
            <w:tcBorders>
              <w:top w:val="nil"/>
              <w:left w:val="nil"/>
              <w:bottom w:val="single" w:color="auto" w:sz="6" w:space="0"/>
              <w:right w:val="single" w:color="auto"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sz w:val="20"/>
                <w:szCs w:val="20"/>
              </w:rPr>
            </w:pPr>
            <w:r>
              <w:rPr>
                <w:rFonts w:hint="eastAsia" w:ascii="宋体" w:hAnsi="宋体" w:eastAsia="宋体" w:cs="宋体"/>
                <w:caps w:val="0"/>
                <w:color w:val="000000"/>
                <w:spacing w:val="0"/>
                <w:sz w:val="20"/>
                <w:szCs w:val="20"/>
              </w:rPr>
              <w:t>2021年4月</w:t>
            </w:r>
          </w:p>
        </w:tc>
      </w:tr>
    </w:tbl>
    <w:p>
      <w:p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4"/>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9"/>
        <w:tblW w:w="9229" w:type="dxa"/>
        <w:tblInd w:w="0" w:type="dxa"/>
        <w:shd w:val="clear" w:color="auto" w:fill="auto"/>
        <w:tblLayout w:type="fixed"/>
        <w:tblCellMar>
          <w:top w:w="0" w:type="dxa"/>
          <w:left w:w="0" w:type="dxa"/>
          <w:bottom w:w="0" w:type="dxa"/>
          <w:right w:w="0" w:type="dxa"/>
        </w:tblCellMar>
      </w:tblPr>
      <w:tblGrid>
        <w:gridCol w:w="1080"/>
        <w:gridCol w:w="1080"/>
        <w:gridCol w:w="1080"/>
        <w:gridCol w:w="1080"/>
        <w:gridCol w:w="814"/>
        <w:gridCol w:w="2025"/>
        <w:gridCol w:w="2070"/>
      </w:tblGrid>
      <w:tr>
        <w:tblPrEx>
          <w:shd w:val="clear" w:color="auto" w:fill="auto"/>
          <w:tblLayout w:type="fixed"/>
          <w:tblCellMar>
            <w:top w:w="0" w:type="dxa"/>
            <w:left w:w="0" w:type="dxa"/>
            <w:bottom w:w="0" w:type="dxa"/>
            <w:right w:w="0" w:type="dxa"/>
          </w:tblCellMar>
        </w:tblPrEx>
        <w:trPr>
          <w:trHeight w:val="300" w:hRule="atLeast"/>
        </w:trPr>
        <w:tc>
          <w:tcPr>
            <w:tcW w:w="9229" w:type="dxa"/>
            <w:gridSpan w:val="7"/>
            <w:tcBorders>
              <w:top w:val="single" w:color="000000" w:sz="8" w:space="0"/>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地方炼厂装置检修计划表(单位：万吨)</w:t>
            </w:r>
          </w:p>
        </w:tc>
      </w:tr>
      <w:tr>
        <w:tblPrEx>
          <w:tblLayout w:type="fixed"/>
          <w:tblCellMar>
            <w:top w:w="0" w:type="dxa"/>
            <w:left w:w="0" w:type="dxa"/>
            <w:bottom w:w="0" w:type="dxa"/>
            <w:right w:w="0"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区域</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省市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炼厂名称</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检修装置</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产能</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开工时间</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停工时间</w:t>
            </w:r>
          </w:p>
        </w:tc>
      </w:tr>
      <w:tr>
        <w:tblPrEx>
          <w:tblLayout w:type="fixed"/>
          <w:tblCellMar>
            <w:top w:w="0" w:type="dxa"/>
            <w:left w:w="0" w:type="dxa"/>
            <w:bottom w:w="0" w:type="dxa"/>
            <w:right w:w="0" w:type="dxa"/>
          </w:tblCellMar>
        </w:tblPrEx>
        <w:trPr>
          <w:trHeight w:val="300" w:hRule="atLeast"/>
        </w:trPr>
        <w:tc>
          <w:tcPr>
            <w:tcW w:w="1080"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山东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日照</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海右石化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柴油加氢</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2021年2月</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2021年1月16日</w:t>
            </w:r>
          </w:p>
        </w:tc>
      </w:tr>
      <w:tr>
        <w:tblPrEx>
          <w:tblLayout w:type="fixed"/>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红海化工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全厂</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2021年2月</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2021年1月15日</w:t>
            </w:r>
          </w:p>
        </w:tc>
      </w:tr>
      <w:tr>
        <w:tblPrEx>
          <w:tblLayout w:type="fixed"/>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神驰化工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催化裂化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lang w:val="en-US"/>
              </w:rPr>
            </w:pPr>
            <w:r>
              <w:rPr>
                <w:rFonts w:hint="eastAsia" w:asciiTheme="majorEastAsia" w:hAnsiTheme="majorEastAsia" w:eastAsiaTheme="majorEastAsia" w:cstheme="majorEastAsia"/>
                <w:i w:val="0"/>
                <w:color w:val="000000"/>
                <w:kern w:val="0"/>
                <w:sz w:val="20"/>
                <w:szCs w:val="20"/>
                <w:u w:val="none"/>
                <w:lang w:val="en-US" w:eastAsia="zh-CN" w:bidi="ar"/>
              </w:rPr>
              <w:t>2021年2月1日</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2021年1月10日</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亚通石化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催化裂化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2021年1月25日</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2020年12月底</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淄博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鑫泰石化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延迟焦化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2020年12月底</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菏泽</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东明石化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催化裂化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2021年1月中旬</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2021年1初</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永鑫石化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催化裂化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2021年1月中旬</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2021年1初</w:t>
            </w:r>
          </w:p>
        </w:tc>
      </w:tr>
      <w:tr>
        <w:tblPrEx>
          <w:tblLayout w:type="fixed"/>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垦利石化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柴油加氢</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2020年12月20日</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2020年12月10日</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亨润德石化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常减压</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150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2021年1月底</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2020年10月23日</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京博石化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延迟焦化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待定</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2020年8月下旬</w:t>
            </w:r>
          </w:p>
        </w:tc>
      </w:tr>
      <w:tr>
        <w:tblPrEx>
          <w:tblLayout w:type="fixed"/>
          <w:tblCellMar>
            <w:top w:w="0" w:type="dxa"/>
            <w:left w:w="0" w:type="dxa"/>
            <w:bottom w:w="0" w:type="dxa"/>
            <w:right w:w="0" w:type="dxa"/>
          </w:tblCellMar>
        </w:tblPrEx>
        <w:trPr>
          <w:trHeight w:val="585"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淄博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金诚石化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常减压</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350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待定</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2020年6月底</w:t>
            </w:r>
          </w:p>
        </w:tc>
      </w:tr>
      <w:tr>
        <w:tblPrEx>
          <w:tblLayout w:type="fixed"/>
          <w:tblCellMar>
            <w:top w:w="0" w:type="dxa"/>
            <w:left w:w="0" w:type="dxa"/>
            <w:bottom w:w="0" w:type="dxa"/>
            <w:right w:w="0" w:type="dxa"/>
          </w:tblCellMar>
        </w:tblPrEx>
        <w:trPr>
          <w:trHeight w:val="462"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东方华龙</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催化</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80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待定</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2020年1月1日</w:t>
            </w:r>
          </w:p>
        </w:tc>
      </w:tr>
      <w:tr>
        <w:tblPrEx>
          <w:tblLayout w:type="fixed"/>
          <w:tblCellMar>
            <w:top w:w="0" w:type="dxa"/>
            <w:left w:w="0" w:type="dxa"/>
            <w:bottom w:w="0" w:type="dxa"/>
            <w:right w:w="0" w:type="dxa"/>
          </w:tblCellMar>
        </w:tblPrEx>
        <w:trPr>
          <w:trHeight w:val="447" w:hRule="atLeast"/>
        </w:trPr>
        <w:tc>
          <w:tcPr>
            <w:tcW w:w="1080"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Theme="majorEastAsia" w:hAnsiTheme="majorEastAsia" w:eastAsiaTheme="majorEastAsia" w:cstheme="majorEastAsia"/>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垦利石化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小重整</w:t>
            </w:r>
          </w:p>
        </w:tc>
        <w:tc>
          <w:tcPr>
            <w:tcW w:w="81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60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待定</w:t>
            </w:r>
          </w:p>
        </w:tc>
        <w:tc>
          <w:tcPr>
            <w:tcW w:w="207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2019年4月27日</w:t>
            </w:r>
          </w:p>
        </w:tc>
      </w:tr>
      <w:tr>
        <w:tblPrEx>
          <w:tblLayout w:type="fixed"/>
          <w:tblCellMar>
            <w:top w:w="0" w:type="dxa"/>
            <w:left w:w="0" w:type="dxa"/>
            <w:bottom w:w="0" w:type="dxa"/>
            <w:right w:w="0" w:type="dxa"/>
          </w:tblCellMar>
        </w:tblPrEx>
        <w:trPr>
          <w:trHeight w:val="555" w:hRule="atLeast"/>
        </w:trPr>
        <w:tc>
          <w:tcPr>
            <w:tcW w:w="1080" w:type="dxa"/>
            <w:tcBorders>
              <w:top w:val="nil"/>
              <w:left w:val="single" w:color="000000" w:sz="8" w:space="0"/>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西南</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重庆</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龙海石化</w:t>
            </w:r>
          </w:p>
        </w:tc>
        <w:tc>
          <w:tcPr>
            <w:tcW w:w="10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全厂检修</w:t>
            </w:r>
          </w:p>
        </w:tc>
        <w:tc>
          <w:tcPr>
            <w:tcW w:w="814"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150</w:t>
            </w:r>
          </w:p>
        </w:tc>
        <w:tc>
          <w:tcPr>
            <w:tcW w:w="20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2021年3月底</w:t>
            </w:r>
          </w:p>
        </w:tc>
        <w:tc>
          <w:tcPr>
            <w:tcW w:w="20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color w:val="000000"/>
                <w:sz w:val="20"/>
                <w:szCs w:val="20"/>
                <w:u w:val="none"/>
              </w:rPr>
            </w:pPr>
            <w:r>
              <w:rPr>
                <w:rFonts w:hint="eastAsia" w:asciiTheme="majorEastAsia" w:hAnsiTheme="majorEastAsia" w:eastAsiaTheme="majorEastAsia" w:cstheme="majorEastAsia"/>
                <w:i w:val="0"/>
                <w:color w:val="000000"/>
                <w:kern w:val="0"/>
                <w:sz w:val="20"/>
                <w:szCs w:val="20"/>
                <w:u w:val="none"/>
                <w:lang w:val="en-US" w:eastAsia="zh-CN" w:bidi="ar"/>
              </w:rPr>
              <w:t>2021年2月2日</w:t>
            </w:r>
          </w:p>
        </w:tc>
      </w:tr>
    </w:tbl>
    <w:p>
      <w:pPr>
        <w:numPr>
          <w:ilvl w:val="0"/>
          <w:numId w:val="0"/>
        </w:numPr>
        <w:rPr>
          <w:rFonts w:hint="eastAsia" w:ascii="宋体" w:hAnsi="宋体"/>
          <w:sz w:val="28"/>
          <w:szCs w:val="28"/>
          <w:highlight w:val="none"/>
        </w:rPr>
      </w:pPr>
    </w:p>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0" w:name="_Toc1575"/>
      <w:r>
        <w:rPr>
          <w:rFonts w:hint="eastAsia" w:ascii="宋体" w:hAnsi="宋体"/>
          <w:b/>
          <w:sz w:val="30"/>
          <w:szCs w:val="30"/>
          <w:highlight w:val="none"/>
        </w:rPr>
        <w:t>3.2本周成品油市场行情</w:t>
      </w:r>
      <w:bookmarkEnd w:id="10"/>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国际原油期货涨势不止，据测算第六个工作日参考原油变化率为7.34%。受此影响，国内成品油市场行情整体上行，各地主营单位汽柴油价格推涨。与此同时，山东地炼成品油行情涨势再起，各炼厂报价纷纷调涨，成交保持100元/吨左右优惠。具体来看出货方面：受外盘油价走高以及零售价预期"八连涨"双重利好提振，区内油市看涨气氛浓厚。加上随着气温不断升高，北方地区工矿、基建等用油单位陆续开工，终端需求呈现逐渐提升状态，因此中下游商家购进操作频频，市场交投气氛活跃。据了解，地炼方面整体出货表现顺畅，汽柴油平均产销比在100-110%左右。</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本周(2月19日-2月25日)原油强势助推 区内油价涨势扩大 具体分析如下，本周国际原油接连推涨，新一轮变化率正向宽幅运行，消息方面对市场提振作用明显。周边地炼出货良好，库存水平普遍偏低，汽柴油出厂价格频频推涨。主营成本面增加，加之销售政策侧重保利。区内汽柴油价格涨势扩大，各单位优惠政策仍较为灵活。下游用户受“买涨”心态支撑，消库之余择低购进，整体购销气氛一度回暖，不过随着价格涨至高位，业者补货风险增加，市场交投多见刚需小单操作。后市而言，短期原油或维持高位运行，零售价“八连涨”几无悬念，消息面将延续利好。临近月末，主营月度销售任务已陆续完成，汽柴油价格易涨难跌。预计近期华中主营成品油价格或稳中有涨，下游采购或以刚需为主，市场购销或维持清淡。</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(2月18日-2月25日)，华南成品油市场整体维持强势推涨走势，市场挺价心态明显，交投气氛尚可。具体来看，周初国际原油市场大幅走高，成品油“八连涨”预期不断增强，提振市场的看涨情绪，主营单位多顺势推涨，其中广东地区中石化柴油价格涨至最高批发限价，受买涨心态影响，部分贸易商及终端企业多适当补仓，随着价格攀升至高点，市场购进心态谨慎，加之区内下游企业尚未完全开工，整体资源消耗量偏低，临近周末，成交情况趋于平稳。目前国内市场需求处于逐步恢复阶段，各行业入市节奏加快，终端市场需求量回归正常，而步入3月份例行检修炼厂增加，整体资源供应量有所减少，区内汽柴油行情依旧乐观看涨。</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(2月19日-2月25日)，华东地区成品油行情涨势为主，消息面利好因素支撑，市场整体交投气氛一般。具体来看，周内国际油价震荡上涨，原油变化率不断正向延伸，节后首轮零售价兑现大幅上调，市场信心提振，区内各主营单位居上调汽柴油价格，累计涨幅在200-400元/吨，各主营单位销售任务多陆续完成，优惠力度收窄。随着节后各地区工况、基建等大型项目陆续复工复产，民众返程以及出行增多，汽柴油整体需求提升，市场忧虑情绪缓解，业者入市逢低建仓，整体交投气氛表现一般。后市而言，国际油价或保持高位震荡，利好因素主导，加之新一轮销售周期，各主营单位汽柴油价格或涨幅为主，优惠力度放宽以刺激销量增长，业者入市多按需补货，故预计短期内华东地区成品油行情或连连上涨。</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本周(2月19日-2月25日)，原油反弹利好油市 区内行情继续上涨。分析来看，本周原油市场利好情绪反弹，市场供不应求预期增强，油价反弹至年内高点，受此影响国内调价上调预期不断拉宽。周初上调预期落实，但原油走势小幅回落且主营提前消化部分涨幅，区内油价涨幅有限，市场成交气氛清淡。周内原油走势不断上涨，地炼市场推涨积极性较高，主营单位在销售进度完成良好情况下挺价心态较重，周内累计涨幅在250-350元/吨，下游业者追涨气氛不高，市场成交多刚需小单为主，成交气氛维持淡稳。后市而言，国际油价走势短期内保持高位运行，随着OPEC会议的召开，油价的波动幅度或适度收敛，但国内本轮调价宽幅上调基调已定，国内市场将继续受到支撑。区内市场来看，目前下游多备货结束，但市场需求跟进不足，主营及社会单位库存高企，下游继续补货空间受限，市场短期内进入消耗库存阶段，后市随原油涨势减弱，区内油价将维持高位，因下周进入新的销售周期，主营侧重挺价出库，油价仍有小涨可能。</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(2月19日-2月25日)，西北地炼汽柴行情延续上行趋势，市场成交尚可。分析来看：周内国际原油期价震荡走高，变化率维持正向较大幅度运行，上调预期表现强烈，消息面利好对市场较有提振。与此同时，随着节日气氛消散，工程基建等行业相继复工，物流运输行业日渐活跃，柴油需求将逐步向好;汽油方面，私家车出行频繁，汽油需求仍有支撑。“买涨”情绪高涨，业者入市积极补货，市场成交气氛温和。销售公司出货顺畅，周内汽柴分别累积上涨350元/吨和300元/吨。就后市而言，国际原油期价维持高位运行，变化率正向区间波动，本轮零售价上调几无悬念，消息面利好对市场仍有支撑，预计短线西北地炼汽柴行情维持坚挺。不过，随着下游补货陆续到位，市场成交将逐步转淡。</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(2月19日-2月25日)，西南地区汽柴行情涨势扩大，市场成交逐步转淡。分析来看：周内国际油价涨幅明显，变化率维持正向区间延伸，上调预期表现强烈，消息面利好对市场支撑明显。与此同时，地炼汽柴价格亦有明显上涨，主营销售成本增加，并且，本月销售任务无压，因此成交价格持续上涨，周内汽柴行情提升明显。不过，春节假期刚刚结束，下游需求仍处于恢复阶段。再者，当前汽柴价格涨至高位，大单采购风险增加，业者操作心态趋于谨慎，市场成交逐步转淡。就后市而言，国际油价高位震荡，变化率正向区间运行，零售价“八连涨”几无悬念，消息面利好对市场仍有提振，预计短线西南地区汽柴行情或继续走高。不过，业者前期多已备货到位，后期消库存为主，市场成交难有提升。</w:t>
      </w:r>
    </w:p>
    <w:p>
      <w:pPr>
        <w:pStyle w:val="23"/>
        <w:spacing w:line="360" w:lineRule="auto"/>
        <w:ind w:firstLine="560" w:firstLineChars="200"/>
        <w:rPr>
          <w:rFonts w:hint="default"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后市前瞻：国际油价保持高位运行，随着OPEC会议的召开，油价的波动幅度或适度收敛。以WTI为例，主流运行区间在60-65(均值62.5)美元/桶之间，环比上涨1.27美元/桶或2.07%。在消息面利好作用以及基本面需求提升支撑下，山东地区成品油行情涨势难止，区内炼厂在库存无压下推价心态仍存，建议中下游商家短期内采取快进快出操作模式。综上所述，预计下周山东地炼汽柴油价格稳中上涨，幅度在100元/吨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21" w:name="_GoBack"/>
      <w:bookmarkEnd w:id="21"/>
    </w:p>
    <w:p>
      <w:pPr>
        <w:pStyle w:val="3"/>
        <w:spacing w:before="120" w:after="120" w:line="240" w:lineRule="auto"/>
        <w:rPr>
          <w:rFonts w:ascii="宋体" w:hAnsi="宋体"/>
          <w:b/>
          <w:sz w:val="30"/>
          <w:szCs w:val="30"/>
        </w:rPr>
      </w:pPr>
      <w:bookmarkStart w:id="11" w:name="_Toc29026"/>
      <w:r>
        <w:rPr>
          <w:rFonts w:hint="eastAsia" w:ascii="宋体" w:hAnsi="宋体"/>
          <w:b/>
          <w:sz w:val="30"/>
          <w:szCs w:val="30"/>
        </w:rPr>
        <w:t>3.3 国内汽油价格周报</w:t>
      </w:r>
      <w:bookmarkEnd w:id="11"/>
    </w:p>
    <w:p>
      <w:pPr>
        <w:rPr>
          <w:rFonts w:hint="eastAsia"/>
        </w:rPr>
      </w:pPr>
      <w:r>
        <w:rPr>
          <w:rFonts w:hint="eastAsia"/>
        </w:rPr>
        <w:t>单位：元/吨</w:t>
      </w:r>
    </w:p>
    <w:p>
      <w:pPr>
        <w:rPr>
          <w:rFonts w:hint="eastAsia"/>
        </w:rPr>
      </w:pPr>
    </w:p>
    <w:p>
      <w:pPr>
        <w:rPr>
          <w:rFonts w:hint="eastAsia"/>
        </w:rPr>
      </w:pPr>
    </w:p>
    <w:tbl>
      <w:tblPr>
        <w:tblStyle w:val="29"/>
        <w:tblW w:w="9735" w:type="dxa"/>
        <w:tblInd w:w="0" w:type="dxa"/>
        <w:shd w:val="clear" w:color="auto" w:fill="auto"/>
        <w:tblLayout w:type="fixed"/>
        <w:tblCellMar>
          <w:top w:w="0" w:type="dxa"/>
          <w:left w:w="0" w:type="dxa"/>
          <w:bottom w:w="0" w:type="dxa"/>
          <w:right w:w="0" w:type="dxa"/>
        </w:tblCellMar>
      </w:tblPr>
      <w:tblGrid>
        <w:gridCol w:w="990"/>
        <w:gridCol w:w="1140"/>
        <w:gridCol w:w="1155"/>
        <w:gridCol w:w="1065"/>
        <w:gridCol w:w="885"/>
        <w:gridCol w:w="1080"/>
        <w:gridCol w:w="990"/>
        <w:gridCol w:w="1215"/>
        <w:gridCol w:w="1215"/>
      </w:tblGrid>
      <w:tr>
        <w:tblPrEx>
          <w:shd w:val="clear" w:color="auto" w:fill="auto"/>
          <w:tblLayout w:type="fixed"/>
          <w:tblCellMar>
            <w:top w:w="0" w:type="dxa"/>
            <w:left w:w="0" w:type="dxa"/>
            <w:bottom w:w="0" w:type="dxa"/>
            <w:right w:w="0" w:type="dxa"/>
          </w:tblCellMar>
        </w:tblPrEx>
        <w:trPr>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2021/2/25</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2021/2/18</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6610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6410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6490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6640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8075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7767</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6410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2" w:name="_Toc14588"/>
      <w:r>
        <w:rPr>
          <w:rFonts w:hint="eastAsia" w:ascii="宋体" w:hAnsi="宋体"/>
          <w:b/>
          <w:sz w:val="30"/>
          <w:szCs w:val="30"/>
          <w:lang w:val="en-US" w:eastAsia="zh-CN"/>
        </w:rPr>
        <w:t>3.4国内柴油价格周报</w:t>
      </w:r>
      <w:bookmarkEnd w:id="12"/>
    </w:p>
    <w:p>
      <w:pPr>
        <w:rPr>
          <w:rFonts w:hint="eastAsia"/>
          <w:lang w:val="en-US" w:eastAsia="zh-CN"/>
        </w:rPr>
      </w:pPr>
      <w:r>
        <w:rPr>
          <w:rFonts w:hint="eastAsia"/>
          <w:lang w:val="en-US" w:eastAsia="zh-CN"/>
        </w:rPr>
        <w:t>单位：元/吨</w:t>
      </w:r>
    </w:p>
    <w:tbl>
      <w:tblPr>
        <w:tblStyle w:val="29"/>
        <w:tblW w:w="10065" w:type="dxa"/>
        <w:tblInd w:w="0" w:type="dxa"/>
        <w:shd w:val="clear" w:color="auto" w:fill="auto"/>
        <w:tblLayout w:type="fixed"/>
        <w:tblCellMar>
          <w:top w:w="0" w:type="dxa"/>
          <w:left w:w="0" w:type="dxa"/>
          <w:bottom w:w="0" w:type="dxa"/>
          <w:right w:w="0" w:type="dxa"/>
        </w:tblCellMar>
      </w:tblPr>
      <w:tblGrid>
        <w:gridCol w:w="1245"/>
        <w:gridCol w:w="1110"/>
        <w:gridCol w:w="1275"/>
        <w:gridCol w:w="960"/>
        <w:gridCol w:w="795"/>
        <w:gridCol w:w="1080"/>
        <w:gridCol w:w="990"/>
        <w:gridCol w:w="1305"/>
        <w:gridCol w:w="1305"/>
      </w:tblGrid>
      <w:tr>
        <w:tblPrEx>
          <w:shd w:val="clear" w:color="auto" w:fill="auto"/>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2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2021/2/25</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2021/2/18</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5290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4980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5370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5535</w:t>
            </w:r>
          </w:p>
        </w:tc>
      </w:tr>
      <w:tr>
        <w:tblPrEx>
          <w:tblLayout w:type="fixed"/>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3" w:name="_Toc18935"/>
      <w:r>
        <w:rPr>
          <w:rFonts w:hint="eastAsia" w:ascii="宋体" w:hAnsi="宋体"/>
          <w:b/>
          <w:sz w:val="30"/>
          <w:szCs w:val="30"/>
          <w:lang w:val="en-US" w:eastAsia="zh-CN"/>
        </w:rPr>
        <w:t>3.5 山东地炼汽油出厂价格周报</w:t>
      </w:r>
      <w:bookmarkEnd w:id="13"/>
    </w:p>
    <w:p>
      <w:pPr>
        <w:rPr>
          <w:rFonts w:hint="eastAsia"/>
          <w:lang w:val="en-US" w:eastAsia="zh-CN"/>
        </w:rPr>
      </w:pPr>
      <w:r>
        <w:rPr>
          <w:rFonts w:hint="eastAsia"/>
          <w:lang w:val="en-US" w:eastAsia="zh-CN"/>
        </w:rPr>
        <w:t>单位：元/吨</w:t>
      </w:r>
    </w:p>
    <w:p>
      <w:pPr>
        <w:rPr>
          <w:rFonts w:hint="eastAsia"/>
          <w:lang w:val="en-US" w:eastAsia="zh-CN"/>
        </w:rPr>
      </w:pPr>
    </w:p>
    <w:tbl>
      <w:tblPr>
        <w:tblStyle w:val="29"/>
        <w:tblW w:w="9270" w:type="dxa"/>
        <w:tblInd w:w="0" w:type="dxa"/>
        <w:shd w:val="clear" w:color="auto" w:fill="auto"/>
        <w:tblLayout w:type="fixed"/>
        <w:tblCellMar>
          <w:top w:w="0" w:type="dxa"/>
          <w:left w:w="0" w:type="dxa"/>
          <w:bottom w:w="0" w:type="dxa"/>
          <w:right w:w="0" w:type="dxa"/>
        </w:tblCellMar>
      </w:tblPr>
      <w:tblGrid>
        <w:gridCol w:w="945"/>
        <w:gridCol w:w="1470"/>
        <w:gridCol w:w="977"/>
        <w:gridCol w:w="913"/>
        <w:gridCol w:w="1065"/>
        <w:gridCol w:w="1080"/>
        <w:gridCol w:w="1410"/>
        <w:gridCol w:w="1410"/>
      </w:tblGrid>
      <w:tr>
        <w:tblPrEx>
          <w:shd w:val="clear" w:color="auto" w:fill="auto"/>
          <w:tblLayout w:type="fixed"/>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2021/2/25</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2021/2/18</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6115</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6315</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5965</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6204</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6367</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6270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6430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6130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6420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6090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4" w:name="_Toc5278"/>
      <w:r>
        <w:rPr>
          <w:rFonts w:hint="eastAsia" w:ascii="宋体" w:hAnsi="宋体"/>
          <w:b/>
          <w:sz w:val="30"/>
          <w:szCs w:val="30"/>
          <w:lang w:val="en-US" w:eastAsia="zh-CN"/>
        </w:rPr>
        <w:t>3.6 山东地炼柴油出厂价格周报</w:t>
      </w:r>
      <w:bookmarkEnd w:id="14"/>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Style w:val="29"/>
        <w:tblW w:w="9600" w:type="dxa"/>
        <w:tblInd w:w="0" w:type="dxa"/>
        <w:shd w:val="clear" w:color="auto" w:fill="auto"/>
        <w:tblLayout w:type="fixed"/>
        <w:tblCellMar>
          <w:top w:w="0" w:type="dxa"/>
          <w:left w:w="0" w:type="dxa"/>
          <w:bottom w:w="0" w:type="dxa"/>
          <w:right w:w="0" w:type="dxa"/>
        </w:tblCellMar>
      </w:tblPr>
      <w:tblGrid>
        <w:gridCol w:w="675"/>
        <w:gridCol w:w="1875"/>
        <w:gridCol w:w="960"/>
        <w:gridCol w:w="1245"/>
        <w:gridCol w:w="1080"/>
        <w:gridCol w:w="1005"/>
        <w:gridCol w:w="1380"/>
        <w:gridCol w:w="1380"/>
      </w:tblGrid>
      <w:tr>
        <w:tblPrEx>
          <w:shd w:val="clear" w:color="auto" w:fill="auto"/>
          <w:tblLayout w:type="fixed"/>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2021/2/25</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2021/2/18</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4970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5075</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822</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4883</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4930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4770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5" w:name="_Toc23829"/>
      <w:r>
        <w:rPr>
          <w:rFonts w:hint="eastAsia" w:ascii="宋体" w:hAnsi="宋体"/>
          <w:b/>
          <w:sz w:val="30"/>
          <w:szCs w:val="30"/>
          <w:lang w:val="en-US" w:eastAsia="zh-CN"/>
        </w:rPr>
        <w:t>四、2020年12月份进出口统计数据</w:t>
      </w:r>
      <w:bookmarkEnd w:id="15"/>
    </w:p>
    <w:p>
      <w:pPr>
        <w:rPr>
          <w:rFonts w:hint="eastAsia"/>
        </w:rPr>
      </w:pPr>
    </w:p>
    <w:p>
      <w:pPr>
        <w:pStyle w:val="3"/>
        <w:spacing w:before="120" w:after="120" w:line="240" w:lineRule="auto"/>
        <w:rPr>
          <w:rFonts w:hint="eastAsia" w:ascii="宋体" w:hAnsi="宋体"/>
          <w:b/>
          <w:sz w:val="30"/>
          <w:szCs w:val="30"/>
        </w:rPr>
      </w:pPr>
      <w:bookmarkStart w:id="16" w:name="_Toc26331"/>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份全国车用汽油</w:t>
      </w:r>
      <w:r>
        <w:rPr>
          <w:rFonts w:hint="eastAsia" w:ascii="宋体" w:hAnsi="宋体"/>
          <w:b/>
          <w:sz w:val="30"/>
          <w:szCs w:val="30"/>
          <w:lang w:eastAsia="zh-CN"/>
        </w:rPr>
        <w:t>进</w:t>
      </w:r>
      <w:r>
        <w:rPr>
          <w:rFonts w:hint="eastAsia" w:ascii="宋体" w:hAnsi="宋体"/>
          <w:b/>
          <w:sz w:val="30"/>
          <w:szCs w:val="30"/>
        </w:rPr>
        <w:t>出口统计数据</w:t>
      </w:r>
      <w:bookmarkEnd w:id="16"/>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tbl>
      <w:tblPr>
        <w:tblStyle w:val="29"/>
        <w:tblW w:w="9975" w:type="dxa"/>
        <w:tblInd w:w="0" w:type="dxa"/>
        <w:shd w:val="clear" w:color="auto" w:fill="auto"/>
        <w:tblLayout w:type="fixed"/>
        <w:tblCellMar>
          <w:top w:w="0" w:type="dxa"/>
          <w:left w:w="0" w:type="dxa"/>
          <w:bottom w:w="0" w:type="dxa"/>
          <w:right w:w="0" w:type="dxa"/>
        </w:tblCellMar>
      </w:tblPr>
      <w:tblGrid>
        <w:gridCol w:w="3060"/>
        <w:gridCol w:w="2730"/>
        <w:gridCol w:w="1080"/>
        <w:gridCol w:w="2025"/>
        <w:gridCol w:w="1080"/>
      </w:tblGrid>
      <w:tr>
        <w:tblPrEx>
          <w:shd w:val="clear" w:color="auto" w:fill="auto"/>
          <w:tblLayout w:type="fixed"/>
          <w:tblCellMar>
            <w:top w:w="0" w:type="dxa"/>
            <w:left w:w="0" w:type="dxa"/>
            <w:bottom w:w="0" w:type="dxa"/>
            <w:right w:w="0" w:type="dxa"/>
          </w:tblCellMar>
        </w:tblPrEx>
        <w:trPr>
          <w:trHeight w:val="585"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商品名称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贸易伙伴名称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数量(吨）</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人民币（元）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单价（元/吨）</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缅甸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5603</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15290349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2729</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印度尼西亚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67890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199007037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2931</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日本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65619998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2439</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中国澳门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7206</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13284227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马来西亚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182747</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446388344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2443</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蒙古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6331</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16773785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巴基斯坦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54845</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130763702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2384</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菲律宾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363590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866992623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2385</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新加坡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491363</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1188245276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2418</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韩国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19744070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2438</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斯里兰卡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29666</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74701672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2518</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泰国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42976</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106408746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2476</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越南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28970</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87129213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3008</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尼日利亚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62865</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163805390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2606</w:t>
            </w:r>
          </w:p>
        </w:tc>
      </w:tr>
      <w:tr>
        <w:tblPrEx>
          <w:tblLayout w:type="fixed"/>
          <w:tblCellMar>
            <w:top w:w="0" w:type="dxa"/>
            <w:left w:w="0" w:type="dxa"/>
            <w:bottom w:w="0" w:type="dxa"/>
            <w:right w:w="0" w:type="dxa"/>
          </w:tblCellMar>
        </w:tblPrEx>
        <w:trPr>
          <w:trHeight w:val="870" w:hRule="atLeast"/>
        </w:trPr>
        <w:tc>
          <w:tcPr>
            <w:tcW w:w="306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车用汽油和航空汽油,不含有生物柴油 </w:t>
            </w:r>
          </w:p>
        </w:tc>
        <w:tc>
          <w:tcPr>
            <w:tcW w:w="27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澳大利亚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70035</w:t>
            </w:r>
          </w:p>
        </w:tc>
        <w:tc>
          <w:tcPr>
            <w:tcW w:w="202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176850280  </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2525</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tbl>
      <w:tblPr>
        <w:tblStyle w:val="29"/>
        <w:tblpPr w:leftFromText="180" w:rightFromText="180" w:vertAnchor="text" w:horzAnchor="page" w:tblpX="1097" w:tblpY="1036"/>
        <w:tblOverlap w:val="never"/>
        <w:tblW w:w="10182" w:type="dxa"/>
        <w:tblInd w:w="0" w:type="dxa"/>
        <w:shd w:val="clear" w:color="auto" w:fill="auto"/>
        <w:tblLayout w:type="fixed"/>
        <w:tblCellMar>
          <w:top w:w="0" w:type="dxa"/>
          <w:left w:w="0" w:type="dxa"/>
          <w:bottom w:w="0" w:type="dxa"/>
          <w:right w:w="0" w:type="dxa"/>
        </w:tblCellMar>
      </w:tblPr>
      <w:tblGrid>
        <w:gridCol w:w="2187"/>
        <w:gridCol w:w="2625"/>
        <w:gridCol w:w="1380"/>
        <w:gridCol w:w="1770"/>
        <w:gridCol w:w="2220"/>
      </w:tblGrid>
      <w:tr>
        <w:tblPrEx>
          <w:shd w:val="clear" w:color="auto" w:fill="auto"/>
          <w:tblLayout w:type="fixed"/>
          <w:tblCellMar>
            <w:top w:w="0" w:type="dxa"/>
            <w:left w:w="0" w:type="dxa"/>
            <w:bottom w:w="0" w:type="dxa"/>
            <w:right w:w="0" w:type="dxa"/>
          </w:tblCellMar>
        </w:tblPrEx>
        <w:trPr>
          <w:trHeight w:val="560" w:hRule="atLeast"/>
        </w:trPr>
        <w:tc>
          <w:tcPr>
            <w:tcW w:w="218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7" w:name="_Toc19129"/>
            <w:r>
              <w:rPr>
                <w:rFonts w:hint="eastAsia" w:ascii="宋体" w:hAnsi="宋体" w:eastAsia="宋体" w:cs="宋体"/>
                <w:b/>
                <w:i w:val="0"/>
                <w:color w:val="000000"/>
                <w:kern w:val="0"/>
                <w:sz w:val="20"/>
                <w:szCs w:val="20"/>
                <w:u w:val="none"/>
                <w:lang w:val="en-US" w:eastAsia="zh-CN" w:bidi="ar"/>
              </w:rPr>
              <w:t>贸易伙伴名称</w:t>
            </w:r>
          </w:p>
        </w:tc>
        <w:tc>
          <w:tcPr>
            <w:tcW w:w="262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数量（吨）</w:t>
            </w:r>
          </w:p>
        </w:tc>
        <w:tc>
          <w:tcPr>
            <w:tcW w:w="13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所占比率</w:t>
            </w:r>
          </w:p>
        </w:tc>
        <w:tc>
          <w:tcPr>
            <w:tcW w:w="177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当月金额（元）</w:t>
            </w:r>
          </w:p>
        </w:tc>
        <w:tc>
          <w:tcPr>
            <w:tcW w:w="222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当月均价（元/吨）</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埃塞俄比亚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1385706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2771.41</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安提瓜和巴布达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2616.69</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511757.9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1129143671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2206.4</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巴哈马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871.61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2393336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2745.89</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巴拿马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14671.54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38208916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2604.29</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百慕大</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74065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2468.83</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伯利兹</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152370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2748.23</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354657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2848.65</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1493304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2680.98</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多哥</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163349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2969.98</w:t>
            </w:r>
          </w:p>
        </w:tc>
      </w:tr>
      <w:tr>
        <w:tblPrEx>
          <w:tblLayout w:type="fixed"/>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俄罗斯联邦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323.99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889676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2746.03</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281264.18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593034277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2108.46</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217119.52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482577567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2222.64</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荷兰</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1025882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2584.09</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黑山</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83764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2792.13</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喀麦隆</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182996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3049.93</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开曼群岛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139720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2794.4</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利比里亚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6999.33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20522887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2932.12</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卢森堡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50134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2671.25</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马耳他</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2665.72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9623438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3610.08</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39836.93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84277612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2115.57</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马绍尔群岛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5644.08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15684179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2778.87</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毛里塔尼亚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657.61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1712728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2604.46</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孟加拉国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168692.41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360439596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2136.67</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17191.04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41815804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2432.42</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挪威</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625.67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1723483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2754.62</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帕劳</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137755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2649.13</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葡萄牙</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1141402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4888.23</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296</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1392969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4705.98</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瑞士</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234354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2974.22</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塞拉利昂</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66164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3308.2</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塞浦路斯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3411295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2785.87</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沙特阿拉伯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479794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2665.52</w:t>
            </w:r>
          </w:p>
        </w:tc>
      </w:tr>
      <w:tr>
        <w:tblPrEx>
          <w:tblLayout w:type="fixed"/>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圣其茨和尼维斯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286900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2441.7</w:t>
            </w:r>
          </w:p>
        </w:tc>
      </w:tr>
      <w:tr>
        <w:tblPrEx>
          <w:tblLayout w:type="fixed"/>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圣文森特和格林纳丁斯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576051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2306.05</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130563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2611.26</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图瓦卢</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574317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2871.59</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希腊</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835.51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2795036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3345.31</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161636.33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347446436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2149.56</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牙买加</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2853.49</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24063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58666575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2438.04</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640.22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1669893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2608.32</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16821.89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34747789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2065.63</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智利</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77559.62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167610933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2161.06</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4555.75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9735610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2136.99</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中国台湾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1258785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2762.8</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中国香港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361087.38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820207403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2271.49</w:t>
            </w:r>
          </w:p>
        </w:tc>
      </w:tr>
      <w:tr>
        <w:tblPrEx>
          <w:tblLayout w:type="fixed"/>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6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1920641.29</w:t>
            </w:r>
          </w:p>
        </w:tc>
        <w:tc>
          <w:tcPr>
            <w:tcW w:w="13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7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4239949297</w:t>
            </w:r>
          </w:p>
        </w:tc>
        <w:tc>
          <w:tcPr>
            <w:tcW w:w="222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2207.57</w:t>
            </w:r>
          </w:p>
        </w:tc>
      </w:tr>
    </w:tbl>
    <w:p>
      <w:pPr>
        <w:pStyle w:val="3"/>
        <w:spacing w:before="120" w:after="120" w:line="240" w:lineRule="auto"/>
        <w:rPr>
          <w:rFonts w:hint="eastAsia" w:ascii="宋体" w:hAnsi="宋体"/>
          <w:b/>
          <w:sz w:val="30"/>
          <w:szCs w:val="30"/>
        </w:rPr>
      </w:pPr>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月份全国柴油出口统计数据</w:t>
      </w:r>
      <w:bookmarkEnd w:id="17"/>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9"/>
        <w:tblW w:w="9975" w:type="dxa"/>
        <w:tblInd w:w="0" w:type="dxa"/>
        <w:shd w:val="clear" w:color="auto" w:fill="auto"/>
        <w:tblLayout w:type="fixed"/>
        <w:tblCellMar>
          <w:top w:w="0" w:type="dxa"/>
          <w:left w:w="0" w:type="dxa"/>
          <w:bottom w:w="0" w:type="dxa"/>
          <w:right w:w="0" w:type="dxa"/>
        </w:tblCellMar>
      </w:tblPr>
      <w:tblGrid>
        <w:gridCol w:w="3060"/>
        <w:gridCol w:w="2730"/>
        <w:gridCol w:w="1080"/>
        <w:gridCol w:w="2025"/>
        <w:gridCol w:w="1080"/>
      </w:tblGrid>
      <w:tr>
        <w:tblPrEx>
          <w:shd w:val="clear" w:color="auto" w:fill="auto"/>
          <w:tblLayout w:type="fixed"/>
          <w:tblCellMar>
            <w:top w:w="0" w:type="dxa"/>
            <w:left w:w="0" w:type="dxa"/>
            <w:bottom w:w="0" w:type="dxa"/>
            <w:right w:w="0" w:type="dxa"/>
          </w:tblCellMar>
        </w:tblPrEx>
        <w:trPr>
          <w:trHeight w:val="540" w:hRule="atLeast"/>
        </w:trPr>
        <w:tc>
          <w:tcPr>
            <w:tcW w:w="3060"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bookmarkStart w:id="18" w:name="_Toc533771879"/>
            <w:r>
              <w:rPr>
                <w:rFonts w:hint="eastAsia" w:ascii="宋体" w:hAnsi="宋体" w:eastAsia="宋体" w:cs="宋体"/>
                <w:b/>
                <w:i w:val="0"/>
                <w:color w:val="000000"/>
                <w:kern w:val="0"/>
                <w:sz w:val="20"/>
                <w:szCs w:val="20"/>
                <w:u w:val="none"/>
                <w:lang w:val="en-US" w:eastAsia="zh-CN" w:bidi="ar"/>
              </w:rPr>
              <w:t>贸易伙伴名称</w:t>
            </w:r>
          </w:p>
        </w:tc>
        <w:tc>
          <w:tcPr>
            <w:tcW w:w="273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数量（吨）</w:t>
            </w:r>
          </w:p>
        </w:tc>
        <w:tc>
          <w:tcPr>
            <w:tcW w:w="10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所占比率</w:t>
            </w:r>
          </w:p>
        </w:tc>
        <w:tc>
          <w:tcPr>
            <w:tcW w:w="202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当月金额（元）</w:t>
            </w:r>
          </w:p>
        </w:tc>
        <w:tc>
          <w:tcPr>
            <w:tcW w:w="10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0"/>
                <w:szCs w:val="20"/>
                <w:u w:val="none"/>
              </w:rPr>
            </w:pPr>
            <w:r>
              <w:rPr>
                <w:rFonts w:hint="eastAsia" w:ascii="宋体" w:hAnsi="宋体" w:eastAsia="宋体" w:cs="宋体"/>
                <w:b/>
                <w:i w:val="0"/>
                <w:color w:val="2E363F"/>
                <w:kern w:val="0"/>
                <w:sz w:val="20"/>
                <w:szCs w:val="20"/>
                <w:u w:val="none"/>
                <w:lang w:val="en-US" w:eastAsia="zh-CN" w:bidi="ar"/>
              </w:rPr>
              <w:t>当月均价（元/吨）</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安提瓜和巴布达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325215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2521.05</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145809.707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330776396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2268.55</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巴巴多斯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30051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2504.25</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巴哈马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1466.279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3944970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2690.46</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巴拿马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32424.924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82504262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2544.47</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白俄罗斯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62400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伯利兹</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580.66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1545081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2660.9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丹麦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1809.15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4731931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2615.55</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5865132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2654.39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多哥</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267663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2676.63</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多米尼加共和国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908222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2671.24</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俄罗斯联邦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268462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2684.62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厄瓜多尔</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37715.098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81661175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2165.21</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395.2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1047756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2651.2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476878.59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1135811289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2381.76</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1043.462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2820825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2703.33</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荷兰</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675696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2699.54</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基里巴斯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2746.9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喀麦隆</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134701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2777.34</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开曼群岛</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1181997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2761.68</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克罗地亚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利比里亚</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12370.96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32048932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2590.66</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马耳他</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3655.974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9771923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2672.86</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马绍尔群岛</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9949.338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26059275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2619.2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480823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2404.12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98.995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245745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2482.4</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孟加拉国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249883.983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586944523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2348.87</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16543.119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35351706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2136.94</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挪威</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709.4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1805035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2544.45</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帕劳</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194947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2670.51</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葡萄牙</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2248.397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5984769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2661.79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1818.597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4731977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2601.99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塞拉利昂</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425896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3178.33</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塞浦路斯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1843.704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4871264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2642.11</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沙特阿拉伯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308.186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810616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2630.28</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圣其茨和尼维斯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2470.9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209.38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544093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2598.59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土耳其</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361274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2454.31</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危地马拉</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38080.375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79912576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2098.52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希腊</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1012.715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2620524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2587.62</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127005.177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316694649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2493.56</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牙买加</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61362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2667.91</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意大利</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1125091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2642.3</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123545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2470.9</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英国</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3970.976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10443091</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2629.85</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16512.065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42117069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2550.68</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中国澳门</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1986.535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4169689</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2098.98</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中国台湾</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1448.783</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3658096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2524.94</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中国香港</w:t>
            </w:r>
          </w:p>
        </w:tc>
        <w:tc>
          <w:tcPr>
            <w:tcW w:w="27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295214.967</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20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697976495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2364.3</w:t>
            </w:r>
          </w:p>
        </w:tc>
      </w:tr>
      <w:tr>
        <w:tblPrEx>
          <w:tblLayout w:type="fixed"/>
          <w:tblCellMar>
            <w:top w:w="0" w:type="dxa"/>
            <w:left w:w="0" w:type="dxa"/>
            <w:bottom w:w="0" w:type="dxa"/>
            <w:right w:w="0" w:type="dxa"/>
          </w:tblCellMar>
        </w:tblPrEx>
        <w:trPr>
          <w:trHeight w:val="300" w:hRule="atLeast"/>
        </w:trPr>
        <w:tc>
          <w:tcPr>
            <w:tcW w:w="3060"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273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1487864.3</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0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3524517104</w:t>
            </w:r>
          </w:p>
        </w:tc>
        <w:tc>
          <w:tcPr>
            <w:tcW w:w="10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2368.84</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19" w:name="_Toc23425"/>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9"/>
        <w:tblW w:w="9854" w:type="dxa"/>
        <w:tblInd w:w="0" w:type="dxa"/>
        <w:tblLayout w:type="fixed"/>
        <w:tblCellMar>
          <w:top w:w="0" w:type="dxa"/>
          <w:left w:w="108" w:type="dxa"/>
          <w:bottom w:w="0" w:type="dxa"/>
          <w:right w:w="108" w:type="dxa"/>
        </w:tblCellMar>
      </w:tblPr>
      <w:tblGrid>
        <w:gridCol w:w="1118"/>
        <w:gridCol w:w="1904"/>
        <w:gridCol w:w="1946"/>
        <w:gridCol w:w="1884"/>
        <w:gridCol w:w="1884"/>
        <w:gridCol w:w="1118"/>
      </w:tblGrid>
      <w:tr>
        <w:tblPrEx>
          <w:tblLayout w:type="fixed"/>
          <w:tblCellMar>
            <w:top w:w="0" w:type="dxa"/>
            <w:left w:w="108" w:type="dxa"/>
            <w:bottom w:w="0" w:type="dxa"/>
            <w:right w:w="108" w:type="dxa"/>
          </w:tblCellMar>
        </w:tblPrEx>
        <w:trPr>
          <w:trHeight w:val="825" w:hRule="atLeast"/>
        </w:trPr>
        <w:tc>
          <w:tcPr>
            <w:tcW w:w="1118" w:type="dxa"/>
            <w:tcBorders>
              <w:top w:val="single" w:color="333333" w:sz="8" w:space="0"/>
              <w:left w:val="nil"/>
              <w:bottom w:val="nil"/>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商品</w:t>
            </w:r>
          </w:p>
        </w:tc>
        <w:tc>
          <w:tcPr>
            <w:tcW w:w="190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国家</w:t>
            </w:r>
          </w:p>
        </w:tc>
        <w:tc>
          <w:tcPr>
            <w:tcW w:w="1946"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进口数量</w:t>
            </w:r>
          </w:p>
        </w:tc>
        <w:tc>
          <w:tcPr>
            <w:tcW w:w="188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计量单位</w:t>
            </w:r>
          </w:p>
        </w:tc>
        <w:tc>
          <w:tcPr>
            <w:tcW w:w="1884"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美元</w:t>
            </w:r>
          </w:p>
        </w:tc>
        <w:tc>
          <w:tcPr>
            <w:tcW w:w="1118"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均价</w:t>
            </w:r>
          </w:p>
        </w:tc>
      </w:tr>
      <w:tr>
        <w:tblPrEx>
          <w:tblLayout w:type="fixed"/>
          <w:tblCellMar>
            <w:top w:w="0" w:type="dxa"/>
            <w:left w:w="108" w:type="dxa"/>
            <w:bottom w:w="0" w:type="dxa"/>
            <w:right w:w="108" w:type="dxa"/>
          </w:tblCellMar>
        </w:tblPrEx>
        <w:trPr>
          <w:trHeight w:val="402" w:hRule="atLeast"/>
        </w:trPr>
        <w:tc>
          <w:tcPr>
            <w:tcW w:w="1118"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bottom"/>
          </w:tcPr>
          <w:p>
            <w:pPr>
              <w:widowControl/>
              <w:jc w:val="center"/>
              <w:rPr>
                <w:rFonts w:hint="eastAsia" w:ascii="宋体" w:hAnsi="宋体" w:eastAsia="宋体" w:cs="宋体"/>
                <w:b/>
                <w:bCs/>
                <w:color w:val="191919"/>
                <w:kern w:val="0"/>
                <w:sz w:val="20"/>
                <w:szCs w:val="20"/>
              </w:rPr>
            </w:pPr>
            <w:r>
              <w:rPr>
                <w:rFonts w:hint="eastAsia" w:ascii="宋体" w:hAnsi="宋体" w:eastAsia="宋体" w:cs="宋体"/>
                <w:b/>
                <w:bCs/>
                <w:color w:val="191919"/>
                <w:kern w:val="0"/>
                <w:sz w:val="20"/>
                <w:szCs w:val="20"/>
              </w:rPr>
              <w:t>石油原油(包括从沥青矿物提取的原油)</w:t>
            </w: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沙特阿拉伯</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6938734.129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2296972417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331.036</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俄罗斯联邦</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6204928.518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1999725441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322.28</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安哥拉</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3825103.13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1241298758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324.514</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美国</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3599057.578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1233948760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342.853</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科威特</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3183638.825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1004536526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315.531</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伊拉克</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3178954.233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976015934</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307.024</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巴西</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2154408.173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666649981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309.435</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阿曼</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1635573.416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526509767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321.911</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哥伦比亚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1149014.881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325250181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283.069</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马来西亚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1038049.714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359705576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346.521</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挪威</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836432.999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307726336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367.903</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阿联酋</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732583.565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231669205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316.236</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刚果(布)</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585281.245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175769420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300.316</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厄瓜多尔</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526472.595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147821258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280.777</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伊朗</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518758.218</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175971765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339.217</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加蓬</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374465.433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123699336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330.336</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利比亚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276995.2</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98944617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357.207</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加纳</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254171.84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91247905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359.001</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印度尼西亚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171041.123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57147746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334.117</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圭亚那</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143435.223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44488818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310.167</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埃及</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138574.519</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47157649</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340.305</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阿塞拜疆</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138556.837</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52488345</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378.822</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卡塔尔</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128622.731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43384539</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337.301</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喀麦隆</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126882.3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39681751</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312.745</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尼日利亚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125684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40452634</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321.86</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赤道几内亚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125094.62</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33218303</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265.545</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刚果(金)</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124486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41361427</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332.258</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加拿大</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79644.47</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23312448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292.706</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文莱</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40604</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14534800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357.965</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泰国</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40211.545</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13731888</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341.491</w:t>
            </w:r>
          </w:p>
        </w:tc>
      </w:tr>
      <w:tr>
        <w:tblPrEx>
          <w:tblLayout w:type="fixed"/>
          <w:tblCellMar>
            <w:top w:w="0" w:type="dxa"/>
            <w:left w:w="108" w:type="dxa"/>
            <w:bottom w:w="0" w:type="dxa"/>
            <w:right w:w="108" w:type="dxa"/>
          </w:tblCellMar>
        </w:tblPrEx>
        <w:trPr>
          <w:trHeight w:val="402"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哈萨克斯坦</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35513.83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9758670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274.785</w:t>
            </w:r>
          </w:p>
        </w:tc>
      </w:tr>
      <w:tr>
        <w:tblPrEx>
          <w:tblLayout w:type="fixed"/>
          <w:tblCellMar>
            <w:top w:w="0" w:type="dxa"/>
            <w:left w:w="108" w:type="dxa"/>
            <w:bottom w:w="0" w:type="dxa"/>
            <w:right w:w="108" w:type="dxa"/>
          </w:tblCellMar>
        </w:tblPrEx>
        <w:trPr>
          <w:trHeight w:val="645"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蒙古</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33217.03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7877832</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237.162</w:t>
            </w:r>
          </w:p>
        </w:tc>
      </w:tr>
      <w:tr>
        <w:tblPrEx>
          <w:tblLayout w:type="fixed"/>
          <w:tblCellMar>
            <w:top w:w="0" w:type="dxa"/>
            <w:left w:w="108" w:type="dxa"/>
            <w:bottom w:w="0" w:type="dxa"/>
            <w:right w:w="108" w:type="dxa"/>
          </w:tblCellMar>
        </w:tblPrEx>
        <w:trPr>
          <w:trHeight w:val="405"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澳大利亚</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4999.03</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1577283</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315.518</w:t>
            </w:r>
          </w:p>
        </w:tc>
      </w:tr>
      <w:tr>
        <w:tblPrEx>
          <w:tblLayout w:type="fixed"/>
          <w:tblCellMar>
            <w:top w:w="0" w:type="dxa"/>
            <w:left w:w="108" w:type="dxa"/>
            <w:bottom w:w="0" w:type="dxa"/>
            <w:right w:w="108" w:type="dxa"/>
          </w:tblCellMar>
        </w:tblPrEx>
        <w:trPr>
          <w:trHeight w:val="405"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乍得</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0.046</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300</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6521.74</w:t>
            </w:r>
          </w:p>
        </w:tc>
      </w:tr>
      <w:tr>
        <w:tblPrEx>
          <w:tblLayout w:type="fixed"/>
          <w:tblCellMar>
            <w:top w:w="0" w:type="dxa"/>
            <w:left w:w="108" w:type="dxa"/>
            <w:bottom w:w="0" w:type="dxa"/>
            <w:right w:w="108" w:type="dxa"/>
          </w:tblCellMar>
        </w:tblPrEx>
        <w:trPr>
          <w:trHeight w:val="480" w:hRule="atLeast"/>
        </w:trPr>
        <w:tc>
          <w:tcPr>
            <w:tcW w:w="111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宋体" w:hAnsi="宋体" w:eastAsia="宋体" w:cs="宋体"/>
                <w:b/>
                <w:bCs/>
                <w:color w:val="191919"/>
                <w:kern w:val="0"/>
                <w:sz w:val="20"/>
                <w:szCs w:val="20"/>
              </w:rPr>
            </w:pPr>
          </w:p>
        </w:tc>
        <w:tc>
          <w:tcPr>
            <w:tcW w:w="190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总计</w:t>
            </w:r>
          </w:p>
        </w:tc>
        <w:tc>
          <w:tcPr>
            <w:tcW w:w="1946"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38469191</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吨</w:t>
            </w:r>
          </w:p>
        </w:tc>
        <w:tc>
          <w:tcPr>
            <w:tcW w:w="1884"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12453637616</w:t>
            </w:r>
          </w:p>
        </w:tc>
        <w:tc>
          <w:tcPr>
            <w:tcW w:w="1118" w:type="dxa"/>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宋体" w:hAnsi="宋体" w:eastAsia="宋体" w:cs="宋体"/>
                <w:color w:val="333333"/>
                <w:kern w:val="0"/>
                <w:sz w:val="20"/>
                <w:szCs w:val="20"/>
              </w:rPr>
            </w:pPr>
            <w:r>
              <w:rPr>
                <w:rFonts w:hint="eastAsia" w:ascii="宋体" w:hAnsi="宋体" w:eastAsia="宋体" w:cs="宋体"/>
                <w:color w:val="333333"/>
                <w:kern w:val="0"/>
                <w:sz w:val="20"/>
                <w:szCs w:val="20"/>
              </w:rPr>
              <w:t>323.73</w:t>
            </w:r>
          </w:p>
        </w:tc>
      </w:tr>
    </w:tbl>
    <w:p>
      <w:pPr>
        <w:keepNext w:val="0"/>
        <w:keepLines w:val="0"/>
        <w:widowControl/>
        <w:suppressLineNumbers w:val="0"/>
        <w:jc w:val="center"/>
        <w:textAlignment w:val="center"/>
        <w:rPr>
          <w:rFonts w:hint="eastAsia"/>
          <w:bCs/>
          <w:szCs w:val="21"/>
        </w:rPr>
      </w:pPr>
    </w:p>
    <w:p>
      <w:pPr>
        <w:jc w:val="center"/>
        <w:rPr>
          <w:rFonts w:hint="eastAsia"/>
          <w:bCs/>
          <w:szCs w:val="21"/>
        </w:rPr>
      </w:pPr>
    </w:p>
    <w:p>
      <w:pPr>
        <w:pStyle w:val="3"/>
        <w:spacing w:before="120" w:after="120" w:line="240" w:lineRule="auto"/>
        <w:rPr>
          <w:rFonts w:hint="eastAsia" w:ascii="宋体" w:hAnsi="宋体"/>
          <w:b/>
          <w:sz w:val="30"/>
          <w:szCs w:val="30"/>
        </w:rPr>
      </w:pPr>
      <w:bookmarkStart w:id="20" w:name="_Toc29747"/>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月份航空煤油进出口统计数据</w:t>
      </w:r>
      <w:bookmarkEnd w:id="20"/>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8"/>
    <w:tbl>
      <w:tblPr>
        <w:tblStyle w:val="29"/>
        <w:tblW w:w="10140" w:type="dxa"/>
        <w:tblInd w:w="0" w:type="dxa"/>
        <w:shd w:val="clear" w:color="auto" w:fill="auto"/>
        <w:tblLayout w:type="fixed"/>
        <w:tblCellMar>
          <w:top w:w="0" w:type="dxa"/>
          <w:left w:w="0" w:type="dxa"/>
          <w:bottom w:w="0" w:type="dxa"/>
          <w:right w:w="0" w:type="dxa"/>
        </w:tblCellMar>
      </w:tblPr>
      <w:tblGrid>
        <w:gridCol w:w="5235"/>
        <w:gridCol w:w="4905"/>
      </w:tblGrid>
      <w:tr>
        <w:tblPrEx>
          <w:shd w:val="clear" w:color="auto" w:fill="auto"/>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Style w:val="25"/>
                <w:rFonts w:hint="eastAsia" w:ascii="宋体" w:hAnsi="宋体" w:eastAsia="宋体" w:cs="宋体"/>
                <w:caps w:val="0"/>
                <w:color w:val="000000"/>
                <w:spacing w:val="0"/>
                <w:sz w:val="20"/>
                <w:szCs w:val="20"/>
              </w:rPr>
              <w:t>进口</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Style w:val="25"/>
                <w:rFonts w:hint="eastAsia" w:ascii="宋体" w:hAnsi="宋体" w:eastAsia="宋体" w:cs="宋体"/>
                <w:caps w:val="0"/>
                <w:color w:val="000000"/>
                <w:spacing w:val="0"/>
                <w:sz w:val="20"/>
                <w:szCs w:val="20"/>
              </w:rPr>
              <w:t>出口</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12月进口量:239824.71（吨）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12月出口量:433403.17（吨）</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累计进口量:2552554.347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累计出口量:9976381.864（吨）</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当月进口均价:2631.26（元/吨）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当月出口均价:2631.09（元/吨）</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累计进口均价：2526.175（元/吨）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累计出口均价:2867.48（元/吨）</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进口量环比:147.00%</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出口量环比：-6.21%</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进口量同比：-31.97%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出口量同比：-77.27%</w:t>
            </w:r>
          </w:p>
        </w:tc>
      </w:tr>
      <w:tr>
        <w:tblPrEx>
          <w:tblLayout w:type="fixed"/>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累计进口量比去年同期：-18.47%</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color w:val="000000"/>
                <w:spacing w:val="0"/>
                <w:sz w:val="20"/>
                <w:szCs w:val="20"/>
              </w:rPr>
              <w:t>累计出口量比去年同期：-36.47%</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B177F91"/>
    <w:multiLevelType w:val="singleLevel"/>
    <w:tmpl w:val="0B177F91"/>
    <w:lvl w:ilvl="0" w:tentative="0">
      <w:start w:val="1"/>
      <w:numFmt w:val="decimal"/>
      <w:lvlText w:val="%1."/>
      <w:lvlJc w:val="left"/>
      <w:pPr>
        <w:tabs>
          <w:tab w:val="left" w:pos="312"/>
        </w:tabs>
      </w:pPr>
    </w:lvl>
  </w:abstractNum>
  <w:abstractNum w:abstractNumId="2">
    <w:nsid w:val="4079CC3D"/>
    <w:multiLevelType w:val="singleLevel"/>
    <w:tmpl w:val="4079CC3D"/>
    <w:lvl w:ilvl="0" w:tentative="0">
      <w:start w:val="4"/>
      <w:numFmt w:val="decimal"/>
      <w:lvlText w:val="%1."/>
      <w:lvlJc w:val="left"/>
      <w:pPr>
        <w:tabs>
          <w:tab w:val="left" w:pos="312"/>
        </w:tabs>
      </w:pPr>
    </w:lvl>
  </w:abstractNum>
  <w:abstractNum w:abstractNumId="3">
    <w:nsid w:val="422701EE"/>
    <w:multiLevelType w:val="multilevel"/>
    <w:tmpl w:val="422701EE"/>
    <w:lvl w:ilvl="0" w:tentative="0">
      <w:start w:val="1"/>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C71B14"/>
    <w:rsid w:val="03C968EE"/>
    <w:rsid w:val="03EC30D3"/>
    <w:rsid w:val="040707FC"/>
    <w:rsid w:val="042972F1"/>
    <w:rsid w:val="042B4FB5"/>
    <w:rsid w:val="04331F6D"/>
    <w:rsid w:val="044D6C9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836EEE"/>
    <w:rsid w:val="07906BB7"/>
    <w:rsid w:val="079B346A"/>
    <w:rsid w:val="079D7717"/>
    <w:rsid w:val="07B872E0"/>
    <w:rsid w:val="07CC2D78"/>
    <w:rsid w:val="07CC4016"/>
    <w:rsid w:val="07D15C8A"/>
    <w:rsid w:val="07E05AA3"/>
    <w:rsid w:val="07E76A1F"/>
    <w:rsid w:val="07F17792"/>
    <w:rsid w:val="080158C0"/>
    <w:rsid w:val="0809715C"/>
    <w:rsid w:val="080A4814"/>
    <w:rsid w:val="0817293A"/>
    <w:rsid w:val="0820276D"/>
    <w:rsid w:val="082F1BCD"/>
    <w:rsid w:val="08573B5A"/>
    <w:rsid w:val="086F6B65"/>
    <w:rsid w:val="08A4401C"/>
    <w:rsid w:val="08A55AD2"/>
    <w:rsid w:val="08CD17C0"/>
    <w:rsid w:val="08DE60ED"/>
    <w:rsid w:val="08E21688"/>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721C38"/>
    <w:rsid w:val="0B860805"/>
    <w:rsid w:val="0B945C54"/>
    <w:rsid w:val="0BB16187"/>
    <w:rsid w:val="0BCB6AF2"/>
    <w:rsid w:val="0BCE6861"/>
    <w:rsid w:val="0BDC4FBC"/>
    <w:rsid w:val="0BDF0A5F"/>
    <w:rsid w:val="0C08318F"/>
    <w:rsid w:val="0C1C163D"/>
    <w:rsid w:val="0C1E7ABD"/>
    <w:rsid w:val="0C206584"/>
    <w:rsid w:val="0C212EC8"/>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CA36AC"/>
    <w:rsid w:val="0FD23F99"/>
    <w:rsid w:val="0FE34C1B"/>
    <w:rsid w:val="0FE35E2C"/>
    <w:rsid w:val="0FEF79AA"/>
    <w:rsid w:val="101B677C"/>
    <w:rsid w:val="101C7D06"/>
    <w:rsid w:val="101F6270"/>
    <w:rsid w:val="1024515A"/>
    <w:rsid w:val="1037062C"/>
    <w:rsid w:val="1046198D"/>
    <w:rsid w:val="104E6FC1"/>
    <w:rsid w:val="105F3A71"/>
    <w:rsid w:val="106D475B"/>
    <w:rsid w:val="108362B8"/>
    <w:rsid w:val="108C4660"/>
    <w:rsid w:val="10957382"/>
    <w:rsid w:val="10BA0A0E"/>
    <w:rsid w:val="10CE39DE"/>
    <w:rsid w:val="10FA6B68"/>
    <w:rsid w:val="10FF5E5F"/>
    <w:rsid w:val="11190B98"/>
    <w:rsid w:val="11247901"/>
    <w:rsid w:val="11365062"/>
    <w:rsid w:val="11422692"/>
    <w:rsid w:val="11590029"/>
    <w:rsid w:val="117F7F48"/>
    <w:rsid w:val="11F843DE"/>
    <w:rsid w:val="121446A8"/>
    <w:rsid w:val="12320E5B"/>
    <w:rsid w:val="124E5846"/>
    <w:rsid w:val="1265739D"/>
    <w:rsid w:val="12662947"/>
    <w:rsid w:val="127E2138"/>
    <w:rsid w:val="128771AE"/>
    <w:rsid w:val="12BE2ADE"/>
    <w:rsid w:val="12D52D83"/>
    <w:rsid w:val="12D8263D"/>
    <w:rsid w:val="13086577"/>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22844"/>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A00D9"/>
    <w:rsid w:val="151B73F8"/>
    <w:rsid w:val="15211EFF"/>
    <w:rsid w:val="15353F74"/>
    <w:rsid w:val="153A274D"/>
    <w:rsid w:val="154B5C10"/>
    <w:rsid w:val="154F205D"/>
    <w:rsid w:val="15615E0F"/>
    <w:rsid w:val="156D2843"/>
    <w:rsid w:val="15701AB8"/>
    <w:rsid w:val="15786279"/>
    <w:rsid w:val="15892652"/>
    <w:rsid w:val="159001BC"/>
    <w:rsid w:val="15965FE2"/>
    <w:rsid w:val="15AA23F1"/>
    <w:rsid w:val="15B1437C"/>
    <w:rsid w:val="15B939D5"/>
    <w:rsid w:val="15D83B2E"/>
    <w:rsid w:val="15DD70EA"/>
    <w:rsid w:val="15E11AB3"/>
    <w:rsid w:val="15E25134"/>
    <w:rsid w:val="15E8785D"/>
    <w:rsid w:val="16113EF1"/>
    <w:rsid w:val="16116F4B"/>
    <w:rsid w:val="161D05B7"/>
    <w:rsid w:val="162E280E"/>
    <w:rsid w:val="164206BE"/>
    <w:rsid w:val="16446BD7"/>
    <w:rsid w:val="16600954"/>
    <w:rsid w:val="166969D8"/>
    <w:rsid w:val="16734EEE"/>
    <w:rsid w:val="1691331C"/>
    <w:rsid w:val="16B0271F"/>
    <w:rsid w:val="16D82413"/>
    <w:rsid w:val="16DC7206"/>
    <w:rsid w:val="16E22B33"/>
    <w:rsid w:val="16EF1899"/>
    <w:rsid w:val="16F85570"/>
    <w:rsid w:val="16FA58EE"/>
    <w:rsid w:val="17116BE2"/>
    <w:rsid w:val="17194D7A"/>
    <w:rsid w:val="172078E9"/>
    <w:rsid w:val="172D12A6"/>
    <w:rsid w:val="17350283"/>
    <w:rsid w:val="173C1948"/>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D6973"/>
    <w:rsid w:val="1BE24098"/>
    <w:rsid w:val="1BE81B85"/>
    <w:rsid w:val="1BF27AE1"/>
    <w:rsid w:val="1BFE2971"/>
    <w:rsid w:val="1C01336C"/>
    <w:rsid w:val="1C021382"/>
    <w:rsid w:val="1C081DD0"/>
    <w:rsid w:val="1C1669BA"/>
    <w:rsid w:val="1C1C3102"/>
    <w:rsid w:val="1C2230E8"/>
    <w:rsid w:val="1C251540"/>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0B266C"/>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D2551D"/>
    <w:rsid w:val="22E67532"/>
    <w:rsid w:val="230F16FC"/>
    <w:rsid w:val="231C2E7E"/>
    <w:rsid w:val="232A4048"/>
    <w:rsid w:val="233344E4"/>
    <w:rsid w:val="2337735C"/>
    <w:rsid w:val="23384D61"/>
    <w:rsid w:val="23392A7A"/>
    <w:rsid w:val="235336A2"/>
    <w:rsid w:val="236765E1"/>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4F86BA3"/>
    <w:rsid w:val="250D3E66"/>
    <w:rsid w:val="252754C5"/>
    <w:rsid w:val="252D0E2C"/>
    <w:rsid w:val="252D3F69"/>
    <w:rsid w:val="2547370A"/>
    <w:rsid w:val="25585795"/>
    <w:rsid w:val="25740BBD"/>
    <w:rsid w:val="25955E96"/>
    <w:rsid w:val="259B6E31"/>
    <w:rsid w:val="259E33E1"/>
    <w:rsid w:val="25A07C39"/>
    <w:rsid w:val="25AF1FA5"/>
    <w:rsid w:val="25B677AD"/>
    <w:rsid w:val="25B904A8"/>
    <w:rsid w:val="25E06259"/>
    <w:rsid w:val="25FD0304"/>
    <w:rsid w:val="2606044C"/>
    <w:rsid w:val="26090E12"/>
    <w:rsid w:val="261447E7"/>
    <w:rsid w:val="26162D47"/>
    <w:rsid w:val="26313BB1"/>
    <w:rsid w:val="26417898"/>
    <w:rsid w:val="26442276"/>
    <w:rsid w:val="26444B63"/>
    <w:rsid w:val="264D7096"/>
    <w:rsid w:val="26552532"/>
    <w:rsid w:val="26671EE8"/>
    <w:rsid w:val="2692422E"/>
    <w:rsid w:val="269F6889"/>
    <w:rsid w:val="26AD0D8B"/>
    <w:rsid w:val="26C17431"/>
    <w:rsid w:val="26C27EC9"/>
    <w:rsid w:val="26C545A4"/>
    <w:rsid w:val="26C94300"/>
    <w:rsid w:val="26DF7D7C"/>
    <w:rsid w:val="26EE1723"/>
    <w:rsid w:val="26F154C7"/>
    <w:rsid w:val="26FD7030"/>
    <w:rsid w:val="27007370"/>
    <w:rsid w:val="27080E2E"/>
    <w:rsid w:val="270D21C6"/>
    <w:rsid w:val="270D2595"/>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3D59"/>
    <w:rsid w:val="2B84406F"/>
    <w:rsid w:val="2B8B518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9D3080"/>
    <w:rsid w:val="2CAD067B"/>
    <w:rsid w:val="2CFD0FC0"/>
    <w:rsid w:val="2D050EBF"/>
    <w:rsid w:val="2D2009C3"/>
    <w:rsid w:val="2D2A25A1"/>
    <w:rsid w:val="2D2A51E4"/>
    <w:rsid w:val="2D3059BC"/>
    <w:rsid w:val="2D4D17E5"/>
    <w:rsid w:val="2D6F58D8"/>
    <w:rsid w:val="2D892B5C"/>
    <w:rsid w:val="2DAF27D1"/>
    <w:rsid w:val="2DB328B9"/>
    <w:rsid w:val="2DC6450C"/>
    <w:rsid w:val="2DD85082"/>
    <w:rsid w:val="2DE11692"/>
    <w:rsid w:val="2DF24F64"/>
    <w:rsid w:val="2DF5641D"/>
    <w:rsid w:val="2DF644E3"/>
    <w:rsid w:val="2E0D40F5"/>
    <w:rsid w:val="2E2F56E6"/>
    <w:rsid w:val="2E4A7323"/>
    <w:rsid w:val="2E682AAC"/>
    <w:rsid w:val="2E6D230F"/>
    <w:rsid w:val="2E7D543E"/>
    <w:rsid w:val="2E8C2DE3"/>
    <w:rsid w:val="2E98229F"/>
    <w:rsid w:val="2EA56E95"/>
    <w:rsid w:val="2EA673C9"/>
    <w:rsid w:val="2EAF1D1D"/>
    <w:rsid w:val="2EC0096E"/>
    <w:rsid w:val="2ECA710C"/>
    <w:rsid w:val="2ED4404D"/>
    <w:rsid w:val="2ED50475"/>
    <w:rsid w:val="2EE365C8"/>
    <w:rsid w:val="2F090AB4"/>
    <w:rsid w:val="2F13732E"/>
    <w:rsid w:val="2F2F2D16"/>
    <w:rsid w:val="2F336BA3"/>
    <w:rsid w:val="2F5621A6"/>
    <w:rsid w:val="2F66411F"/>
    <w:rsid w:val="2F9E2267"/>
    <w:rsid w:val="2FA5716E"/>
    <w:rsid w:val="2FB91769"/>
    <w:rsid w:val="2FBE7D06"/>
    <w:rsid w:val="2FCD4219"/>
    <w:rsid w:val="2FD85581"/>
    <w:rsid w:val="2FE37EAB"/>
    <w:rsid w:val="2FE513F6"/>
    <w:rsid w:val="2FE91ED2"/>
    <w:rsid w:val="2FEC28E9"/>
    <w:rsid w:val="2FF22D62"/>
    <w:rsid w:val="30037E76"/>
    <w:rsid w:val="300B0CEC"/>
    <w:rsid w:val="30173C95"/>
    <w:rsid w:val="301B31E2"/>
    <w:rsid w:val="302909D7"/>
    <w:rsid w:val="30320AA9"/>
    <w:rsid w:val="30427218"/>
    <w:rsid w:val="3055125A"/>
    <w:rsid w:val="30664FDE"/>
    <w:rsid w:val="309E4811"/>
    <w:rsid w:val="30A00CB5"/>
    <w:rsid w:val="30AF5F22"/>
    <w:rsid w:val="30C14186"/>
    <w:rsid w:val="30D71496"/>
    <w:rsid w:val="30DC0703"/>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E45BC"/>
    <w:rsid w:val="32D9201A"/>
    <w:rsid w:val="32E42D0F"/>
    <w:rsid w:val="32E779A4"/>
    <w:rsid w:val="330D4D94"/>
    <w:rsid w:val="33435E16"/>
    <w:rsid w:val="335F11B3"/>
    <w:rsid w:val="337B12FB"/>
    <w:rsid w:val="33846435"/>
    <w:rsid w:val="339C5454"/>
    <w:rsid w:val="33A258FF"/>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32E56"/>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A22949"/>
    <w:rsid w:val="36B523AB"/>
    <w:rsid w:val="36C76D40"/>
    <w:rsid w:val="36F44E23"/>
    <w:rsid w:val="371D2966"/>
    <w:rsid w:val="373062E8"/>
    <w:rsid w:val="375C1AC9"/>
    <w:rsid w:val="37770231"/>
    <w:rsid w:val="37785098"/>
    <w:rsid w:val="377E7331"/>
    <w:rsid w:val="379038C8"/>
    <w:rsid w:val="379B1E6C"/>
    <w:rsid w:val="379D002A"/>
    <w:rsid w:val="37A6234C"/>
    <w:rsid w:val="37A907BA"/>
    <w:rsid w:val="37AF1535"/>
    <w:rsid w:val="37CA63F2"/>
    <w:rsid w:val="37CB57CA"/>
    <w:rsid w:val="37D337D1"/>
    <w:rsid w:val="37DD56C2"/>
    <w:rsid w:val="37DE20F8"/>
    <w:rsid w:val="37F16302"/>
    <w:rsid w:val="38253136"/>
    <w:rsid w:val="38372548"/>
    <w:rsid w:val="384570A4"/>
    <w:rsid w:val="38467A04"/>
    <w:rsid w:val="38781C56"/>
    <w:rsid w:val="38A140CE"/>
    <w:rsid w:val="38B54C1A"/>
    <w:rsid w:val="38C30240"/>
    <w:rsid w:val="38CF65F7"/>
    <w:rsid w:val="38D113BF"/>
    <w:rsid w:val="38D30895"/>
    <w:rsid w:val="38E95212"/>
    <w:rsid w:val="38F3691D"/>
    <w:rsid w:val="3909408E"/>
    <w:rsid w:val="391C1C7A"/>
    <w:rsid w:val="39465968"/>
    <w:rsid w:val="394D1A3B"/>
    <w:rsid w:val="394F4D33"/>
    <w:rsid w:val="39600E80"/>
    <w:rsid w:val="39803383"/>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B002E8F"/>
    <w:rsid w:val="3B0A7991"/>
    <w:rsid w:val="3B100A85"/>
    <w:rsid w:val="3B18283A"/>
    <w:rsid w:val="3B336F2F"/>
    <w:rsid w:val="3B567019"/>
    <w:rsid w:val="3B5C777B"/>
    <w:rsid w:val="3B691338"/>
    <w:rsid w:val="3B6B36CF"/>
    <w:rsid w:val="3B96787F"/>
    <w:rsid w:val="3BA60160"/>
    <w:rsid w:val="3BB46CD1"/>
    <w:rsid w:val="3BB6128D"/>
    <w:rsid w:val="3BD11411"/>
    <w:rsid w:val="3BD837A5"/>
    <w:rsid w:val="3BED4242"/>
    <w:rsid w:val="3C173EBE"/>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6341E4"/>
    <w:rsid w:val="3D6A48AA"/>
    <w:rsid w:val="3D6D23E3"/>
    <w:rsid w:val="3D7C1281"/>
    <w:rsid w:val="3D8D1DDC"/>
    <w:rsid w:val="3D995C7E"/>
    <w:rsid w:val="3DCE2E82"/>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EFC4AE4"/>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7240B9"/>
    <w:rsid w:val="417C0D06"/>
    <w:rsid w:val="418B25AA"/>
    <w:rsid w:val="418E56CE"/>
    <w:rsid w:val="41925E9B"/>
    <w:rsid w:val="419B1BC4"/>
    <w:rsid w:val="419D5169"/>
    <w:rsid w:val="419D7C05"/>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F02B6"/>
    <w:rsid w:val="42523372"/>
    <w:rsid w:val="42672C44"/>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A3E0D"/>
    <w:rsid w:val="432D0CD2"/>
    <w:rsid w:val="4338356A"/>
    <w:rsid w:val="433E24EE"/>
    <w:rsid w:val="43412F21"/>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07EEA"/>
    <w:rsid w:val="4488431A"/>
    <w:rsid w:val="448F5706"/>
    <w:rsid w:val="44944331"/>
    <w:rsid w:val="449A539D"/>
    <w:rsid w:val="44A538D4"/>
    <w:rsid w:val="44B05905"/>
    <w:rsid w:val="44B67F0B"/>
    <w:rsid w:val="44BB1103"/>
    <w:rsid w:val="451317C4"/>
    <w:rsid w:val="45252A65"/>
    <w:rsid w:val="45575AD5"/>
    <w:rsid w:val="457E0115"/>
    <w:rsid w:val="459B774E"/>
    <w:rsid w:val="45B72AB1"/>
    <w:rsid w:val="45BA079F"/>
    <w:rsid w:val="45CC0EF3"/>
    <w:rsid w:val="45CF5AD4"/>
    <w:rsid w:val="45D61E17"/>
    <w:rsid w:val="45DD06D9"/>
    <w:rsid w:val="460D21F2"/>
    <w:rsid w:val="460E0469"/>
    <w:rsid w:val="460E0A15"/>
    <w:rsid w:val="461909E8"/>
    <w:rsid w:val="462E79C9"/>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B94CE5"/>
    <w:rsid w:val="47C254B8"/>
    <w:rsid w:val="47DF082A"/>
    <w:rsid w:val="47EB5003"/>
    <w:rsid w:val="48081128"/>
    <w:rsid w:val="480D3EC3"/>
    <w:rsid w:val="48144FED"/>
    <w:rsid w:val="482B26B0"/>
    <w:rsid w:val="483A31DC"/>
    <w:rsid w:val="48440530"/>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4087A"/>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977A4A"/>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8C7DDC"/>
    <w:rsid w:val="4FAD0DF7"/>
    <w:rsid w:val="4FBC1F04"/>
    <w:rsid w:val="4FBD361C"/>
    <w:rsid w:val="4FBE1CEA"/>
    <w:rsid w:val="4FC15F00"/>
    <w:rsid w:val="4FF17370"/>
    <w:rsid w:val="4FF77C61"/>
    <w:rsid w:val="50037C0C"/>
    <w:rsid w:val="500F51F9"/>
    <w:rsid w:val="50200CEA"/>
    <w:rsid w:val="502E1CFA"/>
    <w:rsid w:val="50371519"/>
    <w:rsid w:val="503D6ACE"/>
    <w:rsid w:val="50447CE3"/>
    <w:rsid w:val="504570EB"/>
    <w:rsid w:val="505A0A75"/>
    <w:rsid w:val="505B05E7"/>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52A88"/>
    <w:rsid w:val="51B23F17"/>
    <w:rsid w:val="51B661F2"/>
    <w:rsid w:val="51BB2EED"/>
    <w:rsid w:val="51E51BA8"/>
    <w:rsid w:val="51EE27E3"/>
    <w:rsid w:val="52101F45"/>
    <w:rsid w:val="52125E5B"/>
    <w:rsid w:val="5213342A"/>
    <w:rsid w:val="52163344"/>
    <w:rsid w:val="52217FFE"/>
    <w:rsid w:val="5234477C"/>
    <w:rsid w:val="52475C9F"/>
    <w:rsid w:val="52515077"/>
    <w:rsid w:val="52806E8B"/>
    <w:rsid w:val="52A84489"/>
    <w:rsid w:val="52B118DE"/>
    <w:rsid w:val="52B80D5E"/>
    <w:rsid w:val="52BF77E0"/>
    <w:rsid w:val="52C52078"/>
    <w:rsid w:val="52CB6EC0"/>
    <w:rsid w:val="52D061DA"/>
    <w:rsid w:val="52D211F8"/>
    <w:rsid w:val="52F26F28"/>
    <w:rsid w:val="53031E61"/>
    <w:rsid w:val="5315442E"/>
    <w:rsid w:val="533907AA"/>
    <w:rsid w:val="5341530E"/>
    <w:rsid w:val="534326DA"/>
    <w:rsid w:val="53434396"/>
    <w:rsid w:val="534D112E"/>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522B5"/>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709F8"/>
    <w:rsid w:val="56F10A56"/>
    <w:rsid w:val="56FB32FA"/>
    <w:rsid w:val="570703AF"/>
    <w:rsid w:val="572D602C"/>
    <w:rsid w:val="573221A2"/>
    <w:rsid w:val="57364D30"/>
    <w:rsid w:val="573D71D1"/>
    <w:rsid w:val="57574216"/>
    <w:rsid w:val="57636B03"/>
    <w:rsid w:val="57A21363"/>
    <w:rsid w:val="57A54C20"/>
    <w:rsid w:val="57A71406"/>
    <w:rsid w:val="57B06D46"/>
    <w:rsid w:val="57B937A9"/>
    <w:rsid w:val="57BB4E50"/>
    <w:rsid w:val="57C34B39"/>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7D1253"/>
    <w:rsid w:val="5A905E59"/>
    <w:rsid w:val="5A9311E7"/>
    <w:rsid w:val="5AA72593"/>
    <w:rsid w:val="5AA9358C"/>
    <w:rsid w:val="5AD0373D"/>
    <w:rsid w:val="5AF46A20"/>
    <w:rsid w:val="5AF81B7B"/>
    <w:rsid w:val="5AF86253"/>
    <w:rsid w:val="5AFB1569"/>
    <w:rsid w:val="5B047A73"/>
    <w:rsid w:val="5B081862"/>
    <w:rsid w:val="5B0A0B9B"/>
    <w:rsid w:val="5B1140FC"/>
    <w:rsid w:val="5B1C3DCA"/>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7636FE"/>
    <w:rsid w:val="5D7F7A77"/>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42BE"/>
    <w:rsid w:val="60E16AB6"/>
    <w:rsid w:val="60E40C2C"/>
    <w:rsid w:val="60F32CD5"/>
    <w:rsid w:val="60FB6994"/>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B37CB"/>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860EC"/>
    <w:rsid w:val="652A1A84"/>
    <w:rsid w:val="652A5D21"/>
    <w:rsid w:val="65480BBE"/>
    <w:rsid w:val="6554639C"/>
    <w:rsid w:val="65687D20"/>
    <w:rsid w:val="657B264C"/>
    <w:rsid w:val="659052F9"/>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312B59"/>
    <w:rsid w:val="69446209"/>
    <w:rsid w:val="694E271E"/>
    <w:rsid w:val="69534859"/>
    <w:rsid w:val="69726337"/>
    <w:rsid w:val="69787B08"/>
    <w:rsid w:val="698B1B24"/>
    <w:rsid w:val="6994580C"/>
    <w:rsid w:val="69A66C99"/>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247F63"/>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24C59"/>
    <w:rsid w:val="6EBD3CCD"/>
    <w:rsid w:val="6EC9468F"/>
    <w:rsid w:val="6ECD60E1"/>
    <w:rsid w:val="6EDB6C60"/>
    <w:rsid w:val="6EE64158"/>
    <w:rsid w:val="6F0F28B8"/>
    <w:rsid w:val="6F2428C0"/>
    <w:rsid w:val="6F350CF1"/>
    <w:rsid w:val="6F3A17D7"/>
    <w:rsid w:val="6F433285"/>
    <w:rsid w:val="6F591B5D"/>
    <w:rsid w:val="6F7E65DB"/>
    <w:rsid w:val="6F7F6D3A"/>
    <w:rsid w:val="6F8D476D"/>
    <w:rsid w:val="6F9016E6"/>
    <w:rsid w:val="6F981073"/>
    <w:rsid w:val="6FA172A4"/>
    <w:rsid w:val="6FE07DD0"/>
    <w:rsid w:val="6FEC6F26"/>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ED6920"/>
    <w:rsid w:val="74F13E40"/>
    <w:rsid w:val="750B1697"/>
    <w:rsid w:val="752A3F7B"/>
    <w:rsid w:val="7533655A"/>
    <w:rsid w:val="754222FC"/>
    <w:rsid w:val="75444F15"/>
    <w:rsid w:val="75485488"/>
    <w:rsid w:val="75692896"/>
    <w:rsid w:val="75733C39"/>
    <w:rsid w:val="758516A2"/>
    <w:rsid w:val="759A2104"/>
    <w:rsid w:val="75B35E00"/>
    <w:rsid w:val="75CD1343"/>
    <w:rsid w:val="75EB2F64"/>
    <w:rsid w:val="75F04A64"/>
    <w:rsid w:val="7609404D"/>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594BC8"/>
    <w:rsid w:val="77652DD1"/>
    <w:rsid w:val="776C53FF"/>
    <w:rsid w:val="776E3681"/>
    <w:rsid w:val="777E5705"/>
    <w:rsid w:val="7781654E"/>
    <w:rsid w:val="77881C4F"/>
    <w:rsid w:val="779231D8"/>
    <w:rsid w:val="77A618BC"/>
    <w:rsid w:val="77B92312"/>
    <w:rsid w:val="77CC68FE"/>
    <w:rsid w:val="77DE5CDB"/>
    <w:rsid w:val="77F67883"/>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1E0B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A76397"/>
    <w:rsid w:val="7BB151FD"/>
    <w:rsid w:val="7BB43296"/>
    <w:rsid w:val="7BBE12F2"/>
    <w:rsid w:val="7BDE6C84"/>
    <w:rsid w:val="7BE07A81"/>
    <w:rsid w:val="7BE81B8B"/>
    <w:rsid w:val="7BE97D38"/>
    <w:rsid w:val="7BED162A"/>
    <w:rsid w:val="7BF01170"/>
    <w:rsid w:val="7C272B3E"/>
    <w:rsid w:val="7C471D4F"/>
    <w:rsid w:val="7C573A0C"/>
    <w:rsid w:val="7C5A71C2"/>
    <w:rsid w:val="7C615DCB"/>
    <w:rsid w:val="7C7A6596"/>
    <w:rsid w:val="7CA76A22"/>
    <w:rsid w:val="7CB167D6"/>
    <w:rsid w:val="7CCC4E54"/>
    <w:rsid w:val="7CEB2ACD"/>
    <w:rsid w:val="7CEF6F65"/>
    <w:rsid w:val="7CF41D8D"/>
    <w:rsid w:val="7D0E7370"/>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AA0237"/>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4">
    <w:name w:val="Default Paragraph Font"/>
    <w:semiHidden/>
    <w:unhideWhenUsed/>
    <w:qFormat/>
    <w:uiPriority w:val="1"/>
  </w:style>
  <w:style w:type="table" w:default="1" w:styleId="29">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character" w:styleId="25">
    <w:name w:val="Strong"/>
    <w:qFormat/>
    <w:uiPriority w:val="22"/>
    <w:rPr>
      <w:b/>
      <w:bCs/>
    </w:rPr>
  </w:style>
  <w:style w:type="character" w:styleId="26">
    <w:name w:val="page number"/>
    <w:basedOn w:val="24"/>
    <w:qFormat/>
    <w:uiPriority w:val="0"/>
  </w:style>
  <w:style w:type="character" w:styleId="27">
    <w:name w:val="FollowedHyperlink"/>
    <w:qFormat/>
    <w:uiPriority w:val="99"/>
    <w:rPr>
      <w:color w:val="800080"/>
      <w:u w:val="single"/>
    </w:rPr>
  </w:style>
  <w:style w:type="character" w:styleId="28">
    <w:name w:val="Hyperlink"/>
    <w:qFormat/>
    <w:uiPriority w:val="99"/>
    <w:rPr>
      <w:color w:val="0000FF"/>
      <w:u w:val="single"/>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31">
    <w:name w:val="Table Theme"/>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4"/>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4"/>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4"/>
    <w:link w:val="13"/>
    <w:qFormat/>
    <w:uiPriority w:val="0"/>
    <w:rPr>
      <w:kern w:val="2"/>
      <w:sz w:val="18"/>
      <w:szCs w:val="18"/>
    </w:rPr>
  </w:style>
  <w:style w:type="character" w:customStyle="1" w:styleId="408">
    <w:name w:val="font01"/>
    <w:basedOn w:val="24"/>
    <w:qFormat/>
    <w:uiPriority w:val="0"/>
    <w:rPr>
      <w:rFonts w:ascii="Tahoma" w:hAnsi="Tahoma" w:eastAsia="Tahoma" w:cs="Tahoma"/>
      <w:color w:val="000000"/>
      <w:sz w:val="18"/>
      <w:szCs w:val="18"/>
      <w:u w:val="none"/>
    </w:rPr>
  </w:style>
  <w:style w:type="character" w:customStyle="1" w:styleId="409">
    <w:name w:val="font51"/>
    <w:basedOn w:val="24"/>
    <w:qFormat/>
    <w:uiPriority w:val="0"/>
    <w:rPr>
      <w:rFonts w:ascii="Tahoma" w:hAnsi="Tahoma" w:eastAsia="Tahoma" w:cs="Tahoma"/>
      <w:color w:val="000000"/>
      <w:sz w:val="18"/>
      <w:szCs w:val="18"/>
      <w:u w:val="none"/>
    </w:rPr>
  </w:style>
  <w:style w:type="character" w:customStyle="1" w:styleId="410">
    <w:name w:val="font2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11</TotalTime>
  <ScaleCrop>false</ScaleCrop>
  <LinksUpToDate>false</LinksUpToDate>
  <CharactersWithSpaces>26786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2021-02-25T08:07:15Z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2052-10.1.0.7698</vt:lpwstr>
  </property>
</Properties>
</file>