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4E161" w14:textId="09C08FDC" w:rsidR="0026591B" w:rsidRDefault="00AB71A3">
      <w:r>
        <w:rPr>
          <w:rFonts w:ascii="新宋体" w:eastAsia="新宋体" w:hAnsi="新宋体" w:cs="宋体" w:hint="eastAsia"/>
          <w:b/>
          <w:bCs/>
          <w:kern w:val="36"/>
          <w:sz w:val="32"/>
          <w:szCs w:val="32"/>
        </w:rPr>
        <w:t>氧化铝</w:t>
      </w:r>
      <w:r w:rsidR="005F3A25">
        <w:rPr>
          <w:rFonts w:ascii="新宋体" w:eastAsia="新宋体" w:hAnsi="新宋体" w:cs="宋体" w:hint="eastAsia"/>
          <w:b/>
          <w:bCs/>
          <w:kern w:val="36"/>
          <w:sz w:val="32"/>
          <w:szCs w:val="32"/>
        </w:rPr>
        <w:t>价格</w:t>
      </w:r>
      <w:r w:rsidR="001622D0">
        <w:rPr>
          <w:rFonts w:ascii="新宋体" w:eastAsia="新宋体" w:hAnsi="新宋体" w:cs="宋体" w:hint="eastAsia"/>
          <w:b/>
          <w:bCs/>
          <w:kern w:val="36"/>
          <w:sz w:val="32"/>
          <w:szCs w:val="32"/>
        </w:rPr>
        <w:t>上涨乏力</w:t>
      </w:r>
      <w:r w:rsidR="005F3A25">
        <w:rPr>
          <w:rFonts w:ascii="新宋体" w:eastAsia="新宋体" w:hAnsi="新宋体" w:cs="宋体" w:hint="eastAsia"/>
          <w:b/>
          <w:bCs/>
          <w:kern w:val="36"/>
          <w:sz w:val="32"/>
          <w:szCs w:val="32"/>
        </w:rPr>
        <w:t xml:space="preserve"> </w:t>
      </w:r>
      <w:r w:rsidR="009D525D">
        <w:rPr>
          <w:rFonts w:ascii="新宋体" w:eastAsia="新宋体" w:hAnsi="新宋体" w:cs="宋体" w:hint="eastAsia"/>
          <w:b/>
          <w:bCs/>
          <w:kern w:val="36"/>
          <w:sz w:val="32"/>
          <w:szCs w:val="32"/>
        </w:rPr>
        <w:t>电解铝价格</w:t>
      </w:r>
      <w:r w:rsidR="001622D0">
        <w:rPr>
          <w:rFonts w:ascii="新宋体" w:eastAsia="新宋体" w:hAnsi="新宋体" w:cs="宋体" w:hint="eastAsia"/>
          <w:b/>
          <w:bCs/>
          <w:kern w:val="36"/>
          <w:sz w:val="32"/>
          <w:szCs w:val="32"/>
        </w:rPr>
        <w:t>飙升</w:t>
      </w:r>
      <w:r>
        <w:rPr>
          <w:rFonts w:ascii="新宋体" w:eastAsia="新宋体" w:hAnsi="新宋体" w:cs="宋体" w:hint="eastAsia"/>
          <w:b/>
          <w:bCs/>
          <w:kern w:val="36"/>
          <w:sz w:val="32"/>
          <w:szCs w:val="32"/>
        </w:rPr>
        <w:t xml:space="preserve">  </w:t>
      </w:r>
    </w:p>
    <w:p w14:paraId="7C1716B5" w14:textId="77777777" w:rsidR="0026591B" w:rsidRDefault="00AB71A3">
      <w:pPr>
        <w:spacing w:beforeLines="100" w:before="312" w:afterLines="50" w:after="156" w:line="240" w:lineRule="auto"/>
        <w:outlineLvl w:val="2"/>
        <w:rPr>
          <w:rFonts w:ascii="新宋体" w:eastAsia="新宋体" w:hAnsi="新宋体"/>
          <w:b/>
          <w:color w:val="796A4F"/>
          <w:sz w:val="28"/>
          <w:szCs w:val="28"/>
        </w:rPr>
      </w:pPr>
      <w:r>
        <w:rPr>
          <w:sz w:val="30"/>
          <w:szCs w:val="30"/>
        </w:rPr>
        <w:t>一、</w:t>
      </w:r>
      <w:r>
        <w:rPr>
          <w:rFonts w:ascii="??" w:hAnsi="??" w:hint="eastAsia"/>
          <w:b/>
          <w:bCs/>
          <w:kern w:val="44"/>
          <w:sz w:val="28"/>
          <w:szCs w:val="28"/>
        </w:rPr>
        <w:t>铝产业链生产情况汇总</w:t>
      </w:r>
    </w:p>
    <w:tbl>
      <w:tblPr>
        <w:tblStyle w:val="a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6591B" w14:paraId="5135CC51" w14:textId="77777777">
        <w:tc>
          <w:tcPr>
            <w:tcW w:w="5000" w:type="pct"/>
          </w:tcPr>
          <w:p w14:paraId="1CCF211B" w14:textId="6F43AFEE" w:rsidR="0026591B" w:rsidRDefault="00AB71A3">
            <w:pPr>
              <w:tabs>
                <w:tab w:val="left" w:pos="7110"/>
              </w:tabs>
              <w:spacing w:line="400" w:lineRule="exact"/>
              <w:jc w:val="both"/>
              <w:rPr>
                <w:szCs w:val="21"/>
              </w:rPr>
            </w:pPr>
            <w:bookmarkStart w:id="0" w:name="_Hlk498105474"/>
            <w:r>
              <w:rPr>
                <w:rFonts w:hint="eastAsia"/>
                <w:szCs w:val="21"/>
              </w:rPr>
              <w:t>图</w:t>
            </w:r>
            <w:r>
              <w:rPr>
                <w:rFonts w:hint="eastAsia"/>
                <w:szCs w:val="21"/>
              </w:rPr>
              <w:t>1-1</w:t>
            </w:r>
            <w:r>
              <w:rPr>
                <w:rFonts w:hint="eastAsia"/>
                <w:szCs w:val="21"/>
              </w:rPr>
              <w:t>：氧化铝</w:t>
            </w:r>
            <w:r>
              <w:rPr>
                <w:szCs w:val="21"/>
              </w:rPr>
              <w:t>月度产量对比图</w:t>
            </w:r>
          </w:p>
        </w:tc>
      </w:tr>
      <w:tr w:rsidR="0026591B" w14:paraId="5B5ACBCA" w14:textId="77777777">
        <w:tc>
          <w:tcPr>
            <w:tcW w:w="5000" w:type="pct"/>
          </w:tcPr>
          <w:p w14:paraId="17EC3285" w14:textId="5CE743B0" w:rsidR="0026591B" w:rsidRDefault="0054542E">
            <w:pPr>
              <w:tabs>
                <w:tab w:val="left" w:pos="7110"/>
              </w:tabs>
              <w:spacing w:line="400" w:lineRule="exact"/>
              <w:jc w:val="both"/>
              <w:rPr>
                <w:rFonts w:ascii="华文新魏" w:eastAsia="华文新魏" w:hAnsi="新宋体"/>
                <w:sz w:val="28"/>
                <w:szCs w:val="28"/>
              </w:rPr>
            </w:pPr>
            <w:r>
              <w:rPr>
                <w:rFonts w:ascii="华文新魏" w:eastAsia="华文新魏" w:hAnsi="新宋体"/>
                <w:noProof/>
                <w:sz w:val="28"/>
                <w:szCs w:val="28"/>
              </w:rPr>
              <w:drawing>
                <wp:anchor distT="0" distB="0" distL="114300" distR="114300" simplePos="0" relativeHeight="251658240" behindDoc="0" locked="0" layoutInCell="1" allowOverlap="1" wp14:anchorId="06F7DA38" wp14:editId="69380B81">
                  <wp:simplePos x="0" y="0"/>
                  <wp:positionH relativeFrom="column">
                    <wp:posOffset>203200</wp:posOffset>
                  </wp:positionH>
                  <wp:positionV relativeFrom="paragraph">
                    <wp:posOffset>-3175</wp:posOffset>
                  </wp:positionV>
                  <wp:extent cx="4727575" cy="28740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27575" cy="2874010"/>
                          </a:xfrm>
                          <a:prstGeom prst="rect">
                            <a:avLst/>
                          </a:prstGeom>
                          <a:noFill/>
                        </pic:spPr>
                      </pic:pic>
                    </a:graphicData>
                  </a:graphic>
                  <wp14:sizeRelH relativeFrom="page">
                    <wp14:pctWidth>0</wp14:pctWidth>
                  </wp14:sizeRelH>
                  <wp14:sizeRelV relativeFrom="page">
                    <wp14:pctHeight>0</wp14:pctHeight>
                  </wp14:sizeRelV>
                </wp:anchor>
              </w:drawing>
            </w:r>
          </w:p>
        </w:tc>
      </w:tr>
    </w:tbl>
    <w:p w14:paraId="4548FC6B" w14:textId="77777777" w:rsidR="0026591B" w:rsidRDefault="0026591B">
      <w:pPr>
        <w:tabs>
          <w:tab w:val="left" w:pos="7110"/>
        </w:tabs>
        <w:spacing w:line="400" w:lineRule="exact"/>
        <w:jc w:val="both"/>
        <w:rPr>
          <w:rFonts w:ascii="华文新魏" w:eastAsia="华文新魏" w:hAnsi="新宋体"/>
          <w:sz w:val="28"/>
          <w:szCs w:val="28"/>
        </w:rPr>
      </w:pPr>
    </w:p>
    <w:tbl>
      <w:tblPr>
        <w:tblStyle w:val="a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6591B" w14:paraId="0A7ACE92" w14:textId="77777777">
        <w:tc>
          <w:tcPr>
            <w:tcW w:w="5000" w:type="pct"/>
          </w:tcPr>
          <w:p w14:paraId="1C086E43" w14:textId="7F7F0B9F" w:rsidR="0026591B" w:rsidRDefault="0054542E">
            <w:pPr>
              <w:tabs>
                <w:tab w:val="left" w:pos="7110"/>
              </w:tabs>
              <w:spacing w:line="400" w:lineRule="exact"/>
              <w:jc w:val="both"/>
              <w:rPr>
                <w:szCs w:val="21"/>
              </w:rPr>
            </w:pPr>
            <w:r>
              <w:rPr>
                <w:noProof/>
              </w:rPr>
              <w:drawing>
                <wp:anchor distT="0" distB="0" distL="114300" distR="114300" simplePos="0" relativeHeight="251660288" behindDoc="0" locked="0" layoutInCell="1" allowOverlap="1" wp14:anchorId="3B5E6D53" wp14:editId="7089293B">
                  <wp:simplePos x="0" y="0"/>
                  <wp:positionH relativeFrom="column">
                    <wp:posOffset>111125</wp:posOffset>
                  </wp:positionH>
                  <wp:positionV relativeFrom="paragraph">
                    <wp:posOffset>457200</wp:posOffset>
                  </wp:positionV>
                  <wp:extent cx="4834255" cy="2870200"/>
                  <wp:effectExtent l="0" t="0" r="4445" b="6350"/>
                  <wp:wrapTopAndBottom/>
                  <wp:docPr id="1" name="Chart 1">
                    <a:extLst xmlns:a="http://schemas.openxmlformats.org/drawingml/2006/main">
                      <a:ext uri="{FF2B5EF4-FFF2-40B4-BE49-F238E27FC236}">
                        <a16:creationId xmlns:a16="http://schemas.microsoft.com/office/drawing/2014/main" id="{00000000-0008-0000-0200-00001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r w:rsidR="00AB71A3">
              <w:rPr>
                <w:rFonts w:hint="eastAsia"/>
                <w:szCs w:val="21"/>
              </w:rPr>
              <w:t>图</w:t>
            </w:r>
            <w:r w:rsidR="00AB71A3">
              <w:rPr>
                <w:rFonts w:hint="eastAsia"/>
                <w:szCs w:val="21"/>
              </w:rPr>
              <w:t>1-2</w:t>
            </w:r>
            <w:r w:rsidR="00AB71A3">
              <w:rPr>
                <w:rFonts w:hint="eastAsia"/>
                <w:szCs w:val="21"/>
              </w:rPr>
              <w:t>：电解铝</w:t>
            </w:r>
            <w:r w:rsidR="00AB71A3">
              <w:rPr>
                <w:szCs w:val="21"/>
              </w:rPr>
              <w:t>月度产量对比图</w:t>
            </w:r>
          </w:p>
        </w:tc>
      </w:tr>
      <w:tr w:rsidR="0026591B" w14:paraId="2D0DB3F1" w14:textId="77777777" w:rsidTr="0054542E">
        <w:tc>
          <w:tcPr>
            <w:tcW w:w="5000" w:type="pct"/>
          </w:tcPr>
          <w:p w14:paraId="24535C6E" w14:textId="25A32995" w:rsidR="0026591B" w:rsidRDefault="0026591B">
            <w:pPr>
              <w:tabs>
                <w:tab w:val="left" w:pos="7110"/>
              </w:tabs>
              <w:spacing w:line="400" w:lineRule="exact"/>
              <w:jc w:val="both"/>
              <w:rPr>
                <w:rFonts w:ascii="华文新魏" w:eastAsia="华文新魏" w:hAnsi="新宋体"/>
                <w:sz w:val="28"/>
                <w:szCs w:val="28"/>
              </w:rPr>
            </w:pPr>
          </w:p>
        </w:tc>
      </w:tr>
    </w:tbl>
    <w:p w14:paraId="01BCDF13" w14:textId="4AE2FC28" w:rsidR="0026591B" w:rsidRDefault="00AA47E8">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2</w:t>
      </w:r>
      <w:r w:rsidR="00AB71A3">
        <w:rPr>
          <w:rFonts w:ascii="华文新魏" w:eastAsia="华文新魏" w:hAnsi="新宋体" w:hint="eastAsia"/>
          <w:sz w:val="28"/>
          <w:szCs w:val="28"/>
        </w:rPr>
        <w:t>月</w:t>
      </w:r>
      <w:r w:rsidR="00381F8B">
        <w:rPr>
          <w:rFonts w:ascii="华文新魏" w:eastAsia="华文新魏" w:hAnsi="新宋体" w:hint="eastAsia"/>
          <w:sz w:val="28"/>
          <w:szCs w:val="28"/>
        </w:rPr>
        <w:t>氧化铝</w:t>
      </w:r>
      <w:r w:rsidR="00486FF3">
        <w:rPr>
          <w:rFonts w:ascii="华文新魏" w:eastAsia="华文新魏" w:hAnsi="新宋体" w:hint="eastAsia"/>
          <w:sz w:val="28"/>
          <w:szCs w:val="28"/>
        </w:rPr>
        <w:t>产量增加</w:t>
      </w:r>
    </w:p>
    <w:p w14:paraId="6C7C4ECF" w14:textId="53CB2002" w:rsidR="00D64951" w:rsidRDefault="00D64951" w:rsidP="00D64951">
      <w:pPr>
        <w:tabs>
          <w:tab w:val="left" w:pos="7110"/>
        </w:tabs>
        <w:spacing w:line="400" w:lineRule="exact"/>
        <w:jc w:val="both"/>
        <w:rPr>
          <w:rFonts w:ascii="新宋体" w:eastAsia="新宋体" w:hAnsi="新宋体"/>
          <w:sz w:val="21"/>
          <w:szCs w:val="21"/>
        </w:rPr>
      </w:pPr>
      <w:r w:rsidRPr="00D64951">
        <w:rPr>
          <w:rFonts w:ascii="新宋体" w:eastAsia="新宋体" w:hAnsi="新宋体" w:hint="eastAsia"/>
          <w:sz w:val="21"/>
          <w:szCs w:val="21"/>
        </w:rPr>
        <w:t>2 月氧化铝行业建成产能8812万吨，运行产能7600万吨，开工率为86.2%左右，相较上月底提高0.8 个百分点。当月重污染天气整治和极端恶劣天气减少，疫情影响下降，氧化铝企业稳产、高产和超产开始增多，部分企业由于1月的电煤和气煤供应紧张导致的后续效应仍相对限制产量但总体影响十分有限。全行业没有明显新增产能带来的绝对供应增量贡献，但是所有企业的稳产和高产带来的日均产量贡献更为全面和有力。预计2月国内氧化铝产量578万吨，折算日产量20.6万吨，较1月增加2000吨左右。进入3月，由于成本趋势性下降以及价格基本稳定，行业利润整体可控，氧化铝企业继续保持高产以降低成本，预计氧化铝日均产量有望达到21万吨左右。</w:t>
      </w:r>
    </w:p>
    <w:p w14:paraId="6CAB3718" w14:textId="440770B9" w:rsidR="0026591B" w:rsidRDefault="00FC267D" w:rsidP="00D64951">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2</w:t>
      </w:r>
      <w:r w:rsidR="008A136F">
        <w:rPr>
          <w:rFonts w:ascii="华文新魏" w:eastAsia="华文新魏" w:hAnsi="新宋体" w:hint="eastAsia"/>
          <w:sz w:val="28"/>
          <w:szCs w:val="28"/>
        </w:rPr>
        <w:t>月电解铝运行产能</w:t>
      </w:r>
      <w:r w:rsidR="00061150">
        <w:rPr>
          <w:rFonts w:ascii="华文新魏" w:eastAsia="华文新魏" w:hAnsi="新宋体" w:hint="eastAsia"/>
          <w:sz w:val="28"/>
          <w:szCs w:val="28"/>
        </w:rPr>
        <w:t>微幅下降</w:t>
      </w:r>
    </w:p>
    <w:p w14:paraId="0F1A17F3" w14:textId="27F3447C" w:rsidR="006A0E5D" w:rsidRDefault="004E5076" w:rsidP="006A0E5D">
      <w:pPr>
        <w:tabs>
          <w:tab w:val="left" w:pos="7110"/>
        </w:tabs>
        <w:spacing w:line="400" w:lineRule="exact"/>
        <w:jc w:val="both"/>
        <w:rPr>
          <w:rFonts w:ascii="新宋体" w:eastAsia="新宋体" w:hAnsi="新宋体"/>
          <w:sz w:val="21"/>
          <w:szCs w:val="21"/>
        </w:rPr>
      </w:pPr>
      <w:r w:rsidRPr="004E5076">
        <w:rPr>
          <w:rFonts w:ascii="新宋体" w:eastAsia="新宋体" w:hAnsi="新宋体" w:hint="eastAsia"/>
          <w:sz w:val="21"/>
          <w:szCs w:val="21"/>
        </w:rPr>
        <w:t>统计数据显示，2021年2月中国电解铝产量305.4226 万吨，同比增加4.73%，当月产能利用率为95.06%。由于2月份实际天数较少，国内铝产量环比有所下降，但日产仍在缓慢提升。</w:t>
      </w:r>
    </w:p>
    <w:p w14:paraId="38605000" w14:textId="7334C667" w:rsidR="008A136F" w:rsidRDefault="00653DA0" w:rsidP="006A0E5D">
      <w:pPr>
        <w:tabs>
          <w:tab w:val="left" w:pos="7110"/>
        </w:tabs>
        <w:spacing w:line="400" w:lineRule="exact"/>
        <w:jc w:val="both"/>
        <w:rPr>
          <w:rFonts w:ascii="新宋体" w:eastAsia="新宋体" w:hAnsi="新宋体"/>
          <w:sz w:val="21"/>
          <w:szCs w:val="21"/>
        </w:rPr>
      </w:pPr>
      <w:r w:rsidRPr="00653DA0">
        <w:rPr>
          <w:rFonts w:ascii="新宋体" w:eastAsia="新宋体" w:hAnsi="新宋体" w:hint="eastAsia"/>
          <w:sz w:val="21"/>
          <w:szCs w:val="21"/>
        </w:rPr>
        <w:t>2021年2月中国电解铝运行产能3984.6 万吨，同比增加8.13%，环比减少0.04%，截至2月底建成产能4253.1万吨，当月电解铝开工率93.69%。由于春节缘故，2月份期间仅云南地区个别新建项目有少量产能投产，其余项目均处于筹备当中。需要注意的是，由于内蒙古能耗双控的政策压力，内蒙古区域部分铝企开始增加检修，通过降低电流强度等手段压产减产。折算下来行业运行产能环比出现微幅下降。</w:t>
      </w:r>
    </w:p>
    <w:p w14:paraId="4AAC4D6F" w14:textId="76DBD26B" w:rsidR="009B1157" w:rsidRDefault="009B1157" w:rsidP="006A0E5D">
      <w:pPr>
        <w:tabs>
          <w:tab w:val="left" w:pos="7110"/>
        </w:tabs>
        <w:spacing w:line="400" w:lineRule="exact"/>
        <w:jc w:val="both"/>
        <w:rPr>
          <w:rFonts w:ascii="新宋体" w:eastAsia="新宋体" w:hAnsi="新宋体"/>
          <w:sz w:val="21"/>
          <w:szCs w:val="21"/>
        </w:rPr>
      </w:pPr>
      <w:r w:rsidRPr="009B1157">
        <w:rPr>
          <w:rFonts w:ascii="新宋体" w:eastAsia="新宋体" w:hAnsi="新宋体" w:hint="eastAsia"/>
          <w:sz w:val="21"/>
          <w:szCs w:val="21"/>
        </w:rPr>
        <w:t>2020年以来新建项目主要集中在西南地区，但从年底实际表现来看，云南地区因为电力供应等问题部分项目投产进度不及预期；广西、贵州地区新建项目也仍在筹备当中，加上内蒙古能耗双控的政策限制，我们预计年内有望落地的新建项目不足200万吨。</w:t>
      </w:r>
    </w:p>
    <w:p w14:paraId="5EDAABD0" w14:textId="77777777" w:rsidR="002316C4" w:rsidRDefault="002316C4">
      <w:pPr>
        <w:spacing w:beforeLines="100" w:before="312" w:afterLines="50" w:after="156" w:line="240" w:lineRule="auto"/>
        <w:outlineLvl w:val="2"/>
        <w:rPr>
          <w:sz w:val="30"/>
          <w:szCs w:val="30"/>
        </w:rPr>
      </w:pPr>
    </w:p>
    <w:p w14:paraId="045C7759" w14:textId="77777777" w:rsidR="002316C4" w:rsidRDefault="002316C4">
      <w:pPr>
        <w:spacing w:beforeLines="100" w:before="312" w:afterLines="50" w:after="156" w:line="240" w:lineRule="auto"/>
        <w:outlineLvl w:val="2"/>
        <w:rPr>
          <w:sz w:val="30"/>
          <w:szCs w:val="30"/>
        </w:rPr>
      </w:pPr>
    </w:p>
    <w:p w14:paraId="4C09783F" w14:textId="77777777" w:rsidR="002316C4" w:rsidRDefault="002316C4">
      <w:pPr>
        <w:spacing w:beforeLines="100" w:before="312" w:afterLines="50" w:after="156" w:line="240" w:lineRule="auto"/>
        <w:outlineLvl w:val="2"/>
        <w:rPr>
          <w:sz w:val="30"/>
          <w:szCs w:val="30"/>
        </w:rPr>
      </w:pPr>
    </w:p>
    <w:p w14:paraId="679A4F3E" w14:textId="77777777" w:rsidR="002316C4" w:rsidRDefault="002316C4">
      <w:pPr>
        <w:spacing w:beforeLines="100" w:before="312" w:afterLines="50" w:after="156" w:line="240" w:lineRule="auto"/>
        <w:outlineLvl w:val="2"/>
        <w:rPr>
          <w:sz w:val="30"/>
          <w:szCs w:val="30"/>
        </w:rPr>
      </w:pPr>
    </w:p>
    <w:p w14:paraId="17C3967B" w14:textId="25DEE693" w:rsidR="0026591B" w:rsidRDefault="00AB71A3">
      <w:pPr>
        <w:spacing w:beforeLines="100" w:before="312" w:afterLines="50" w:after="156" w:line="240" w:lineRule="auto"/>
        <w:outlineLvl w:val="2"/>
        <w:rPr>
          <w:rFonts w:ascii="新宋体" w:eastAsia="新宋体" w:hAnsi="新宋体"/>
          <w:b/>
          <w:color w:val="796A4F"/>
          <w:sz w:val="28"/>
          <w:szCs w:val="28"/>
        </w:rPr>
      </w:pPr>
      <w:r>
        <w:rPr>
          <w:rFonts w:hint="eastAsia"/>
          <w:sz w:val="30"/>
          <w:szCs w:val="30"/>
        </w:rPr>
        <w:lastRenderedPageBreak/>
        <w:t>二</w:t>
      </w:r>
      <w:r>
        <w:rPr>
          <w:sz w:val="30"/>
          <w:szCs w:val="30"/>
        </w:rPr>
        <w:t>、</w:t>
      </w:r>
      <w:r>
        <w:rPr>
          <w:rFonts w:ascii="??" w:hAnsi="??" w:hint="eastAsia"/>
          <w:b/>
          <w:bCs/>
          <w:kern w:val="44"/>
          <w:sz w:val="28"/>
          <w:szCs w:val="28"/>
        </w:rPr>
        <w:t>铝产业链供需平衡情况</w:t>
      </w:r>
    </w:p>
    <w:tbl>
      <w:tblPr>
        <w:tblStyle w:val="a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6591B" w14:paraId="0C137E33" w14:textId="77777777">
        <w:tc>
          <w:tcPr>
            <w:tcW w:w="5000" w:type="pct"/>
          </w:tcPr>
          <w:p w14:paraId="45709BBD" w14:textId="77777777" w:rsidR="0026591B" w:rsidRDefault="00AB71A3">
            <w:pPr>
              <w:tabs>
                <w:tab w:val="left" w:pos="7110"/>
              </w:tabs>
              <w:spacing w:line="400" w:lineRule="exact"/>
              <w:jc w:val="both"/>
              <w:rPr>
                <w:szCs w:val="21"/>
              </w:rPr>
            </w:pPr>
            <w:r>
              <w:rPr>
                <w:rFonts w:hint="eastAsia"/>
                <w:szCs w:val="21"/>
              </w:rPr>
              <w:t>图</w:t>
            </w:r>
            <w:r>
              <w:rPr>
                <w:rFonts w:hint="eastAsia"/>
                <w:szCs w:val="21"/>
              </w:rPr>
              <w:t>2-1</w:t>
            </w:r>
            <w:r>
              <w:rPr>
                <w:rFonts w:hint="eastAsia"/>
                <w:szCs w:val="21"/>
              </w:rPr>
              <w:t>：国内氧化铝供需平衡表</w:t>
            </w:r>
          </w:p>
        </w:tc>
      </w:tr>
      <w:tr w:rsidR="0026591B" w14:paraId="59B4E870" w14:textId="77777777" w:rsidTr="0012278B">
        <w:tc>
          <w:tcPr>
            <w:tcW w:w="5000" w:type="pct"/>
          </w:tcPr>
          <w:p w14:paraId="62DD2A84" w14:textId="35E2417D" w:rsidR="0026591B" w:rsidRDefault="0012278B">
            <w:pPr>
              <w:tabs>
                <w:tab w:val="left" w:pos="7110"/>
              </w:tabs>
              <w:spacing w:line="400" w:lineRule="exact"/>
              <w:jc w:val="both"/>
              <w:rPr>
                <w:rFonts w:ascii="华文新魏" w:eastAsia="华文新魏" w:hAnsi="新宋体"/>
                <w:sz w:val="28"/>
                <w:szCs w:val="28"/>
              </w:rPr>
            </w:pPr>
            <w:r>
              <w:rPr>
                <w:noProof/>
              </w:rPr>
              <w:drawing>
                <wp:anchor distT="0" distB="0" distL="114300" distR="114300" simplePos="0" relativeHeight="251661312" behindDoc="0" locked="0" layoutInCell="1" allowOverlap="1" wp14:anchorId="43F72224" wp14:editId="3B34A796">
                  <wp:simplePos x="0" y="0"/>
                  <wp:positionH relativeFrom="column">
                    <wp:posOffset>189230</wp:posOffset>
                  </wp:positionH>
                  <wp:positionV relativeFrom="paragraph">
                    <wp:posOffset>3175</wp:posOffset>
                  </wp:positionV>
                  <wp:extent cx="5060315" cy="3075940"/>
                  <wp:effectExtent l="0" t="0" r="6985" b="10160"/>
                  <wp:wrapTopAndBottom/>
                  <wp:docPr id="4" name="Chart 4">
                    <a:extLst xmlns:a="http://schemas.openxmlformats.org/drawingml/2006/main">
                      <a:ext uri="{FF2B5EF4-FFF2-40B4-BE49-F238E27FC236}">
                        <a16:creationId xmlns:a16="http://schemas.microsoft.com/office/drawing/2014/main" id="{00000000-0008-0000-02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r w:rsidR="00AB71A3">
              <w:rPr>
                <w:rFonts w:ascii="华文新魏" w:eastAsia="华文新魏" w:hAnsi="新宋体"/>
                <w:sz w:val="28"/>
                <w:szCs w:val="28"/>
              </w:rPr>
              <w:t xml:space="preserve"> </w:t>
            </w:r>
          </w:p>
        </w:tc>
      </w:tr>
    </w:tbl>
    <w:p w14:paraId="0C45EC67" w14:textId="77777777" w:rsidR="0026591B" w:rsidRDefault="0026591B">
      <w:pPr>
        <w:tabs>
          <w:tab w:val="left" w:pos="7110"/>
        </w:tabs>
        <w:spacing w:line="400" w:lineRule="exact"/>
        <w:jc w:val="both"/>
        <w:rPr>
          <w:rFonts w:ascii="新宋体" w:eastAsia="新宋体" w:hAnsi="新宋体"/>
          <w:sz w:val="21"/>
          <w:szCs w:val="21"/>
        </w:rPr>
      </w:pPr>
    </w:p>
    <w:tbl>
      <w:tblPr>
        <w:tblStyle w:val="a9"/>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6"/>
      </w:tblGrid>
      <w:tr w:rsidR="0026591B" w14:paraId="7978B322" w14:textId="77777777">
        <w:tc>
          <w:tcPr>
            <w:tcW w:w="5000" w:type="pct"/>
          </w:tcPr>
          <w:p w14:paraId="718AEB7B" w14:textId="77777777" w:rsidR="0026591B" w:rsidRDefault="00AB71A3">
            <w:pPr>
              <w:tabs>
                <w:tab w:val="left" w:pos="7110"/>
              </w:tabs>
              <w:spacing w:line="400" w:lineRule="exact"/>
              <w:jc w:val="both"/>
              <w:rPr>
                <w:szCs w:val="21"/>
              </w:rPr>
            </w:pPr>
            <w:r>
              <w:rPr>
                <w:rFonts w:hint="eastAsia"/>
                <w:szCs w:val="21"/>
              </w:rPr>
              <w:t>图</w:t>
            </w:r>
            <w:r w:rsidR="00DB358A">
              <w:rPr>
                <w:rFonts w:hint="eastAsia"/>
                <w:szCs w:val="21"/>
              </w:rPr>
              <w:t>2-2</w:t>
            </w:r>
            <w:r>
              <w:rPr>
                <w:rFonts w:hint="eastAsia"/>
                <w:szCs w:val="21"/>
              </w:rPr>
              <w:t>：国内电解铝供需平衡表</w:t>
            </w:r>
          </w:p>
        </w:tc>
      </w:tr>
      <w:tr w:rsidR="0026591B" w14:paraId="28DFDFF5" w14:textId="77777777" w:rsidTr="0012278B">
        <w:tc>
          <w:tcPr>
            <w:tcW w:w="5000" w:type="pct"/>
          </w:tcPr>
          <w:p w14:paraId="267D1D75" w14:textId="4EB820C4" w:rsidR="0026591B" w:rsidRPr="006E4A34" w:rsidRDefault="0012278B">
            <w:pPr>
              <w:tabs>
                <w:tab w:val="left" w:pos="7110"/>
              </w:tabs>
              <w:spacing w:line="400" w:lineRule="exact"/>
              <w:jc w:val="both"/>
              <w:rPr>
                <w:rFonts w:ascii="华文新魏" w:eastAsia="华文新魏" w:hAnsi="新宋体"/>
                <w:sz w:val="28"/>
                <w:szCs w:val="28"/>
              </w:rPr>
            </w:pPr>
            <w:r>
              <w:rPr>
                <w:noProof/>
              </w:rPr>
              <w:drawing>
                <wp:anchor distT="0" distB="0" distL="114300" distR="114300" simplePos="0" relativeHeight="251676160" behindDoc="0" locked="0" layoutInCell="1" allowOverlap="1" wp14:anchorId="08CDE5B5" wp14:editId="349C2656">
                  <wp:simplePos x="0" y="0"/>
                  <wp:positionH relativeFrom="column">
                    <wp:posOffset>112144</wp:posOffset>
                  </wp:positionH>
                  <wp:positionV relativeFrom="paragraph">
                    <wp:posOffset>-14177</wp:posOffset>
                  </wp:positionV>
                  <wp:extent cx="5048250" cy="3130550"/>
                  <wp:effectExtent l="0" t="0" r="0" b="12700"/>
                  <wp:wrapTopAndBottom/>
                  <wp:docPr id="5" name="Chart 5">
                    <a:extLst xmlns:a="http://schemas.openxmlformats.org/drawingml/2006/main">
                      <a:ext uri="{FF2B5EF4-FFF2-40B4-BE49-F238E27FC236}">
                        <a16:creationId xmlns:a16="http://schemas.microsoft.com/office/drawing/2014/main" id="{00000000-0008-0000-02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r>
    </w:tbl>
    <w:bookmarkEnd w:id="0"/>
    <w:p w14:paraId="36A1F580" w14:textId="5BF1B50C" w:rsidR="0026591B" w:rsidRDefault="00AA47E8">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lastRenderedPageBreak/>
        <w:t>2</w:t>
      </w:r>
      <w:r w:rsidR="00AB71A3">
        <w:rPr>
          <w:rFonts w:ascii="华文新魏" w:eastAsia="华文新魏" w:hAnsi="新宋体" w:hint="eastAsia"/>
          <w:sz w:val="28"/>
          <w:szCs w:val="28"/>
        </w:rPr>
        <w:t>月氧化铝市场</w:t>
      </w:r>
      <w:r w:rsidR="005E6A0F">
        <w:rPr>
          <w:rFonts w:ascii="华文新魏" w:eastAsia="华文新魏" w:hAnsi="新宋体" w:hint="eastAsia"/>
          <w:sz w:val="28"/>
          <w:szCs w:val="28"/>
        </w:rPr>
        <w:t>基本平衡</w:t>
      </w:r>
    </w:p>
    <w:p w14:paraId="62C21FC4" w14:textId="5C1C76D8" w:rsidR="005E6A0F" w:rsidRDefault="00CE52CC" w:rsidP="005E6A0F">
      <w:pPr>
        <w:tabs>
          <w:tab w:val="left" w:pos="7110"/>
        </w:tabs>
        <w:spacing w:line="400" w:lineRule="exact"/>
        <w:jc w:val="both"/>
        <w:rPr>
          <w:rFonts w:ascii="新宋体" w:eastAsia="新宋体" w:hAnsi="新宋体"/>
          <w:sz w:val="21"/>
          <w:szCs w:val="21"/>
        </w:rPr>
      </w:pPr>
      <w:r w:rsidRPr="00CE52CC">
        <w:rPr>
          <w:rFonts w:ascii="新宋体" w:eastAsia="新宋体" w:hAnsi="新宋体" w:hint="eastAsia"/>
          <w:sz w:val="21"/>
          <w:szCs w:val="21"/>
        </w:rPr>
        <w:t>初步测算数据显示2月氧化铝实产产量578万吨，净进口氧化铝预计30万吨左右（以海关统计口径为准预测的均值），氧化铝总供应量为608万吨；电解铝产量305万吨，折算氧化铝需求584万吨，非铝行业氧化铝需求保持在24 万吨左右，预计 月氧化铝供需基本平衡。</w:t>
      </w:r>
      <w:r w:rsidR="005E6A0F" w:rsidRPr="005E6A0F">
        <w:rPr>
          <w:rFonts w:ascii="新宋体" w:eastAsia="新宋体" w:hAnsi="新宋体" w:hint="eastAsia"/>
          <w:sz w:val="21"/>
          <w:szCs w:val="21"/>
        </w:rPr>
        <w:t>趋势上来看，半年以来氧化铝供应从微观短缺偏向于平衡状态，说明氧化铝的绝对供应容量和效率依然是制约价格较大波动的根本原因。</w:t>
      </w:r>
    </w:p>
    <w:p w14:paraId="7695BBB1" w14:textId="07299EEA" w:rsidR="0026591B" w:rsidRDefault="00DE2D2D" w:rsidP="00CE52CC">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2</w:t>
      </w:r>
      <w:r w:rsidR="006D0981">
        <w:rPr>
          <w:rFonts w:ascii="华文新魏" w:eastAsia="华文新魏" w:hAnsi="新宋体" w:hint="eastAsia"/>
          <w:sz w:val="28"/>
          <w:szCs w:val="28"/>
        </w:rPr>
        <w:t>月春节期间呈现供应过剩</w:t>
      </w:r>
    </w:p>
    <w:p w14:paraId="69C286C2" w14:textId="77777777" w:rsidR="0001308B" w:rsidRDefault="0001308B" w:rsidP="0001308B">
      <w:pPr>
        <w:tabs>
          <w:tab w:val="left" w:pos="7110"/>
        </w:tabs>
        <w:spacing w:line="400" w:lineRule="exact"/>
        <w:jc w:val="both"/>
        <w:rPr>
          <w:rFonts w:ascii="新宋体" w:eastAsia="新宋体" w:hAnsi="新宋体"/>
          <w:sz w:val="21"/>
          <w:szCs w:val="21"/>
        </w:rPr>
      </w:pPr>
      <w:r w:rsidRPr="0001308B">
        <w:rPr>
          <w:rFonts w:ascii="新宋体" w:eastAsia="新宋体" w:hAnsi="新宋体" w:hint="eastAsia"/>
          <w:sz w:val="21"/>
          <w:szCs w:val="21"/>
        </w:rPr>
        <w:t>预计2月原铝产量305.4万吨，消费量293万吨，当月理论供应过剩17.4万吨。供应方面，虽然2月份新建项目投产基本暂停，但在行业利润再创新高的基础上，在产产能生产积极稳定。但随着内蒙古能耗双控的政策落地，部分铝企超产投产的预期降低，加上进口规律性处于低位的原因，我们预计供应量必然出现环比下降。需求方面，虽然汽车、光伏、包装等领域不乏亮点，随着现有库存的消化，3月中下旬铝锭社会库存或进入下降通道。只是，在基价不断冲高的情况下，加工费萎靡不振，终端消费明显恐高，产成品库存或是另一种累库方式。</w:t>
      </w:r>
    </w:p>
    <w:p w14:paraId="706F4926" w14:textId="05BAC920" w:rsidR="0026591B" w:rsidRPr="00AF6FB2" w:rsidRDefault="00AB71A3" w:rsidP="0001308B">
      <w:pPr>
        <w:spacing w:beforeLines="100" w:before="312" w:afterLines="50" w:after="156" w:line="240" w:lineRule="auto"/>
        <w:outlineLvl w:val="2"/>
        <w:rPr>
          <w:b/>
          <w:bCs/>
          <w:sz w:val="28"/>
          <w:szCs w:val="28"/>
        </w:rPr>
      </w:pPr>
      <w:r w:rsidRPr="00AF6FB2">
        <w:rPr>
          <w:rFonts w:hint="eastAsia"/>
          <w:b/>
          <w:bCs/>
          <w:sz w:val="28"/>
          <w:szCs w:val="28"/>
        </w:rPr>
        <w:t>三</w:t>
      </w:r>
      <w:r w:rsidRPr="00AF6FB2">
        <w:rPr>
          <w:b/>
          <w:bCs/>
          <w:sz w:val="28"/>
          <w:szCs w:val="28"/>
        </w:rPr>
        <w:t>、</w:t>
      </w:r>
      <w:r w:rsidRPr="00AF6FB2">
        <w:rPr>
          <w:rFonts w:hint="eastAsia"/>
          <w:b/>
          <w:bCs/>
          <w:sz w:val="28"/>
          <w:szCs w:val="28"/>
        </w:rPr>
        <w:t>价格运行趋势</w:t>
      </w:r>
    </w:p>
    <w:p w14:paraId="785620AD" w14:textId="08B9C067" w:rsidR="0026591B" w:rsidRDefault="00AA47E8">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2</w:t>
      </w:r>
      <w:r w:rsidR="00AB71A3">
        <w:rPr>
          <w:rFonts w:ascii="华文新魏" w:eastAsia="华文新魏" w:hAnsi="新宋体" w:hint="eastAsia"/>
          <w:sz w:val="28"/>
          <w:szCs w:val="28"/>
        </w:rPr>
        <w:t>月氧化铝</w:t>
      </w:r>
      <w:r w:rsidR="00A53F22">
        <w:rPr>
          <w:rFonts w:ascii="华文新魏" w:eastAsia="华文新魏" w:hAnsi="新宋体" w:hint="eastAsia"/>
          <w:sz w:val="28"/>
          <w:szCs w:val="28"/>
        </w:rPr>
        <w:t>价格</w:t>
      </w:r>
      <w:r w:rsidR="00BF243B">
        <w:rPr>
          <w:rFonts w:ascii="华文新魏" w:eastAsia="华文新魏" w:hAnsi="新宋体" w:hint="eastAsia"/>
          <w:sz w:val="28"/>
          <w:szCs w:val="28"/>
        </w:rPr>
        <w:t>上涨动力不足</w:t>
      </w:r>
    </w:p>
    <w:p w14:paraId="16622DD7" w14:textId="06F96CE7" w:rsidR="00D03E85" w:rsidRPr="00D03E85" w:rsidRDefault="00D03E85" w:rsidP="00D03E85">
      <w:pPr>
        <w:tabs>
          <w:tab w:val="left" w:pos="7110"/>
        </w:tabs>
        <w:spacing w:line="400" w:lineRule="exact"/>
        <w:jc w:val="both"/>
        <w:rPr>
          <w:rFonts w:ascii="新宋体" w:eastAsia="新宋体" w:hAnsi="新宋体"/>
          <w:sz w:val="21"/>
          <w:szCs w:val="21"/>
        </w:rPr>
      </w:pPr>
      <w:r w:rsidRPr="00D03E85">
        <w:rPr>
          <w:rFonts w:ascii="新宋体" w:eastAsia="新宋体" w:hAnsi="新宋体" w:hint="eastAsia"/>
          <w:sz w:val="21"/>
          <w:szCs w:val="21"/>
        </w:rPr>
        <w:t>对于2月的氧化铝市场，很明显的道理就是上涨的时候竞争多于合作，下跌的时候合作多于竞争。只不过对于上涨和下跌的基准，在氧化铝行业显得波动幅度过于有限。基于当前的供需、成本和长单大结构，晋豫区域氧化铝价格自2350元起偏向2400 元以上的时候，行业内部的主要生产企业之间，竞争明显多于合作，这也是自2 月初开始，氧化铝价格快速自2400 元以上回落至最低位的2330元左右的主要原因。到2 月下旬，随着晋豫氧化铝价格趋向2300 元的普遍成本价格的时候，市场自发的收缩能力开始发挥效果，晋豫市场成交价格到2 月末开始横盘于2340-2350 元之间，而西南地区由于阶段内的需求增加相对乐观，价格暂时横盘于2350-2370 元之间。</w:t>
      </w:r>
    </w:p>
    <w:p w14:paraId="059D7452" w14:textId="72C31018" w:rsidR="00D03E85" w:rsidRPr="00D03E85" w:rsidRDefault="00D03E85" w:rsidP="00D03E85">
      <w:pPr>
        <w:tabs>
          <w:tab w:val="left" w:pos="7110"/>
        </w:tabs>
        <w:spacing w:line="400" w:lineRule="exact"/>
        <w:jc w:val="both"/>
        <w:rPr>
          <w:rFonts w:ascii="新宋体" w:eastAsia="新宋体" w:hAnsi="新宋体"/>
          <w:sz w:val="21"/>
          <w:szCs w:val="21"/>
        </w:rPr>
      </w:pPr>
      <w:r w:rsidRPr="00D03E85">
        <w:rPr>
          <w:rFonts w:ascii="新宋体" w:eastAsia="新宋体" w:hAnsi="新宋体" w:hint="eastAsia"/>
          <w:sz w:val="21"/>
          <w:szCs w:val="21"/>
        </w:rPr>
        <w:t>2 月氧化铝现货市场下行走势非常明显，但波动空间较为有限。市场主要参与者当期依然更多角力于长单合同的签订细节，以及角力于由于长单合同没有签订，主要氧化铝企业和电解铝企业中哪一方对即期现货价格的控制能力更强。当月氧化铝市场的基本供需状况和成本状况依然处于较为平稳的状态，相对明显的变化是重污染天气整治导致的压产和疫情导致的运力紧张状况均有缓解，利好局面结束，利空相对到来，这也是现货市场价格承压下行的主要</w:t>
      </w:r>
      <w:r w:rsidRPr="00D03E85">
        <w:rPr>
          <w:rFonts w:ascii="新宋体" w:eastAsia="新宋体" w:hAnsi="新宋体" w:hint="eastAsia"/>
          <w:sz w:val="21"/>
          <w:szCs w:val="21"/>
        </w:rPr>
        <w:lastRenderedPageBreak/>
        <w:t>原因。一旦下行通道确认，铝厂为了争取更有利的长单签订条件和展现安全供应手段的多元化，主要通过买现货和降库存两个手段来争取周期施压对手。</w:t>
      </w:r>
    </w:p>
    <w:p w14:paraId="72C385E4" w14:textId="7D20564A" w:rsidR="00D03E85" w:rsidRPr="00D03E85" w:rsidRDefault="00D03E85" w:rsidP="0093158B">
      <w:pPr>
        <w:tabs>
          <w:tab w:val="left" w:pos="7110"/>
        </w:tabs>
        <w:spacing w:line="400" w:lineRule="exact"/>
        <w:jc w:val="both"/>
        <w:rPr>
          <w:rFonts w:ascii="新宋体" w:eastAsia="新宋体" w:hAnsi="新宋体"/>
          <w:sz w:val="21"/>
          <w:szCs w:val="21"/>
        </w:rPr>
      </w:pPr>
      <w:r w:rsidRPr="00D03E85">
        <w:rPr>
          <w:rFonts w:ascii="新宋体" w:eastAsia="新宋体" w:hAnsi="新宋体" w:hint="eastAsia"/>
          <w:sz w:val="21"/>
          <w:szCs w:val="21"/>
        </w:rPr>
        <w:t>通俗点说就是电解铝企业仍然想以去年普遍的下浮30-50元的幅度来签订长单，但是氧化铝企业在利润严重下降和铝价高涨的背景下，收紧下浮幅度的态度依然十分明确。只要长单合同尚未签订，目前市场仍然处于围绕长单进行博弈的高峰期，很多现货采购也更多是手段，以实现议价能力的提高。</w:t>
      </w:r>
    </w:p>
    <w:p w14:paraId="479BF2B9" w14:textId="12D6D98C" w:rsidR="00A53F22" w:rsidRPr="00A53F22" w:rsidRDefault="00D03E85" w:rsidP="0093158B">
      <w:pPr>
        <w:tabs>
          <w:tab w:val="left" w:pos="7110"/>
        </w:tabs>
        <w:spacing w:line="400" w:lineRule="exact"/>
        <w:jc w:val="both"/>
        <w:rPr>
          <w:rFonts w:ascii="新宋体" w:eastAsia="新宋体" w:hAnsi="新宋体"/>
          <w:sz w:val="21"/>
          <w:szCs w:val="21"/>
        </w:rPr>
      </w:pPr>
      <w:r w:rsidRPr="00D03E85">
        <w:rPr>
          <w:rFonts w:ascii="新宋体" w:eastAsia="新宋体" w:hAnsi="新宋体" w:hint="eastAsia"/>
          <w:sz w:val="21"/>
          <w:szCs w:val="21"/>
        </w:rPr>
        <w:t>2 月全球航运市场出现运费大幅上涨，西澳发至鲅鱼圈方向的海运费自月初的22-23美元上涨至当前的35美元以上，严重阻碍了中国买家的进口积极性，根据2月下旬西澳氧化铝离岸价格300-303美元来测算，运至中国鲅鱼圈港口的即期车板完税人民币成本价格上涨至2530元以上，对国内氧</w:t>
      </w:r>
      <w:r w:rsidR="0093158B" w:rsidRPr="0093158B">
        <w:rPr>
          <w:rFonts w:ascii="新宋体" w:eastAsia="新宋体" w:hAnsi="新宋体" w:hint="eastAsia"/>
          <w:sz w:val="21"/>
          <w:szCs w:val="21"/>
        </w:rPr>
        <w:t>化铝价格形成明显升水，预计3月开始的两个月内，中国氧化铝进口量将相对收窄</w:t>
      </w:r>
      <w:r w:rsidR="00A53F22" w:rsidRPr="00A53F22">
        <w:rPr>
          <w:rFonts w:ascii="新宋体" w:eastAsia="新宋体" w:hAnsi="新宋体" w:hint="eastAsia"/>
          <w:sz w:val="21"/>
          <w:szCs w:val="21"/>
        </w:rPr>
        <w:t>。</w:t>
      </w:r>
    </w:p>
    <w:p w14:paraId="3066800F" w14:textId="0669FFB0" w:rsidR="0026591B" w:rsidRDefault="003903E2" w:rsidP="00A53F22">
      <w:pPr>
        <w:tabs>
          <w:tab w:val="left" w:pos="7110"/>
        </w:tabs>
        <w:spacing w:line="400" w:lineRule="exact"/>
        <w:jc w:val="both"/>
        <w:rPr>
          <w:rFonts w:ascii="华文新魏" w:eastAsia="华文新魏" w:hAnsi="新宋体"/>
          <w:sz w:val="28"/>
          <w:szCs w:val="28"/>
        </w:rPr>
      </w:pPr>
      <w:r>
        <w:rPr>
          <w:rFonts w:ascii="华文新魏" w:eastAsia="华文新魏" w:hAnsi="新宋体" w:hint="eastAsia"/>
          <w:sz w:val="28"/>
          <w:szCs w:val="28"/>
        </w:rPr>
        <w:t>2</w:t>
      </w:r>
      <w:r w:rsidR="00AB71A3">
        <w:rPr>
          <w:rFonts w:ascii="华文新魏" w:eastAsia="华文新魏" w:hAnsi="新宋体" w:hint="eastAsia"/>
          <w:sz w:val="28"/>
          <w:szCs w:val="28"/>
        </w:rPr>
        <w:t>月</w:t>
      </w:r>
      <w:r w:rsidR="00FA4241">
        <w:rPr>
          <w:rFonts w:ascii="华文新魏" w:eastAsia="华文新魏" w:hAnsi="新宋体" w:hint="eastAsia"/>
          <w:sz w:val="28"/>
          <w:szCs w:val="28"/>
        </w:rPr>
        <w:t>电解铝价格</w:t>
      </w:r>
      <w:r>
        <w:rPr>
          <w:rFonts w:ascii="华文新魏" w:eastAsia="华文新魏" w:hAnsi="新宋体" w:hint="eastAsia"/>
          <w:sz w:val="28"/>
          <w:szCs w:val="28"/>
        </w:rPr>
        <w:t>大幅上行</w:t>
      </w:r>
    </w:p>
    <w:p w14:paraId="1ACB8BF6" w14:textId="0DA31FF3" w:rsidR="00350BFC" w:rsidRPr="00350BFC" w:rsidRDefault="00350BFC" w:rsidP="00350BFC">
      <w:pPr>
        <w:tabs>
          <w:tab w:val="left" w:pos="7110"/>
        </w:tabs>
        <w:spacing w:line="400" w:lineRule="exact"/>
        <w:jc w:val="both"/>
        <w:rPr>
          <w:rFonts w:ascii="新宋体" w:eastAsia="新宋体" w:hAnsi="新宋体"/>
          <w:sz w:val="21"/>
          <w:szCs w:val="21"/>
        </w:rPr>
      </w:pPr>
      <w:r w:rsidRPr="00350BFC">
        <w:rPr>
          <w:rFonts w:ascii="新宋体" w:eastAsia="新宋体" w:hAnsi="新宋体" w:hint="eastAsia"/>
          <w:sz w:val="21"/>
          <w:szCs w:val="21"/>
        </w:rPr>
        <w:t>2月伦铝收于2154美元/吨，沪铝主力2103开于15000元/吨，收于16670元/吨。2月外盘铝价整体向上，节前因宏观预期降温，拜登财政纾困计划难产，刺激规模分化严重，外盘铝价略显弱势，但是随着中国春节期间，海外原油价格飙升，通胀预期继续升温，加之近期疫情有所缓和，经济复苏预期强烈，市场风险偏好，外盘铝价大涨。沪铝方面，节后铝锭社会库存虽有大幅上涨，但较往年同期相比基本持平，并未有节前预计的多，加之今年春节实行就地过年政策，下游企业快速复工，市场对后市消费预期乐观，铝价大涨。</w:t>
      </w:r>
    </w:p>
    <w:p w14:paraId="187A0C56" w14:textId="460D560A" w:rsidR="00952BFA" w:rsidRPr="00952BFA" w:rsidRDefault="00350BFC" w:rsidP="00350BFC">
      <w:pPr>
        <w:tabs>
          <w:tab w:val="left" w:pos="7110"/>
        </w:tabs>
        <w:spacing w:line="400" w:lineRule="exact"/>
        <w:jc w:val="both"/>
        <w:rPr>
          <w:rFonts w:ascii="新宋体" w:eastAsia="新宋体" w:hAnsi="新宋体"/>
          <w:sz w:val="21"/>
          <w:szCs w:val="21"/>
        </w:rPr>
      </w:pPr>
      <w:r w:rsidRPr="00350BFC">
        <w:rPr>
          <w:rFonts w:ascii="新宋体" w:eastAsia="新宋体" w:hAnsi="新宋体" w:hint="eastAsia"/>
          <w:sz w:val="21"/>
          <w:szCs w:val="21"/>
        </w:rPr>
        <w:t>2月长江现货均价为15864元/吨，上涨732元/吨，南储现货价格为15863元/吨，上涨728元/吨。2月供应端产能产量无明显增加，需求端，节前因下游加工企业提前进入消费不佳，但节后下游复工进度加快，加之据了解，目前部分地区下游加工企业正在消耗厂内库存，预计未来需求预期向好。截至目前，现货市场持货商积极出货，但高价下，下游及中间商仍旧保持观望，以按需采购为主，整体成交一般。</w:t>
      </w:r>
    </w:p>
    <w:sectPr w:rsidR="00952BFA" w:rsidRPr="00952B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
    <w:altName w:val="Times New Roman"/>
    <w:charset w:val="00"/>
    <w:family w:val="roman"/>
    <w:pitch w:val="default"/>
  </w:font>
  <w:font w:name="华文新魏">
    <w:altName w:val="STXinwei"/>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5E"/>
    <w:rsid w:val="00004095"/>
    <w:rsid w:val="000054F0"/>
    <w:rsid w:val="0000753A"/>
    <w:rsid w:val="0001308B"/>
    <w:rsid w:val="000401CA"/>
    <w:rsid w:val="00044654"/>
    <w:rsid w:val="00046124"/>
    <w:rsid w:val="00061150"/>
    <w:rsid w:val="000875F5"/>
    <w:rsid w:val="00093F5F"/>
    <w:rsid w:val="000A0614"/>
    <w:rsid w:val="000A2C8B"/>
    <w:rsid w:val="000A47B7"/>
    <w:rsid w:val="000C1CBA"/>
    <w:rsid w:val="000C6E04"/>
    <w:rsid w:val="000D29C9"/>
    <w:rsid w:val="000D54F6"/>
    <w:rsid w:val="000E2C52"/>
    <w:rsid w:val="000F5B85"/>
    <w:rsid w:val="0012278B"/>
    <w:rsid w:val="00146132"/>
    <w:rsid w:val="001472DC"/>
    <w:rsid w:val="00161692"/>
    <w:rsid w:val="001622D0"/>
    <w:rsid w:val="00185E7B"/>
    <w:rsid w:val="001A7078"/>
    <w:rsid w:val="001B7113"/>
    <w:rsid w:val="001C75B9"/>
    <w:rsid w:val="00213D06"/>
    <w:rsid w:val="0021423A"/>
    <w:rsid w:val="00221715"/>
    <w:rsid w:val="002316C4"/>
    <w:rsid w:val="00241958"/>
    <w:rsid w:val="00242F52"/>
    <w:rsid w:val="002573EA"/>
    <w:rsid w:val="002620EA"/>
    <w:rsid w:val="0026591B"/>
    <w:rsid w:val="00282C0A"/>
    <w:rsid w:val="0028344D"/>
    <w:rsid w:val="00286441"/>
    <w:rsid w:val="00290D6B"/>
    <w:rsid w:val="002A6E05"/>
    <w:rsid w:val="002A715B"/>
    <w:rsid w:val="002C155F"/>
    <w:rsid w:val="002D4F32"/>
    <w:rsid w:val="002F616C"/>
    <w:rsid w:val="002F7CBB"/>
    <w:rsid w:val="0032357C"/>
    <w:rsid w:val="003266E1"/>
    <w:rsid w:val="00332F1E"/>
    <w:rsid w:val="003355EB"/>
    <w:rsid w:val="00341FC9"/>
    <w:rsid w:val="00344321"/>
    <w:rsid w:val="003457A7"/>
    <w:rsid w:val="003473B3"/>
    <w:rsid w:val="00350BFC"/>
    <w:rsid w:val="00363E9E"/>
    <w:rsid w:val="0037448E"/>
    <w:rsid w:val="00381712"/>
    <w:rsid w:val="00381D34"/>
    <w:rsid w:val="00381F8B"/>
    <w:rsid w:val="003903E2"/>
    <w:rsid w:val="00393E52"/>
    <w:rsid w:val="00396E79"/>
    <w:rsid w:val="003A7056"/>
    <w:rsid w:val="003C1249"/>
    <w:rsid w:val="003C54D4"/>
    <w:rsid w:val="003D15C7"/>
    <w:rsid w:val="003D4DF9"/>
    <w:rsid w:val="003E7BED"/>
    <w:rsid w:val="003F2421"/>
    <w:rsid w:val="004017A7"/>
    <w:rsid w:val="00405A2B"/>
    <w:rsid w:val="00405C40"/>
    <w:rsid w:val="00423209"/>
    <w:rsid w:val="004333F1"/>
    <w:rsid w:val="00433419"/>
    <w:rsid w:val="0044405C"/>
    <w:rsid w:val="00444421"/>
    <w:rsid w:val="00447555"/>
    <w:rsid w:val="00451079"/>
    <w:rsid w:val="00461D9B"/>
    <w:rsid w:val="00463451"/>
    <w:rsid w:val="0046386F"/>
    <w:rsid w:val="00467611"/>
    <w:rsid w:val="004724FD"/>
    <w:rsid w:val="0047721A"/>
    <w:rsid w:val="00477CD7"/>
    <w:rsid w:val="004847A0"/>
    <w:rsid w:val="00484E6F"/>
    <w:rsid w:val="00486FF3"/>
    <w:rsid w:val="0048737A"/>
    <w:rsid w:val="00487C40"/>
    <w:rsid w:val="00494389"/>
    <w:rsid w:val="004C37EA"/>
    <w:rsid w:val="004D7C73"/>
    <w:rsid w:val="004E5076"/>
    <w:rsid w:val="00504E9D"/>
    <w:rsid w:val="0051027B"/>
    <w:rsid w:val="00510BCA"/>
    <w:rsid w:val="00512735"/>
    <w:rsid w:val="00514F37"/>
    <w:rsid w:val="005174CA"/>
    <w:rsid w:val="00541107"/>
    <w:rsid w:val="0054542E"/>
    <w:rsid w:val="005510E8"/>
    <w:rsid w:val="00561F15"/>
    <w:rsid w:val="0056509A"/>
    <w:rsid w:val="005769C4"/>
    <w:rsid w:val="00581325"/>
    <w:rsid w:val="005830B7"/>
    <w:rsid w:val="00595BED"/>
    <w:rsid w:val="005A1877"/>
    <w:rsid w:val="005B537F"/>
    <w:rsid w:val="005B7E95"/>
    <w:rsid w:val="005D753D"/>
    <w:rsid w:val="005E6A0F"/>
    <w:rsid w:val="005F3A25"/>
    <w:rsid w:val="006304EB"/>
    <w:rsid w:val="006370BB"/>
    <w:rsid w:val="006406A3"/>
    <w:rsid w:val="006414DF"/>
    <w:rsid w:val="0064348B"/>
    <w:rsid w:val="00653DA0"/>
    <w:rsid w:val="00664254"/>
    <w:rsid w:val="00672164"/>
    <w:rsid w:val="00675771"/>
    <w:rsid w:val="00682195"/>
    <w:rsid w:val="006915FF"/>
    <w:rsid w:val="00693768"/>
    <w:rsid w:val="00695035"/>
    <w:rsid w:val="006A0E5D"/>
    <w:rsid w:val="006A56B2"/>
    <w:rsid w:val="006D0981"/>
    <w:rsid w:val="006D256F"/>
    <w:rsid w:val="006E17D7"/>
    <w:rsid w:val="006E4A34"/>
    <w:rsid w:val="006E4F89"/>
    <w:rsid w:val="006E68B3"/>
    <w:rsid w:val="006F2D85"/>
    <w:rsid w:val="007054D2"/>
    <w:rsid w:val="007124CA"/>
    <w:rsid w:val="007208E4"/>
    <w:rsid w:val="007222E0"/>
    <w:rsid w:val="00726F15"/>
    <w:rsid w:val="00731852"/>
    <w:rsid w:val="00732812"/>
    <w:rsid w:val="00743DC6"/>
    <w:rsid w:val="00773C96"/>
    <w:rsid w:val="00780FF5"/>
    <w:rsid w:val="00785B5E"/>
    <w:rsid w:val="007A0876"/>
    <w:rsid w:val="007A0A98"/>
    <w:rsid w:val="007A5AC8"/>
    <w:rsid w:val="007B741A"/>
    <w:rsid w:val="007C35D7"/>
    <w:rsid w:val="007D3D59"/>
    <w:rsid w:val="007D7164"/>
    <w:rsid w:val="007F0818"/>
    <w:rsid w:val="007F5B5B"/>
    <w:rsid w:val="00820754"/>
    <w:rsid w:val="008250C5"/>
    <w:rsid w:val="00835482"/>
    <w:rsid w:val="00845204"/>
    <w:rsid w:val="00880500"/>
    <w:rsid w:val="00881416"/>
    <w:rsid w:val="00883BA2"/>
    <w:rsid w:val="00886490"/>
    <w:rsid w:val="00886B81"/>
    <w:rsid w:val="00890E11"/>
    <w:rsid w:val="00896A7B"/>
    <w:rsid w:val="008A136F"/>
    <w:rsid w:val="008A3389"/>
    <w:rsid w:val="008A3AEC"/>
    <w:rsid w:val="008A7580"/>
    <w:rsid w:val="008B73BE"/>
    <w:rsid w:val="008C309C"/>
    <w:rsid w:val="008C61B7"/>
    <w:rsid w:val="008C7744"/>
    <w:rsid w:val="00904822"/>
    <w:rsid w:val="009057A4"/>
    <w:rsid w:val="00927A1D"/>
    <w:rsid w:val="0093158B"/>
    <w:rsid w:val="00931FBA"/>
    <w:rsid w:val="00940087"/>
    <w:rsid w:val="00947B19"/>
    <w:rsid w:val="00947B9D"/>
    <w:rsid w:val="00952815"/>
    <w:rsid w:val="00952BFA"/>
    <w:rsid w:val="0095553F"/>
    <w:rsid w:val="009567D5"/>
    <w:rsid w:val="00971C5D"/>
    <w:rsid w:val="00975F9D"/>
    <w:rsid w:val="00981302"/>
    <w:rsid w:val="00984401"/>
    <w:rsid w:val="009866DE"/>
    <w:rsid w:val="009874BC"/>
    <w:rsid w:val="009935A7"/>
    <w:rsid w:val="009B1157"/>
    <w:rsid w:val="009B4B5A"/>
    <w:rsid w:val="009D10F1"/>
    <w:rsid w:val="009D525D"/>
    <w:rsid w:val="009D73AB"/>
    <w:rsid w:val="009E4F65"/>
    <w:rsid w:val="009E5155"/>
    <w:rsid w:val="009F1063"/>
    <w:rsid w:val="00A00C12"/>
    <w:rsid w:val="00A109F4"/>
    <w:rsid w:val="00A13BE6"/>
    <w:rsid w:val="00A15EC1"/>
    <w:rsid w:val="00A22C4B"/>
    <w:rsid w:val="00A2791A"/>
    <w:rsid w:val="00A3591C"/>
    <w:rsid w:val="00A53F22"/>
    <w:rsid w:val="00A547C0"/>
    <w:rsid w:val="00A674EE"/>
    <w:rsid w:val="00A70834"/>
    <w:rsid w:val="00A75611"/>
    <w:rsid w:val="00A962EA"/>
    <w:rsid w:val="00AA47E8"/>
    <w:rsid w:val="00AA7171"/>
    <w:rsid w:val="00AB71A3"/>
    <w:rsid w:val="00AD14D9"/>
    <w:rsid w:val="00AD6E94"/>
    <w:rsid w:val="00AE0FD9"/>
    <w:rsid w:val="00AE641A"/>
    <w:rsid w:val="00AF1E07"/>
    <w:rsid w:val="00AF468E"/>
    <w:rsid w:val="00AF6FB2"/>
    <w:rsid w:val="00AF70D2"/>
    <w:rsid w:val="00B040EF"/>
    <w:rsid w:val="00B046D2"/>
    <w:rsid w:val="00B11CBB"/>
    <w:rsid w:val="00B26C22"/>
    <w:rsid w:val="00B3396D"/>
    <w:rsid w:val="00B430F1"/>
    <w:rsid w:val="00B4446C"/>
    <w:rsid w:val="00B457A9"/>
    <w:rsid w:val="00B64AB1"/>
    <w:rsid w:val="00B65339"/>
    <w:rsid w:val="00B675EE"/>
    <w:rsid w:val="00BB2157"/>
    <w:rsid w:val="00BB21CD"/>
    <w:rsid w:val="00BB3452"/>
    <w:rsid w:val="00BB7292"/>
    <w:rsid w:val="00BD4010"/>
    <w:rsid w:val="00BE0F21"/>
    <w:rsid w:val="00BE3734"/>
    <w:rsid w:val="00BF243B"/>
    <w:rsid w:val="00C05556"/>
    <w:rsid w:val="00C135C4"/>
    <w:rsid w:val="00C136A8"/>
    <w:rsid w:val="00C728EB"/>
    <w:rsid w:val="00C7298F"/>
    <w:rsid w:val="00C7415E"/>
    <w:rsid w:val="00CA55C4"/>
    <w:rsid w:val="00CD7012"/>
    <w:rsid w:val="00CE0934"/>
    <w:rsid w:val="00CE2C26"/>
    <w:rsid w:val="00CE2EC4"/>
    <w:rsid w:val="00CE49D0"/>
    <w:rsid w:val="00CE52CC"/>
    <w:rsid w:val="00CE6D28"/>
    <w:rsid w:val="00CF07B2"/>
    <w:rsid w:val="00CF1A6F"/>
    <w:rsid w:val="00CF365B"/>
    <w:rsid w:val="00D01BF2"/>
    <w:rsid w:val="00D03E85"/>
    <w:rsid w:val="00D174FB"/>
    <w:rsid w:val="00D17BDE"/>
    <w:rsid w:val="00D251C1"/>
    <w:rsid w:val="00D3234D"/>
    <w:rsid w:val="00D36DB4"/>
    <w:rsid w:val="00D40E69"/>
    <w:rsid w:val="00D426E1"/>
    <w:rsid w:val="00D46FD0"/>
    <w:rsid w:val="00D50314"/>
    <w:rsid w:val="00D63185"/>
    <w:rsid w:val="00D64951"/>
    <w:rsid w:val="00D71E5D"/>
    <w:rsid w:val="00D756FF"/>
    <w:rsid w:val="00D85F36"/>
    <w:rsid w:val="00D87477"/>
    <w:rsid w:val="00D97663"/>
    <w:rsid w:val="00DA2AA3"/>
    <w:rsid w:val="00DA3B68"/>
    <w:rsid w:val="00DA5A3A"/>
    <w:rsid w:val="00DB1793"/>
    <w:rsid w:val="00DB358A"/>
    <w:rsid w:val="00DC3BC0"/>
    <w:rsid w:val="00DD521D"/>
    <w:rsid w:val="00DD684B"/>
    <w:rsid w:val="00DE2D2D"/>
    <w:rsid w:val="00DE4B6C"/>
    <w:rsid w:val="00DE6344"/>
    <w:rsid w:val="00DE6C84"/>
    <w:rsid w:val="00DF0BAE"/>
    <w:rsid w:val="00DF48DE"/>
    <w:rsid w:val="00E0140D"/>
    <w:rsid w:val="00E25F8F"/>
    <w:rsid w:val="00E4128D"/>
    <w:rsid w:val="00E554EC"/>
    <w:rsid w:val="00E65387"/>
    <w:rsid w:val="00E70822"/>
    <w:rsid w:val="00E81CEF"/>
    <w:rsid w:val="00E92815"/>
    <w:rsid w:val="00E96237"/>
    <w:rsid w:val="00EA0615"/>
    <w:rsid w:val="00EB57E9"/>
    <w:rsid w:val="00EB7F32"/>
    <w:rsid w:val="00EE0E3F"/>
    <w:rsid w:val="00EF1A24"/>
    <w:rsid w:val="00EF4637"/>
    <w:rsid w:val="00EF4B4E"/>
    <w:rsid w:val="00F04EA0"/>
    <w:rsid w:val="00F14F86"/>
    <w:rsid w:val="00F17037"/>
    <w:rsid w:val="00F21985"/>
    <w:rsid w:val="00F27427"/>
    <w:rsid w:val="00F276EB"/>
    <w:rsid w:val="00F759E8"/>
    <w:rsid w:val="00F80C66"/>
    <w:rsid w:val="00F85398"/>
    <w:rsid w:val="00FA4241"/>
    <w:rsid w:val="00FA787F"/>
    <w:rsid w:val="00FC267D"/>
    <w:rsid w:val="00FC3686"/>
    <w:rsid w:val="00FC3854"/>
    <w:rsid w:val="00FD1E91"/>
    <w:rsid w:val="00FE36D7"/>
    <w:rsid w:val="00FF19B8"/>
    <w:rsid w:val="024D176A"/>
    <w:rsid w:val="110A488E"/>
    <w:rsid w:val="2B7F4296"/>
    <w:rsid w:val="359E5630"/>
    <w:rsid w:val="46874BE5"/>
    <w:rsid w:val="5AB05873"/>
    <w:rsid w:val="5E941791"/>
    <w:rsid w:val="71775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AE50D86"/>
  <w15:docId w15:val="{9ADDD92B-6EC5-49E5-A3D3-7598C927D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pPr>
      <w:spacing w:after="0" w:line="240" w:lineRule="auto"/>
    </w:pPr>
    <w:rPr>
      <w:sz w:val="18"/>
      <w:szCs w:val="18"/>
    </w:rPr>
  </w:style>
  <w:style w:type="paragraph" w:styleId="a5">
    <w:name w:val="footer"/>
    <w:basedOn w:val="a"/>
    <w:link w:val="a6"/>
    <w:uiPriority w:val="99"/>
    <w:unhideWhenUsed/>
    <w:pPr>
      <w:widowControl w:val="0"/>
      <w:tabs>
        <w:tab w:val="center" w:pos="4153"/>
        <w:tab w:val="right" w:pos="8306"/>
      </w:tabs>
      <w:snapToGrid w:val="0"/>
      <w:spacing w:after="0" w:line="240" w:lineRule="auto"/>
    </w:pPr>
    <w:rPr>
      <w:rFonts w:asciiTheme="minorHAnsi" w:eastAsiaTheme="minorEastAsia" w:hAnsiTheme="minorHAnsi" w:cstheme="minorBidi"/>
      <w:kern w:val="2"/>
      <w:sz w:val="18"/>
      <w:szCs w:val="18"/>
    </w:rPr>
  </w:style>
  <w:style w:type="paragraph" w:styleId="a7">
    <w:name w:val="header"/>
    <w:basedOn w:val="a"/>
    <w:link w:val="a8"/>
    <w:uiPriority w:val="99"/>
    <w:unhideWhenUsed/>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cstheme="minorBidi"/>
      <w:kern w:val="2"/>
      <w:sz w:val="18"/>
      <w:szCs w:val="18"/>
    </w:rPr>
  </w:style>
  <w:style w:type="table" w:styleId="a9">
    <w:name w:val="Table Grid"/>
    <w:basedOn w:val="a1"/>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框文本 字符"/>
    <w:basedOn w:val="a0"/>
    <w:link w:val="a3"/>
    <w:uiPriority w:val="99"/>
    <w:semiHidden/>
    <w:rPr>
      <w:rFonts w:ascii="Calibri" w:eastAsia="宋体" w:hAnsi="Calibri" w:cs="Times New Roman"/>
      <w:kern w:val="0"/>
      <w:sz w:val="18"/>
      <w:szCs w:val="18"/>
    </w:rPr>
  </w:style>
  <w:style w:type="character" w:styleId="aa">
    <w:name w:val="Hyperlink"/>
    <w:rsid w:val="006434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aluminium%20data\&#38109;&#24066;&#22330;&#25968;&#25454;.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luminium%20data\&#38109;&#24066;&#22330;&#25968;&#25454;.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luminium%20data\&#38109;&#24066;&#22330;&#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lgn="ctr" rtl="0">
              <a:defRPr lang="zh-CN" altLang="en-US" sz="1400" b="1" i="0" u="none" strike="noStrike" kern="1200" baseline="0">
                <a:solidFill>
                  <a:sysClr val="windowText" lastClr="000000"/>
                </a:solidFill>
                <a:latin typeface="Arial" panose="020B0604020202020204" pitchFamily="7" charset="0"/>
                <a:ea typeface="黑体" panose="02010609060101010101" pitchFamily="49" charset="-122"/>
                <a:cs typeface="Arial" panose="020B0604020202020204" pitchFamily="7" charset="0"/>
              </a:defRPr>
            </a:pPr>
            <a:r>
              <a:rPr lang="en-US" altLang="zh-CN" sz="1400" b="1" i="0" u="none" strike="noStrike" kern="1200" baseline="0">
                <a:solidFill>
                  <a:sysClr val="windowText" lastClr="000000"/>
                </a:solidFill>
                <a:latin typeface="Arial" panose="020B0604020202020204" pitchFamily="7" charset="0"/>
                <a:ea typeface="黑体" panose="02010609060101010101" pitchFamily="49" charset="-122"/>
                <a:cs typeface="Arial" panose="020B0604020202020204" pitchFamily="7" charset="0"/>
              </a:rPr>
              <a:t>2019-2021</a:t>
            </a:r>
            <a:r>
              <a:rPr lang="zh-CN" altLang="en-US" sz="1400" b="1" i="0" u="none" strike="noStrike" kern="1200" baseline="0">
                <a:solidFill>
                  <a:sysClr val="windowText" lastClr="000000"/>
                </a:solidFill>
                <a:latin typeface="Arial" panose="020B0604020202020204" pitchFamily="7" charset="0"/>
                <a:ea typeface="黑体" panose="02010609060101010101" pitchFamily="49" charset="-122"/>
                <a:cs typeface="Arial" panose="020B0604020202020204" pitchFamily="7" charset="0"/>
              </a:rPr>
              <a:t>电解铝产量对比</a:t>
            </a:r>
          </a:p>
        </c:rich>
      </c:tx>
      <c:overlay val="0"/>
    </c:title>
    <c:autoTitleDeleted val="0"/>
    <c:plotArea>
      <c:layout/>
      <c:barChart>
        <c:barDir val="col"/>
        <c:grouping val="clustered"/>
        <c:varyColors val="0"/>
        <c:ser>
          <c:idx val="3"/>
          <c:order val="0"/>
          <c:tx>
            <c:v>2021</c:v>
          </c:tx>
          <c:invertIfNegative val="0"/>
          <c:val>
            <c:numRef>
              <c:f>作图源数据!$B$2:$B$13</c:f>
              <c:numCache>
                <c:formatCode>0_);[Red]\(0\)</c:formatCode>
                <c:ptCount val="12"/>
                <c:pt idx="0">
                  <c:v>336</c:v>
                </c:pt>
                <c:pt idx="1">
                  <c:v>305.42</c:v>
                </c:pt>
              </c:numCache>
            </c:numRef>
          </c:val>
          <c:extLst>
            <c:ext xmlns:c16="http://schemas.microsoft.com/office/drawing/2014/chart" uri="{C3380CC4-5D6E-409C-BE32-E72D297353CC}">
              <c16:uniqueId val="{00000000-44D8-43B7-ADB0-E26618FD3393}"/>
            </c:ext>
          </c:extLst>
        </c:ser>
        <c:ser>
          <c:idx val="2"/>
          <c:order val="1"/>
          <c:tx>
            <c:v>2020</c:v>
          </c:tx>
          <c:invertIfNegative val="0"/>
          <c:val>
            <c:numRef>
              <c:f>作图源数据!$C$2:$C$13</c:f>
              <c:numCache>
                <c:formatCode>0_);[Red]\(0\)</c:formatCode>
                <c:ptCount val="12"/>
                <c:pt idx="0">
                  <c:v>307.8</c:v>
                </c:pt>
                <c:pt idx="1">
                  <c:v>291.60000000000002</c:v>
                </c:pt>
                <c:pt idx="2">
                  <c:v>307.39999999999998</c:v>
                </c:pt>
                <c:pt idx="3">
                  <c:v>296.60000000000002</c:v>
                </c:pt>
                <c:pt idx="4">
                  <c:v>303.5</c:v>
                </c:pt>
                <c:pt idx="5">
                  <c:v>302.2</c:v>
                </c:pt>
                <c:pt idx="6">
                  <c:v>313.60000000000002</c:v>
                </c:pt>
                <c:pt idx="7">
                  <c:v>316.5</c:v>
                </c:pt>
                <c:pt idx="8">
                  <c:v>313.22669999999999</c:v>
                </c:pt>
                <c:pt idx="9">
                  <c:v>325.5</c:v>
                </c:pt>
                <c:pt idx="10">
                  <c:v>321.75</c:v>
                </c:pt>
                <c:pt idx="11">
                  <c:v>331.85270000000003</c:v>
                </c:pt>
              </c:numCache>
            </c:numRef>
          </c:val>
          <c:extLst>
            <c:ext xmlns:c16="http://schemas.microsoft.com/office/drawing/2014/chart" uri="{C3380CC4-5D6E-409C-BE32-E72D297353CC}">
              <c16:uniqueId val="{00000001-44D8-43B7-ADB0-E26618FD3393}"/>
            </c:ext>
          </c:extLst>
        </c:ser>
        <c:ser>
          <c:idx val="0"/>
          <c:order val="2"/>
          <c:tx>
            <c:strRef>
              <c:f>作图源数据!$D$1</c:f>
              <c:strCache>
                <c:ptCount val="1"/>
                <c:pt idx="0">
                  <c:v>2019 </c:v>
                </c:pt>
              </c:strCache>
            </c:strRef>
          </c:tx>
          <c:spPr>
            <a:solidFill>
              <a:srgbClr val="FF0000"/>
            </a:solidFill>
          </c:spPr>
          <c:invertIfNegative val="0"/>
          <c:cat>
            <c:strRef>
              <c:f>作图源数据!$A$2:$A$13</c:f>
              <c:strCache>
                <c:ptCount val="12"/>
                <c:pt idx="0">
                  <c:v>1月</c:v>
                </c:pt>
                <c:pt idx="1">
                  <c:v>2月</c:v>
                </c:pt>
                <c:pt idx="2">
                  <c:v>3月</c:v>
                </c:pt>
                <c:pt idx="3">
                  <c:v>4月</c:v>
                </c:pt>
                <c:pt idx="4">
                  <c:v>5月</c:v>
                </c:pt>
                <c:pt idx="5">
                  <c:v>6月</c:v>
                </c:pt>
                <c:pt idx="6">
                  <c:v>7月</c:v>
                </c:pt>
                <c:pt idx="7">
                  <c:v>8月</c:v>
                </c:pt>
                <c:pt idx="8">
                  <c:v>9月</c:v>
                </c:pt>
                <c:pt idx="9">
                  <c:v>10月</c:v>
                </c:pt>
                <c:pt idx="10">
                  <c:v>11月</c:v>
                </c:pt>
                <c:pt idx="11">
                  <c:v>12月</c:v>
                </c:pt>
              </c:strCache>
            </c:strRef>
          </c:cat>
          <c:val>
            <c:numRef>
              <c:f>作图源数据!$D$2:$D$13</c:f>
              <c:numCache>
                <c:formatCode>0_);[Red]\(0\)</c:formatCode>
                <c:ptCount val="12"/>
                <c:pt idx="0">
                  <c:v>301.95999999999998</c:v>
                </c:pt>
                <c:pt idx="1">
                  <c:v>275.12</c:v>
                </c:pt>
                <c:pt idx="2">
                  <c:v>298.52999999999997</c:v>
                </c:pt>
                <c:pt idx="3">
                  <c:v>294</c:v>
                </c:pt>
                <c:pt idx="4">
                  <c:v>304.26</c:v>
                </c:pt>
                <c:pt idx="5">
                  <c:v>299.5</c:v>
                </c:pt>
                <c:pt idx="6">
                  <c:v>305.23</c:v>
                </c:pt>
                <c:pt idx="7">
                  <c:v>300.45</c:v>
                </c:pt>
                <c:pt idx="8">
                  <c:v>294.49</c:v>
                </c:pt>
                <c:pt idx="9">
                  <c:v>302.47000000000003</c:v>
                </c:pt>
                <c:pt idx="10">
                  <c:v>294.70999999999998</c:v>
                </c:pt>
                <c:pt idx="11">
                  <c:v>304.51</c:v>
                </c:pt>
              </c:numCache>
            </c:numRef>
          </c:val>
          <c:extLst>
            <c:ext xmlns:c16="http://schemas.microsoft.com/office/drawing/2014/chart" uri="{C3380CC4-5D6E-409C-BE32-E72D297353CC}">
              <c16:uniqueId val="{00000002-44D8-43B7-ADB0-E26618FD3393}"/>
            </c:ext>
          </c:extLst>
        </c:ser>
        <c:dLbls>
          <c:showLegendKey val="0"/>
          <c:showVal val="0"/>
          <c:showCatName val="0"/>
          <c:showSerName val="0"/>
          <c:showPercent val="0"/>
          <c:showBubbleSize val="0"/>
        </c:dLbls>
        <c:gapWidth val="75"/>
        <c:overlap val="-25"/>
        <c:axId val="181156864"/>
        <c:axId val="181478528"/>
      </c:barChart>
      <c:catAx>
        <c:axId val="181156864"/>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crossAx val="181478528"/>
        <c:crosses val="autoZero"/>
        <c:auto val="1"/>
        <c:lblAlgn val="ctr"/>
        <c:lblOffset val="100"/>
        <c:noMultiLvlLbl val="0"/>
      </c:catAx>
      <c:valAx>
        <c:axId val="181478528"/>
        <c:scaling>
          <c:orientation val="minMax"/>
        </c:scaling>
        <c:delete val="0"/>
        <c:axPos val="l"/>
        <c:majorGridlines/>
        <c:numFmt formatCode="0_);[Red]\(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crossAx val="181156864"/>
        <c:crosses val="autoZero"/>
        <c:crossBetween val="between"/>
      </c:valAx>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Arial" panose="020B0604020202020204" pitchFamily="7" charset="0"/>
                <a:ea typeface="黑体" panose="02010609060101010101" pitchFamily="49" charset="-122"/>
                <a:cs typeface="Arial" panose="020B0604020202020204" pitchFamily="7" charset="0"/>
              </a:defRPr>
            </a:pPr>
            <a:r>
              <a:rPr lang="en-US" sz="1400">
                <a:latin typeface="Arial" panose="020B0604020202020204" pitchFamily="7" charset="0"/>
                <a:ea typeface="黑体" panose="02010609060101010101" pitchFamily="49" charset="-122"/>
                <a:cs typeface="Arial" panose="020B0604020202020204" pitchFamily="7" charset="0"/>
              </a:rPr>
              <a:t>2019</a:t>
            </a:r>
            <a:r>
              <a:rPr lang="en-US" altLang="zh-CN" sz="1400">
                <a:latin typeface="Arial" panose="020B0604020202020204" pitchFamily="7" charset="0"/>
                <a:ea typeface="黑体" panose="02010609060101010101" pitchFamily="49" charset="-122"/>
                <a:cs typeface="Arial" panose="020B0604020202020204" pitchFamily="7" charset="0"/>
              </a:rPr>
              <a:t>-2021</a:t>
            </a:r>
            <a:r>
              <a:rPr lang="zh-CN" sz="1400">
                <a:latin typeface="Arial" panose="020B0604020202020204" pitchFamily="7" charset="0"/>
                <a:ea typeface="黑体" panose="02010609060101010101" pitchFamily="49" charset="-122"/>
                <a:cs typeface="Arial" panose="020B0604020202020204" pitchFamily="7" charset="0"/>
              </a:rPr>
              <a:t>年我国氧化铝供需平衡表</a:t>
            </a:r>
          </a:p>
        </c:rich>
      </c:tx>
      <c:overlay val="0"/>
    </c:title>
    <c:autoTitleDeleted val="0"/>
    <c:plotArea>
      <c:layout/>
      <c:barChart>
        <c:barDir val="col"/>
        <c:grouping val="clustered"/>
        <c:varyColors val="0"/>
        <c:ser>
          <c:idx val="0"/>
          <c:order val="0"/>
          <c:tx>
            <c:strRef>
              <c:f>作图源数据!$I$15</c:f>
              <c:strCache>
                <c:ptCount val="1"/>
                <c:pt idx="0">
                  <c:v>氧化铝供应量</c:v>
                </c:pt>
              </c:strCache>
            </c:strRef>
          </c:tx>
          <c:spPr>
            <a:solidFill>
              <a:srgbClr val="FF0000"/>
            </a:solidFill>
          </c:spPr>
          <c:invertIfNegative val="0"/>
          <c:cat>
            <c:numRef>
              <c:f>作图源数据!$H$16:$H$41</c:f>
              <c:numCache>
                <c:formatCode>yyyy"年"m"月";@</c:formatCode>
                <c:ptCount val="26"/>
                <c:pt idx="0">
                  <c:v>44228</c:v>
                </c:pt>
                <c:pt idx="1">
                  <c:v>44197</c:v>
                </c:pt>
                <c:pt idx="2">
                  <c:v>44166</c:v>
                </c:pt>
                <c:pt idx="3">
                  <c:v>44136</c:v>
                </c:pt>
                <c:pt idx="4">
                  <c:v>44105</c:v>
                </c:pt>
                <c:pt idx="5">
                  <c:v>44075</c:v>
                </c:pt>
                <c:pt idx="6">
                  <c:v>44044</c:v>
                </c:pt>
                <c:pt idx="7">
                  <c:v>44013</c:v>
                </c:pt>
                <c:pt idx="8">
                  <c:v>43983</c:v>
                </c:pt>
                <c:pt idx="9">
                  <c:v>43952</c:v>
                </c:pt>
                <c:pt idx="10">
                  <c:v>43922</c:v>
                </c:pt>
                <c:pt idx="11">
                  <c:v>43891</c:v>
                </c:pt>
                <c:pt idx="12">
                  <c:v>43862</c:v>
                </c:pt>
                <c:pt idx="13">
                  <c:v>43831</c:v>
                </c:pt>
                <c:pt idx="14">
                  <c:v>43800</c:v>
                </c:pt>
                <c:pt idx="15">
                  <c:v>43770</c:v>
                </c:pt>
                <c:pt idx="16">
                  <c:v>43739</c:v>
                </c:pt>
                <c:pt idx="17">
                  <c:v>43709</c:v>
                </c:pt>
                <c:pt idx="18">
                  <c:v>43678</c:v>
                </c:pt>
                <c:pt idx="19">
                  <c:v>43655</c:v>
                </c:pt>
                <c:pt idx="20">
                  <c:v>43617</c:v>
                </c:pt>
                <c:pt idx="21">
                  <c:v>43586</c:v>
                </c:pt>
                <c:pt idx="22">
                  <c:v>43556</c:v>
                </c:pt>
                <c:pt idx="23">
                  <c:v>43525</c:v>
                </c:pt>
                <c:pt idx="24">
                  <c:v>43497</c:v>
                </c:pt>
                <c:pt idx="25">
                  <c:v>43466</c:v>
                </c:pt>
              </c:numCache>
            </c:numRef>
          </c:cat>
          <c:val>
            <c:numRef>
              <c:f>作图源数据!$I$16:$I$42</c:f>
              <c:numCache>
                <c:formatCode>0_);[Red]\(0\)</c:formatCode>
                <c:ptCount val="27"/>
                <c:pt idx="0">
                  <c:v>608</c:v>
                </c:pt>
                <c:pt idx="1">
                  <c:v>666.6</c:v>
                </c:pt>
                <c:pt idx="2">
                  <c:v>638</c:v>
                </c:pt>
                <c:pt idx="3">
                  <c:v>634</c:v>
                </c:pt>
                <c:pt idx="4">
                  <c:v>647.90000000000009</c:v>
                </c:pt>
                <c:pt idx="5">
                  <c:v>635.9</c:v>
                </c:pt>
                <c:pt idx="6">
                  <c:v>633.9</c:v>
                </c:pt>
                <c:pt idx="7">
                  <c:v>641.29999999999995</c:v>
                </c:pt>
                <c:pt idx="8">
                  <c:v>612.20000000000005</c:v>
                </c:pt>
                <c:pt idx="9">
                  <c:v>598.6</c:v>
                </c:pt>
                <c:pt idx="10">
                  <c:v>579.70000000000005</c:v>
                </c:pt>
                <c:pt idx="11">
                  <c:v>606.09999999999991</c:v>
                </c:pt>
                <c:pt idx="12">
                  <c:v>566</c:v>
                </c:pt>
                <c:pt idx="13">
                  <c:v>618.9</c:v>
                </c:pt>
                <c:pt idx="14">
                  <c:v>610.90009999999995</c:v>
                </c:pt>
                <c:pt idx="15">
                  <c:v>587.26150000000007</c:v>
                </c:pt>
                <c:pt idx="16">
                  <c:v>617.0095</c:v>
                </c:pt>
                <c:pt idx="17">
                  <c:v>589.84820000000002</c:v>
                </c:pt>
                <c:pt idx="18">
                  <c:v>604.29250000000002</c:v>
                </c:pt>
                <c:pt idx="19">
                  <c:v>623.11379999999997</c:v>
                </c:pt>
                <c:pt idx="20">
                  <c:v>603.11509999999998</c:v>
                </c:pt>
                <c:pt idx="21">
                  <c:v>609.173</c:v>
                </c:pt>
                <c:pt idx="22">
                  <c:v>600.48080000000004</c:v>
                </c:pt>
                <c:pt idx="23">
                  <c:v>620.61163999999997</c:v>
                </c:pt>
                <c:pt idx="24">
                  <c:v>581.08309999999994</c:v>
                </c:pt>
                <c:pt idx="25">
                  <c:v>623.3723</c:v>
                </c:pt>
                <c:pt idx="26">
                  <c:v>612.69000000000005</c:v>
                </c:pt>
              </c:numCache>
            </c:numRef>
          </c:val>
          <c:extLst>
            <c:ext xmlns:c16="http://schemas.microsoft.com/office/drawing/2014/chart" uri="{C3380CC4-5D6E-409C-BE32-E72D297353CC}">
              <c16:uniqueId val="{00000000-022A-4405-AFAC-CEC6547D556D}"/>
            </c:ext>
          </c:extLst>
        </c:ser>
        <c:ser>
          <c:idx val="1"/>
          <c:order val="1"/>
          <c:tx>
            <c:strRef>
              <c:f>作图源数据!$J$15</c:f>
              <c:strCache>
                <c:ptCount val="1"/>
                <c:pt idx="0">
                  <c:v>氧化铝需求量</c:v>
                </c:pt>
              </c:strCache>
            </c:strRef>
          </c:tx>
          <c:spPr>
            <a:solidFill>
              <a:srgbClr val="00B0F0"/>
            </a:solidFill>
          </c:spPr>
          <c:invertIfNegative val="0"/>
          <c:cat>
            <c:numRef>
              <c:f>作图源数据!$H$16:$H$41</c:f>
              <c:numCache>
                <c:formatCode>yyyy"年"m"月";@</c:formatCode>
                <c:ptCount val="26"/>
                <c:pt idx="0">
                  <c:v>44228</c:v>
                </c:pt>
                <c:pt idx="1">
                  <c:v>44197</c:v>
                </c:pt>
                <c:pt idx="2">
                  <c:v>44166</c:v>
                </c:pt>
                <c:pt idx="3">
                  <c:v>44136</c:v>
                </c:pt>
                <c:pt idx="4">
                  <c:v>44105</c:v>
                </c:pt>
                <c:pt idx="5">
                  <c:v>44075</c:v>
                </c:pt>
                <c:pt idx="6">
                  <c:v>44044</c:v>
                </c:pt>
                <c:pt idx="7">
                  <c:v>44013</c:v>
                </c:pt>
                <c:pt idx="8">
                  <c:v>43983</c:v>
                </c:pt>
                <c:pt idx="9">
                  <c:v>43952</c:v>
                </c:pt>
                <c:pt idx="10">
                  <c:v>43922</c:v>
                </c:pt>
                <c:pt idx="11">
                  <c:v>43891</c:v>
                </c:pt>
                <c:pt idx="12">
                  <c:v>43862</c:v>
                </c:pt>
                <c:pt idx="13">
                  <c:v>43831</c:v>
                </c:pt>
                <c:pt idx="14">
                  <c:v>43800</c:v>
                </c:pt>
                <c:pt idx="15">
                  <c:v>43770</c:v>
                </c:pt>
                <c:pt idx="16">
                  <c:v>43739</c:v>
                </c:pt>
                <c:pt idx="17">
                  <c:v>43709</c:v>
                </c:pt>
                <c:pt idx="18">
                  <c:v>43678</c:v>
                </c:pt>
                <c:pt idx="19">
                  <c:v>43655</c:v>
                </c:pt>
                <c:pt idx="20">
                  <c:v>43617</c:v>
                </c:pt>
                <c:pt idx="21">
                  <c:v>43586</c:v>
                </c:pt>
                <c:pt idx="22">
                  <c:v>43556</c:v>
                </c:pt>
                <c:pt idx="23">
                  <c:v>43525</c:v>
                </c:pt>
                <c:pt idx="24">
                  <c:v>43497</c:v>
                </c:pt>
                <c:pt idx="25">
                  <c:v>43466</c:v>
                </c:pt>
              </c:numCache>
            </c:numRef>
          </c:cat>
          <c:val>
            <c:numRef>
              <c:f>作图源数据!$J$16:$J$42</c:f>
              <c:numCache>
                <c:formatCode>0_);[Red]\(0\)</c:formatCode>
                <c:ptCount val="27"/>
                <c:pt idx="0">
                  <c:v>613.46561799999995</c:v>
                </c:pt>
                <c:pt idx="1">
                  <c:v>672.48</c:v>
                </c:pt>
                <c:pt idx="2">
                  <c:v>665.47571100000005</c:v>
                </c:pt>
                <c:pt idx="3">
                  <c:v>645.97749999999996</c:v>
                </c:pt>
                <c:pt idx="4">
                  <c:v>653.21500000000003</c:v>
                </c:pt>
                <c:pt idx="5">
                  <c:v>629.52753099999995</c:v>
                </c:pt>
                <c:pt idx="6">
                  <c:v>636.84500000000003</c:v>
                </c:pt>
                <c:pt idx="7">
                  <c:v>630.24800000000005</c:v>
                </c:pt>
                <c:pt idx="8">
                  <c:v>608.24599999999998</c:v>
                </c:pt>
                <c:pt idx="9">
                  <c:v>615.755</c:v>
                </c:pt>
                <c:pt idx="10">
                  <c:v>597.43799999999999</c:v>
                </c:pt>
                <c:pt idx="11">
                  <c:v>617.28199999999993</c:v>
                </c:pt>
                <c:pt idx="12">
                  <c:v>582.78800000000001</c:v>
                </c:pt>
                <c:pt idx="13">
                  <c:v>619.05399999999997</c:v>
                </c:pt>
                <c:pt idx="14">
                  <c:v>611.71356399999991</c:v>
                </c:pt>
                <c:pt idx="15">
                  <c:v>592.79029999999989</c:v>
                </c:pt>
                <c:pt idx="16">
                  <c:v>608.76710000000003</c:v>
                </c:pt>
                <c:pt idx="17">
                  <c:v>596.36569999999995</c:v>
                </c:pt>
                <c:pt idx="18">
                  <c:v>609.86850000000004</c:v>
                </c:pt>
                <c:pt idx="19">
                  <c:v>617.09389999999996</c:v>
                </c:pt>
                <c:pt idx="20">
                  <c:v>607.03499999999997</c:v>
                </c:pt>
                <c:pt idx="21">
                  <c:v>617.22180000000003</c:v>
                </c:pt>
                <c:pt idx="22">
                  <c:v>595.41999999999996</c:v>
                </c:pt>
                <c:pt idx="23">
                  <c:v>606.16290000000004</c:v>
                </c:pt>
                <c:pt idx="24">
                  <c:v>560.98159999999996</c:v>
                </c:pt>
                <c:pt idx="25">
                  <c:v>610.78279999999995</c:v>
                </c:pt>
                <c:pt idx="26">
                  <c:v>621.19629999999995</c:v>
                </c:pt>
              </c:numCache>
            </c:numRef>
          </c:val>
          <c:extLst>
            <c:ext xmlns:c16="http://schemas.microsoft.com/office/drawing/2014/chart" uri="{C3380CC4-5D6E-409C-BE32-E72D297353CC}">
              <c16:uniqueId val="{00000001-022A-4405-AFAC-CEC6547D556D}"/>
            </c:ext>
          </c:extLst>
        </c:ser>
        <c:dLbls>
          <c:showLegendKey val="0"/>
          <c:showVal val="0"/>
          <c:showCatName val="0"/>
          <c:showSerName val="0"/>
          <c:showPercent val="0"/>
          <c:showBubbleSize val="0"/>
        </c:dLbls>
        <c:gapWidth val="75"/>
        <c:overlap val="-25"/>
        <c:axId val="179820544"/>
        <c:axId val="179833088"/>
      </c:barChart>
      <c:lineChart>
        <c:grouping val="standard"/>
        <c:varyColors val="0"/>
        <c:ser>
          <c:idx val="2"/>
          <c:order val="2"/>
          <c:tx>
            <c:strRef>
              <c:f>作图源数据!$K$15</c:f>
              <c:strCache>
                <c:ptCount val="1"/>
                <c:pt idx="0">
                  <c:v>氧化铝平衡</c:v>
                </c:pt>
              </c:strCache>
            </c:strRef>
          </c:tx>
          <c:spPr>
            <a:ln w="28575" cap="rnd" cmpd="sng" algn="ctr">
              <a:solidFill>
                <a:schemeClr val="accent6"/>
              </a:solidFill>
              <a:prstDash val="solid"/>
              <a:round/>
            </a:ln>
          </c:spPr>
          <c:marker>
            <c:symbol val="circle"/>
            <c:size val="7"/>
            <c:spPr>
              <a:solidFill>
                <a:schemeClr val="accent6">
                  <a:lumMod val="75000"/>
                </a:schemeClr>
              </a:solidFill>
              <a:ln w="9525" cap="flat" cmpd="sng" algn="ctr">
                <a:solidFill>
                  <a:schemeClr val="accent6"/>
                </a:solidFill>
                <a:prstDash val="solid"/>
                <a:round/>
              </a:ln>
            </c:spPr>
          </c:marker>
          <c:dPt>
            <c:idx val="9"/>
            <c:bubble3D val="0"/>
            <c:spPr>
              <a:ln w="28575" cap="rnd" cmpd="sng" algn="ctr">
                <a:solidFill>
                  <a:schemeClr val="accent6">
                    <a:lumMod val="75000"/>
                  </a:schemeClr>
                </a:solidFill>
                <a:prstDash val="solid"/>
                <a:round/>
              </a:ln>
            </c:spPr>
            <c:extLst>
              <c:ext xmlns:c16="http://schemas.microsoft.com/office/drawing/2014/chart" uri="{C3380CC4-5D6E-409C-BE32-E72D297353CC}">
                <c16:uniqueId val="{00000003-022A-4405-AFAC-CEC6547D556D}"/>
              </c:ext>
            </c:extLst>
          </c:dPt>
          <c:cat>
            <c:numRef>
              <c:f>作图源数据!$H$16:$H$41</c:f>
              <c:numCache>
                <c:formatCode>yyyy"年"m"月";@</c:formatCode>
                <c:ptCount val="26"/>
                <c:pt idx="0">
                  <c:v>44228</c:v>
                </c:pt>
                <c:pt idx="1">
                  <c:v>44197</c:v>
                </c:pt>
                <c:pt idx="2">
                  <c:v>44166</c:v>
                </c:pt>
                <c:pt idx="3">
                  <c:v>44136</c:v>
                </c:pt>
                <c:pt idx="4">
                  <c:v>44105</c:v>
                </c:pt>
                <c:pt idx="5">
                  <c:v>44075</c:v>
                </c:pt>
                <c:pt idx="6">
                  <c:v>44044</c:v>
                </c:pt>
                <c:pt idx="7">
                  <c:v>44013</c:v>
                </c:pt>
                <c:pt idx="8">
                  <c:v>43983</c:v>
                </c:pt>
                <c:pt idx="9">
                  <c:v>43952</c:v>
                </c:pt>
                <c:pt idx="10">
                  <c:v>43922</c:v>
                </c:pt>
                <c:pt idx="11">
                  <c:v>43891</c:v>
                </c:pt>
                <c:pt idx="12">
                  <c:v>43862</c:v>
                </c:pt>
                <c:pt idx="13">
                  <c:v>43831</c:v>
                </c:pt>
                <c:pt idx="14">
                  <c:v>43800</c:v>
                </c:pt>
                <c:pt idx="15">
                  <c:v>43770</c:v>
                </c:pt>
                <c:pt idx="16">
                  <c:v>43739</c:v>
                </c:pt>
                <c:pt idx="17">
                  <c:v>43709</c:v>
                </c:pt>
                <c:pt idx="18">
                  <c:v>43678</c:v>
                </c:pt>
                <c:pt idx="19">
                  <c:v>43655</c:v>
                </c:pt>
                <c:pt idx="20">
                  <c:v>43617</c:v>
                </c:pt>
                <c:pt idx="21">
                  <c:v>43586</c:v>
                </c:pt>
                <c:pt idx="22">
                  <c:v>43556</c:v>
                </c:pt>
                <c:pt idx="23">
                  <c:v>43525</c:v>
                </c:pt>
                <c:pt idx="24">
                  <c:v>43497</c:v>
                </c:pt>
                <c:pt idx="25">
                  <c:v>43466</c:v>
                </c:pt>
              </c:numCache>
            </c:numRef>
          </c:cat>
          <c:val>
            <c:numRef>
              <c:f>作图源数据!$K$16:$K$42</c:f>
              <c:numCache>
                <c:formatCode>0_);[Red]\(0\)</c:formatCode>
                <c:ptCount val="27"/>
                <c:pt idx="0">
                  <c:v>-5.4656179999999495</c:v>
                </c:pt>
                <c:pt idx="1">
                  <c:v>-5.8799999999999955</c:v>
                </c:pt>
                <c:pt idx="2">
                  <c:v>-27.475711000000047</c:v>
                </c:pt>
                <c:pt idx="3">
                  <c:v>-11.977499999999964</c:v>
                </c:pt>
                <c:pt idx="4">
                  <c:v>-5.3149999999999409</c:v>
                </c:pt>
                <c:pt idx="5">
                  <c:v>6.3724690000000237</c:v>
                </c:pt>
                <c:pt idx="6">
                  <c:v>-2.94500000000005</c:v>
                </c:pt>
                <c:pt idx="7">
                  <c:v>11.051999999999907</c:v>
                </c:pt>
                <c:pt idx="8">
                  <c:v>3.9540000000000646</c:v>
                </c:pt>
                <c:pt idx="9">
                  <c:v>-17.154999999999973</c:v>
                </c:pt>
                <c:pt idx="10">
                  <c:v>-17.737999999999943</c:v>
                </c:pt>
                <c:pt idx="11">
                  <c:v>-11.182000000000016</c:v>
                </c:pt>
                <c:pt idx="12">
                  <c:v>-16.788000000000011</c:v>
                </c:pt>
                <c:pt idx="13">
                  <c:v>-0.15399999999999636</c:v>
                </c:pt>
                <c:pt idx="14">
                  <c:v>-0.81346399999995356</c:v>
                </c:pt>
                <c:pt idx="15">
                  <c:v>-5.5287999999998192</c:v>
                </c:pt>
                <c:pt idx="16">
                  <c:v>8.2423999999999751</c:v>
                </c:pt>
                <c:pt idx="17">
                  <c:v>-6.5174999999999272</c:v>
                </c:pt>
                <c:pt idx="18">
                  <c:v>-5.5760000000000218</c:v>
                </c:pt>
                <c:pt idx="19">
                  <c:v>6.0199000000000069</c:v>
                </c:pt>
                <c:pt idx="20">
                  <c:v>-3.9198999999999842</c:v>
                </c:pt>
                <c:pt idx="21">
                  <c:v>-8.0488000000000284</c:v>
                </c:pt>
                <c:pt idx="22">
                  <c:v>5.0608000000000857</c:v>
                </c:pt>
                <c:pt idx="23">
                  <c:v>14.44873999999993</c:v>
                </c:pt>
                <c:pt idx="24">
                  <c:v>20.101499999999987</c:v>
                </c:pt>
                <c:pt idx="25">
                  <c:v>12.589500000000044</c:v>
                </c:pt>
                <c:pt idx="26">
                  <c:v>-8.5062999999998965</c:v>
                </c:pt>
              </c:numCache>
            </c:numRef>
          </c:val>
          <c:smooth val="0"/>
          <c:extLst>
            <c:ext xmlns:c16="http://schemas.microsoft.com/office/drawing/2014/chart" uri="{C3380CC4-5D6E-409C-BE32-E72D297353CC}">
              <c16:uniqueId val="{00000004-022A-4405-AFAC-CEC6547D556D}"/>
            </c:ext>
          </c:extLst>
        </c:ser>
        <c:dLbls>
          <c:showLegendKey val="0"/>
          <c:showVal val="0"/>
          <c:showCatName val="0"/>
          <c:showSerName val="0"/>
          <c:showPercent val="0"/>
          <c:showBubbleSize val="0"/>
        </c:dLbls>
        <c:marker val="1"/>
        <c:smooth val="0"/>
        <c:axId val="180635136"/>
        <c:axId val="179833664"/>
      </c:lineChart>
      <c:dateAx>
        <c:axId val="179820544"/>
        <c:scaling>
          <c:orientation val="minMax"/>
          <c:min val="43497"/>
        </c:scaling>
        <c:delete val="0"/>
        <c:axPos val="b"/>
        <c:numFmt formatCode="yyyy&quot;年&quot;m&quot;月&quot;;@"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黑体" panose="02010609060101010101" pitchFamily="49" charset="-122"/>
                <a:ea typeface="黑体" panose="02010609060101010101" pitchFamily="49" charset="-122"/>
                <a:cs typeface="Arial" panose="020B0604020202020204" pitchFamily="7" charset="0"/>
              </a:defRPr>
            </a:pPr>
            <a:endParaRPr lang="zh-CN"/>
          </a:p>
        </c:txPr>
        <c:crossAx val="179833088"/>
        <c:crosses val="autoZero"/>
        <c:auto val="1"/>
        <c:lblOffset val="100"/>
        <c:baseTimeUnit val="months"/>
      </c:dateAx>
      <c:valAx>
        <c:axId val="179833088"/>
        <c:scaling>
          <c:orientation val="minMax"/>
        </c:scaling>
        <c:delete val="0"/>
        <c:axPos val="l"/>
        <c:majorGridlines/>
        <c:numFmt formatCode="0_);[Red]\(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crossAx val="179820544"/>
        <c:crosses val="autoZero"/>
        <c:crossBetween val="between"/>
      </c:valAx>
      <c:dateAx>
        <c:axId val="180635136"/>
        <c:scaling>
          <c:orientation val="minMax"/>
        </c:scaling>
        <c:delete val="1"/>
        <c:axPos val="b"/>
        <c:numFmt formatCode="yyyy&quot;年&quot;m&quot;月&quot;;@" sourceLinked="1"/>
        <c:majorTickMark val="out"/>
        <c:minorTickMark val="none"/>
        <c:tickLblPos val="nextTo"/>
        <c:crossAx val="179833664"/>
        <c:crosses val="autoZero"/>
        <c:auto val="1"/>
        <c:lblOffset val="100"/>
        <c:baseTimeUnit val="days"/>
      </c:dateAx>
      <c:valAx>
        <c:axId val="179833664"/>
        <c:scaling>
          <c:orientation val="minMax"/>
        </c:scaling>
        <c:delete val="0"/>
        <c:axPos val="r"/>
        <c:numFmt formatCode="0_);[Red]\(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crossAx val="180635136"/>
        <c:crosses val="max"/>
        <c:crossBetween val="between"/>
      </c:valAx>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legend>
    <c:plotVisOnly val="1"/>
    <c:dispBlanksAs val="gap"/>
    <c:showDLblsOverMax val="0"/>
  </c:chart>
  <c:txPr>
    <a:bodyPr/>
    <a:lstStyle/>
    <a:p>
      <a:pPr>
        <a:defRPr lang="zh-CN">
          <a:latin typeface="Arial" panose="020B0604020202020204" pitchFamily="7" charset="0"/>
          <a:cs typeface="Arial" panose="020B0604020202020204" pitchFamily="7" charset="0"/>
        </a:defRPr>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1" i="0" u="none" strike="noStrike" kern="1200" baseline="0">
                <a:solidFill>
                  <a:schemeClr val="tx1"/>
                </a:solidFill>
                <a:latin typeface="Arial" panose="020B0604020202020204" pitchFamily="7" charset="0"/>
                <a:ea typeface="黑体" panose="02010609060101010101" pitchFamily="49" charset="-122"/>
                <a:cs typeface="Arial" panose="020B0604020202020204" pitchFamily="7" charset="0"/>
              </a:defRPr>
            </a:pPr>
            <a:r>
              <a:rPr lang="en-US" altLang="zh-CN" sz="1400">
                <a:latin typeface="Arial" panose="020B0604020202020204" pitchFamily="7" charset="0"/>
                <a:ea typeface="黑体" panose="02010609060101010101" pitchFamily="49" charset="-122"/>
                <a:cs typeface="Arial" panose="020B0604020202020204" pitchFamily="7" charset="0"/>
              </a:rPr>
              <a:t>2019-2021</a:t>
            </a:r>
            <a:r>
              <a:rPr lang="zh-CN" altLang="en-US" sz="1400">
                <a:latin typeface="Arial" panose="020B0604020202020204" pitchFamily="7" charset="0"/>
                <a:ea typeface="黑体" panose="02010609060101010101" pitchFamily="49" charset="-122"/>
                <a:cs typeface="Arial" panose="020B0604020202020204" pitchFamily="7" charset="0"/>
              </a:rPr>
              <a:t>年我国电解铝供需平衡表</a:t>
            </a:r>
          </a:p>
        </c:rich>
      </c:tx>
      <c:overlay val="0"/>
    </c:title>
    <c:autoTitleDeleted val="0"/>
    <c:plotArea>
      <c:layout/>
      <c:barChart>
        <c:barDir val="col"/>
        <c:grouping val="clustered"/>
        <c:varyColors val="0"/>
        <c:ser>
          <c:idx val="0"/>
          <c:order val="0"/>
          <c:tx>
            <c:strRef>
              <c:f>作图源数据!$N$15</c:f>
              <c:strCache>
                <c:ptCount val="1"/>
                <c:pt idx="0">
                  <c:v>电解铝供应量</c:v>
                </c:pt>
              </c:strCache>
            </c:strRef>
          </c:tx>
          <c:spPr>
            <a:solidFill>
              <a:srgbClr val="FF0000"/>
            </a:solidFill>
          </c:spPr>
          <c:invertIfNegative val="0"/>
          <c:cat>
            <c:numRef>
              <c:f>作图源数据!$M$16:$M$41</c:f>
              <c:numCache>
                <c:formatCode>yyyy"年"m"月";@</c:formatCode>
                <c:ptCount val="26"/>
                <c:pt idx="0">
                  <c:v>44228</c:v>
                </c:pt>
                <c:pt idx="1">
                  <c:v>44197</c:v>
                </c:pt>
                <c:pt idx="2">
                  <c:v>44166</c:v>
                </c:pt>
                <c:pt idx="3">
                  <c:v>44136</c:v>
                </c:pt>
                <c:pt idx="4">
                  <c:v>44105</c:v>
                </c:pt>
                <c:pt idx="5">
                  <c:v>44075</c:v>
                </c:pt>
                <c:pt idx="6">
                  <c:v>44044</c:v>
                </c:pt>
                <c:pt idx="7">
                  <c:v>44013</c:v>
                </c:pt>
                <c:pt idx="8">
                  <c:v>43983</c:v>
                </c:pt>
                <c:pt idx="9">
                  <c:v>43952</c:v>
                </c:pt>
                <c:pt idx="10">
                  <c:v>43922</c:v>
                </c:pt>
                <c:pt idx="11">
                  <c:v>43891</c:v>
                </c:pt>
                <c:pt idx="12">
                  <c:v>43862</c:v>
                </c:pt>
                <c:pt idx="13">
                  <c:v>43831</c:v>
                </c:pt>
                <c:pt idx="14">
                  <c:v>43800</c:v>
                </c:pt>
                <c:pt idx="15">
                  <c:v>43770</c:v>
                </c:pt>
                <c:pt idx="16">
                  <c:v>43739</c:v>
                </c:pt>
                <c:pt idx="17">
                  <c:v>43709</c:v>
                </c:pt>
                <c:pt idx="18">
                  <c:v>43678</c:v>
                </c:pt>
                <c:pt idx="19">
                  <c:v>43655</c:v>
                </c:pt>
                <c:pt idx="20">
                  <c:v>43617</c:v>
                </c:pt>
                <c:pt idx="21">
                  <c:v>43586</c:v>
                </c:pt>
                <c:pt idx="22">
                  <c:v>43556</c:v>
                </c:pt>
                <c:pt idx="23">
                  <c:v>43525</c:v>
                </c:pt>
                <c:pt idx="24">
                  <c:v>43497</c:v>
                </c:pt>
                <c:pt idx="25">
                  <c:v>43466</c:v>
                </c:pt>
              </c:numCache>
            </c:numRef>
          </c:cat>
          <c:val>
            <c:numRef>
              <c:f>作图源数据!$N$16:$N$41</c:f>
              <c:numCache>
                <c:formatCode>0_);[Red]\(0\)</c:formatCode>
                <c:ptCount val="26"/>
                <c:pt idx="0">
                  <c:v>310.42259999999999</c:v>
                </c:pt>
                <c:pt idx="1">
                  <c:v>346</c:v>
                </c:pt>
                <c:pt idx="2">
                  <c:v>344.85270000000003</c:v>
                </c:pt>
                <c:pt idx="3">
                  <c:v>327.35000000000002</c:v>
                </c:pt>
                <c:pt idx="4">
                  <c:v>336.6</c:v>
                </c:pt>
                <c:pt idx="5">
                  <c:v>330.32670000000002</c:v>
                </c:pt>
                <c:pt idx="6">
                  <c:v>341.24</c:v>
                </c:pt>
                <c:pt idx="7">
                  <c:v>332</c:v>
                </c:pt>
                <c:pt idx="8">
                  <c:v>314.5</c:v>
                </c:pt>
                <c:pt idx="9">
                  <c:v>305.18</c:v>
                </c:pt>
                <c:pt idx="10">
                  <c:v>297.18</c:v>
                </c:pt>
                <c:pt idx="11">
                  <c:v>307.91999999999996</c:v>
                </c:pt>
                <c:pt idx="12">
                  <c:v>291.66000000000003</c:v>
                </c:pt>
                <c:pt idx="13">
                  <c:v>307.82</c:v>
                </c:pt>
                <c:pt idx="14">
                  <c:v>305.14479999999998</c:v>
                </c:pt>
                <c:pt idx="15">
                  <c:v>293.63</c:v>
                </c:pt>
                <c:pt idx="16">
                  <c:v>302.47000000000003</c:v>
                </c:pt>
                <c:pt idx="17">
                  <c:v>294.99</c:v>
                </c:pt>
                <c:pt idx="18">
                  <c:v>301.04000000000002</c:v>
                </c:pt>
                <c:pt idx="19">
                  <c:v>306.52</c:v>
                </c:pt>
                <c:pt idx="20">
                  <c:v>299.74</c:v>
                </c:pt>
                <c:pt idx="21">
                  <c:v>304.19</c:v>
                </c:pt>
                <c:pt idx="22">
                  <c:v>292.06</c:v>
                </c:pt>
                <c:pt idx="23">
                  <c:v>296.63</c:v>
                </c:pt>
                <c:pt idx="24">
                  <c:v>275.43</c:v>
                </c:pt>
                <c:pt idx="25">
                  <c:v>303.56</c:v>
                </c:pt>
              </c:numCache>
            </c:numRef>
          </c:val>
          <c:extLst>
            <c:ext xmlns:c16="http://schemas.microsoft.com/office/drawing/2014/chart" uri="{C3380CC4-5D6E-409C-BE32-E72D297353CC}">
              <c16:uniqueId val="{00000000-1BD3-4C5F-8825-8B58C1920955}"/>
            </c:ext>
          </c:extLst>
        </c:ser>
        <c:ser>
          <c:idx val="1"/>
          <c:order val="1"/>
          <c:tx>
            <c:strRef>
              <c:f>作图源数据!$O$15</c:f>
              <c:strCache>
                <c:ptCount val="1"/>
                <c:pt idx="0">
                  <c:v>电解铝需求量</c:v>
                </c:pt>
              </c:strCache>
            </c:strRef>
          </c:tx>
          <c:spPr>
            <a:solidFill>
              <a:srgbClr val="00B0F0"/>
            </a:solidFill>
          </c:spPr>
          <c:invertIfNegative val="0"/>
          <c:cat>
            <c:numRef>
              <c:f>作图源数据!$M$16:$M$41</c:f>
              <c:numCache>
                <c:formatCode>yyyy"年"m"月";@</c:formatCode>
                <c:ptCount val="26"/>
                <c:pt idx="0">
                  <c:v>44228</c:v>
                </c:pt>
                <c:pt idx="1">
                  <c:v>44197</c:v>
                </c:pt>
                <c:pt idx="2">
                  <c:v>44166</c:v>
                </c:pt>
                <c:pt idx="3">
                  <c:v>44136</c:v>
                </c:pt>
                <c:pt idx="4">
                  <c:v>44105</c:v>
                </c:pt>
                <c:pt idx="5">
                  <c:v>44075</c:v>
                </c:pt>
                <c:pt idx="6">
                  <c:v>44044</c:v>
                </c:pt>
                <c:pt idx="7">
                  <c:v>44013</c:v>
                </c:pt>
                <c:pt idx="8">
                  <c:v>43983</c:v>
                </c:pt>
                <c:pt idx="9">
                  <c:v>43952</c:v>
                </c:pt>
                <c:pt idx="10">
                  <c:v>43922</c:v>
                </c:pt>
                <c:pt idx="11">
                  <c:v>43891</c:v>
                </c:pt>
                <c:pt idx="12">
                  <c:v>43862</c:v>
                </c:pt>
                <c:pt idx="13">
                  <c:v>43831</c:v>
                </c:pt>
                <c:pt idx="14">
                  <c:v>43800</c:v>
                </c:pt>
                <c:pt idx="15">
                  <c:v>43770</c:v>
                </c:pt>
                <c:pt idx="16">
                  <c:v>43739</c:v>
                </c:pt>
                <c:pt idx="17">
                  <c:v>43709</c:v>
                </c:pt>
                <c:pt idx="18">
                  <c:v>43678</c:v>
                </c:pt>
                <c:pt idx="19">
                  <c:v>43655</c:v>
                </c:pt>
                <c:pt idx="20">
                  <c:v>43617</c:v>
                </c:pt>
                <c:pt idx="21">
                  <c:v>43586</c:v>
                </c:pt>
                <c:pt idx="22">
                  <c:v>43556</c:v>
                </c:pt>
                <c:pt idx="23">
                  <c:v>43525</c:v>
                </c:pt>
                <c:pt idx="24">
                  <c:v>43497</c:v>
                </c:pt>
                <c:pt idx="25">
                  <c:v>43466</c:v>
                </c:pt>
              </c:numCache>
            </c:numRef>
          </c:cat>
          <c:val>
            <c:numRef>
              <c:f>作图源数据!$O$16:$O$41</c:f>
              <c:numCache>
                <c:formatCode>0_);[Red]\(0\)</c:formatCode>
                <c:ptCount val="26"/>
                <c:pt idx="0">
                  <c:v>293</c:v>
                </c:pt>
                <c:pt idx="1">
                  <c:v>315.8</c:v>
                </c:pt>
                <c:pt idx="2">
                  <c:v>314.8</c:v>
                </c:pt>
                <c:pt idx="3">
                  <c:v>309.60000000000002</c:v>
                </c:pt>
                <c:pt idx="4">
                  <c:v>318</c:v>
                </c:pt>
                <c:pt idx="5">
                  <c:v>316.39999999999998</c:v>
                </c:pt>
                <c:pt idx="6">
                  <c:v>330.1</c:v>
                </c:pt>
                <c:pt idx="7">
                  <c:v>335.9</c:v>
                </c:pt>
                <c:pt idx="8">
                  <c:v>331</c:v>
                </c:pt>
                <c:pt idx="9">
                  <c:v>337.5</c:v>
                </c:pt>
                <c:pt idx="10">
                  <c:v>321.39999999999998</c:v>
                </c:pt>
                <c:pt idx="11">
                  <c:v>285.5</c:v>
                </c:pt>
                <c:pt idx="12">
                  <c:v>227.5</c:v>
                </c:pt>
                <c:pt idx="13">
                  <c:v>289</c:v>
                </c:pt>
                <c:pt idx="14">
                  <c:v>308.2</c:v>
                </c:pt>
                <c:pt idx="15">
                  <c:v>299.8</c:v>
                </c:pt>
                <c:pt idx="16">
                  <c:v>309</c:v>
                </c:pt>
                <c:pt idx="17">
                  <c:v>299</c:v>
                </c:pt>
                <c:pt idx="18">
                  <c:v>309</c:v>
                </c:pt>
                <c:pt idx="19">
                  <c:v>311</c:v>
                </c:pt>
                <c:pt idx="20">
                  <c:v>326</c:v>
                </c:pt>
                <c:pt idx="21">
                  <c:v>335</c:v>
                </c:pt>
                <c:pt idx="22">
                  <c:v>316</c:v>
                </c:pt>
                <c:pt idx="23">
                  <c:v>312</c:v>
                </c:pt>
                <c:pt idx="24">
                  <c:v>239</c:v>
                </c:pt>
                <c:pt idx="25">
                  <c:v>296</c:v>
                </c:pt>
              </c:numCache>
            </c:numRef>
          </c:val>
          <c:extLst>
            <c:ext xmlns:c16="http://schemas.microsoft.com/office/drawing/2014/chart" uri="{C3380CC4-5D6E-409C-BE32-E72D297353CC}">
              <c16:uniqueId val="{00000001-1BD3-4C5F-8825-8B58C1920955}"/>
            </c:ext>
          </c:extLst>
        </c:ser>
        <c:dLbls>
          <c:showLegendKey val="0"/>
          <c:showVal val="0"/>
          <c:showCatName val="0"/>
          <c:showSerName val="0"/>
          <c:showPercent val="0"/>
          <c:showBubbleSize val="0"/>
        </c:dLbls>
        <c:gapWidth val="75"/>
        <c:overlap val="-25"/>
        <c:axId val="179821056"/>
        <c:axId val="179835968"/>
      </c:barChart>
      <c:lineChart>
        <c:grouping val="standard"/>
        <c:varyColors val="0"/>
        <c:ser>
          <c:idx val="2"/>
          <c:order val="2"/>
          <c:tx>
            <c:strRef>
              <c:f>作图源数据!$P$15</c:f>
              <c:strCache>
                <c:ptCount val="1"/>
                <c:pt idx="0">
                  <c:v>电解铝平衡</c:v>
                </c:pt>
              </c:strCache>
            </c:strRef>
          </c:tx>
          <c:spPr>
            <a:ln w="28575" cap="rnd" cmpd="sng" algn="ctr">
              <a:solidFill>
                <a:schemeClr val="accent6">
                  <a:lumMod val="75000"/>
                </a:schemeClr>
              </a:solidFill>
              <a:prstDash val="solid"/>
              <a:round/>
            </a:ln>
          </c:spPr>
          <c:marker>
            <c:symbol val="diamond"/>
            <c:size val="7"/>
            <c:spPr>
              <a:solidFill>
                <a:schemeClr val="accent6">
                  <a:lumMod val="75000"/>
                </a:schemeClr>
              </a:solidFill>
              <a:ln w="9525" cap="flat" cmpd="sng" algn="ctr">
                <a:solidFill>
                  <a:schemeClr val="accent6">
                    <a:lumMod val="75000"/>
                  </a:schemeClr>
                </a:solidFill>
                <a:prstDash val="solid"/>
                <a:round/>
              </a:ln>
            </c:spPr>
          </c:marker>
          <c:cat>
            <c:numRef>
              <c:f>作图源数据!$M$16:$M$41</c:f>
              <c:numCache>
                <c:formatCode>yyyy"年"m"月";@</c:formatCode>
                <c:ptCount val="26"/>
                <c:pt idx="0">
                  <c:v>44228</c:v>
                </c:pt>
                <c:pt idx="1">
                  <c:v>44197</c:v>
                </c:pt>
                <c:pt idx="2">
                  <c:v>44166</c:v>
                </c:pt>
                <c:pt idx="3">
                  <c:v>44136</c:v>
                </c:pt>
                <c:pt idx="4">
                  <c:v>44105</c:v>
                </c:pt>
                <c:pt idx="5">
                  <c:v>44075</c:v>
                </c:pt>
                <c:pt idx="6">
                  <c:v>44044</c:v>
                </c:pt>
                <c:pt idx="7">
                  <c:v>44013</c:v>
                </c:pt>
                <c:pt idx="8">
                  <c:v>43983</c:v>
                </c:pt>
                <c:pt idx="9">
                  <c:v>43952</c:v>
                </c:pt>
                <c:pt idx="10">
                  <c:v>43922</c:v>
                </c:pt>
                <c:pt idx="11">
                  <c:v>43891</c:v>
                </c:pt>
                <c:pt idx="12">
                  <c:v>43862</c:v>
                </c:pt>
                <c:pt idx="13">
                  <c:v>43831</c:v>
                </c:pt>
                <c:pt idx="14">
                  <c:v>43800</c:v>
                </c:pt>
                <c:pt idx="15">
                  <c:v>43770</c:v>
                </c:pt>
                <c:pt idx="16">
                  <c:v>43739</c:v>
                </c:pt>
                <c:pt idx="17">
                  <c:v>43709</c:v>
                </c:pt>
                <c:pt idx="18">
                  <c:v>43678</c:v>
                </c:pt>
                <c:pt idx="19">
                  <c:v>43655</c:v>
                </c:pt>
                <c:pt idx="20">
                  <c:v>43617</c:v>
                </c:pt>
                <c:pt idx="21">
                  <c:v>43586</c:v>
                </c:pt>
                <c:pt idx="22">
                  <c:v>43556</c:v>
                </c:pt>
                <c:pt idx="23">
                  <c:v>43525</c:v>
                </c:pt>
                <c:pt idx="24">
                  <c:v>43497</c:v>
                </c:pt>
                <c:pt idx="25">
                  <c:v>43466</c:v>
                </c:pt>
              </c:numCache>
            </c:numRef>
          </c:cat>
          <c:val>
            <c:numRef>
              <c:f>作图源数据!$P$16:$P$41</c:f>
              <c:numCache>
                <c:formatCode>0_);[Red]\(0\)</c:formatCode>
                <c:ptCount val="26"/>
                <c:pt idx="0">
                  <c:v>17.422599999999989</c:v>
                </c:pt>
                <c:pt idx="1">
                  <c:v>30.199999999999989</c:v>
                </c:pt>
                <c:pt idx="2">
                  <c:v>30.052700000000016</c:v>
                </c:pt>
                <c:pt idx="3">
                  <c:v>17.75</c:v>
                </c:pt>
                <c:pt idx="4">
                  <c:v>18.600000000000023</c:v>
                </c:pt>
                <c:pt idx="5">
                  <c:v>13.926700000000039</c:v>
                </c:pt>
                <c:pt idx="6">
                  <c:v>11.139999999999986</c:v>
                </c:pt>
                <c:pt idx="7">
                  <c:v>-3.8999999999999773</c:v>
                </c:pt>
                <c:pt idx="8">
                  <c:v>-16.5</c:v>
                </c:pt>
                <c:pt idx="9">
                  <c:v>-32.319999999999993</c:v>
                </c:pt>
                <c:pt idx="10">
                  <c:v>-24.21999999999997</c:v>
                </c:pt>
                <c:pt idx="11">
                  <c:v>22.419999999999959</c:v>
                </c:pt>
                <c:pt idx="12">
                  <c:v>64.160000000000025</c:v>
                </c:pt>
                <c:pt idx="13">
                  <c:v>18.819999999999993</c:v>
                </c:pt>
                <c:pt idx="14">
                  <c:v>-3.0552000000000135</c:v>
                </c:pt>
                <c:pt idx="15">
                  <c:v>-6.1700000000000159</c:v>
                </c:pt>
                <c:pt idx="16">
                  <c:v>-6.5299999999999727</c:v>
                </c:pt>
                <c:pt idx="17">
                  <c:v>-4.0099999999999909</c:v>
                </c:pt>
                <c:pt idx="18">
                  <c:v>-7.9599999999999795</c:v>
                </c:pt>
                <c:pt idx="19">
                  <c:v>-4.4800000000000182</c:v>
                </c:pt>
                <c:pt idx="20">
                  <c:v>-26.259999999999991</c:v>
                </c:pt>
                <c:pt idx="21">
                  <c:v>-30.810000000000002</c:v>
                </c:pt>
                <c:pt idx="22">
                  <c:v>-23.939999999999998</c:v>
                </c:pt>
                <c:pt idx="23">
                  <c:v>-15.370000000000005</c:v>
                </c:pt>
                <c:pt idx="24">
                  <c:v>36.430000000000007</c:v>
                </c:pt>
                <c:pt idx="25">
                  <c:v>7.5600000000000023</c:v>
                </c:pt>
              </c:numCache>
            </c:numRef>
          </c:val>
          <c:smooth val="0"/>
          <c:extLst>
            <c:ext xmlns:c16="http://schemas.microsoft.com/office/drawing/2014/chart" uri="{C3380CC4-5D6E-409C-BE32-E72D297353CC}">
              <c16:uniqueId val="{00000002-1BD3-4C5F-8825-8B58C1920955}"/>
            </c:ext>
          </c:extLst>
        </c:ser>
        <c:dLbls>
          <c:showLegendKey val="0"/>
          <c:showVal val="0"/>
          <c:showCatName val="0"/>
          <c:showSerName val="0"/>
          <c:showPercent val="0"/>
          <c:showBubbleSize val="0"/>
        </c:dLbls>
        <c:marker val="1"/>
        <c:smooth val="0"/>
        <c:axId val="180633600"/>
        <c:axId val="179836544"/>
      </c:lineChart>
      <c:dateAx>
        <c:axId val="179821056"/>
        <c:scaling>
          <c:orientation val="minMax"/>
          <c:min val="43497"/>
        </c:scaling>
        <c:delete val="0"/>
        <c:axPos val="b"/>
        <c:numFmt formatCode="yyyy&quot;年&quot;m&quot;月&quot;;@"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黑体" panose="02010609060101010101" pitchFamily="49" charset="-122"/>
                <a:ea typeface="黑体" panose="02010609060101010101" pitchFamily="49" charset="-122"/>
                <a:cs typeface="Arial" panose="020B0604020202020204" pitchFamily="7" charset="0"/>
              </a:defRPr>
            </a:pPr>
            <a:endParaRPr lang="zh-CN"/>
          </a:p>
        </c:txPr>
        <c:crossAx val="179835968"/>
        <c:crosses val="autoZero"/>
        <c:auto val="1"/>
        <c:lblOffset val="100"/>
        <c:baseTimeUnit val="months"/>
      </c:dateAx>
      <c:valAx>
        <c:axId val="179835968"/>
        <c:scaling>
          <c:orientation val="minMax"/>
        </c:scaling>
        <c:delete val="0"/>
        <c:axPos val="l"/>
        <c:majorGridlines/>
        <c:numFmt formatCode="0_);[Red]\(0\)" sourceLinked="1"/>
        <c:majorTickMark val="none"/>
        <c:minorTickMark val="none"/>
        <c:tickLblPos val="nextTo"/>
        <c:spPr>
          <a:ln w="9525" cap="flat" cmpd="sng" algn="ctr">
            <a:noFill/>
            <a:prstDash val="solid"/>
            <a:round/>
          </a:ln>
        </c:spPr>
        <c:txPr>
          <a:bodyPr rot="-6000000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crossAx val="179821056"/>
        <c:crosses val="autoZero"/>
        <c:crossBetween val="between"/>
      </c:valAx>
      <c:dateAx>
        <c:axId val="180633600"/>
        <c:scaling>
          <c:orientation val="minMax"/>
        </c:scaling>
        <c:delete val="1"/>
        <c:axPos val="b"/>
        <c:numFmt formatCode="yyyy&quot;年&quot;m&quot;月&quot;;@" sourceLinked="1"/>
        <c:majorTickMark val="out"/>
        <c:minorTickMark val="none"/>
        <c:tickLblPos val="nextTo"/>
        <c:crossAx val="179836544"/>
        <c:crosses val="autoZero"/>
        <c:auto val="1"/>
        <c:lblOffset val="100"/>
        <c:baseTimeUnit val="days"/>
      </c:dateAx>
      <c:valAx>
        <c:axId val="179836544"/>
        <c:scaling>
          <c:orientation val="minMax"/>
        </c:scaling>
        <c:delete val="0"/>
        <c:axPos val="r"/>
        <c:numFmt formatCode="0_);[Red]\(0\)"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Arial" panose="020B0604020202020204" pitchFamily="7" charset="0"/>
                <a:ea typeface="+mn-ea"/>
                <a:cs typeface="Arial" panose="020B0604020202020204" pitchFamily="7" charset="0"/>
              </a:defRPr>
            </a:pPr>
            <a:endParaRPr lang="zh-CN"/>
          </a:p>
        </c:txPr>
        <c:crossAx val="180633600"/>
        <c:crosses val="max"/>
        <c:crossBetween val="between"/>
      </c:valAx>
    </c:plotArea>
    <c:legend>
      <c:legendPos val="b"/>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gap"/>
    <c:showDLblsOverMax val="0"/>
  </c:chart>
  <c:txPr>
    <a:bodyPr/>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wangmin</dc:creator>
  <cp:lastModifiedBy>LIU, Hui /ZL</cp:lastModifiedBy>
  <cp:revision>2</cp:revision>
  <dcterms:created xsi:type="dcterms:W3CDTF">2021-03-09T08:24:00Z</dcterms:created>
  <dcterms:modified xsi:type="dcterms:W3CDTF">2021-03-09T08:24:00Z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