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9264" behindDoc="1" locked="0" layoutInCell="1" allowOverlap="1">
            <wp:simplePos x="0" y="0"/>
            <wp:positionH relativeFrom="column">
              <wp:posOffset>-963295</wp:posOffset>
            </wp:positionH>
            <wp:positionV relativeFrom="paragraph">
              <wp:posOffset>-919480</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60288;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sWiVLYAAAACgEAAA8AAAAAAAAAAQAgAAAAIgAAAGRycy9kb3du&#10;cmV2LnhtbFBLAQIUABQAAAAIAIdO4kBn+7IxjQEAAAEDAAAOAAAAAAAAAAEAIAAAACcBAABkcnMv&#10;ZTJvRG9jLnhtbFBLBQYAAAAABgAGAFkBAAAmBQ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w:t>
      </w:r>
      <w:r>
        <w:rPr>
          <w:rFonts w:hint="eastAsia" w:ascii="宋体" w:hAnsi="宋体"/>
          <w:b/>
          <w:sz w:val="30"/>
          <w:szCs w:val="30"/>
          <w:lang w:val="en-US" w:eastAsia="zh-CN"/>
        </w:rPr>
        <w:t>21</w:t>
      </w:r>
      <w:r>
        <w:rPr>
          <w:rFonts w:hint="eastAsia" w:ascii="宋体" w:hAnsi="宋体"/>
          <w:b/>
          <w:sz w:val="30"/>
          <w:szCs w:val="30"/>
        </w:rPr>
        <w:t>.</w:t>
      </w:r>
      <w:r>
        <w:rPr>
          <w:rFonts w:hint="eastAsia" w:ascii="宋体" w:hAnsi="宋体"/>
          <w:b/>
          <w:sz w:val="30"/>
          <w:szCs w:val="30"/>
          <w:lang w:val="en-US" w:eastAsia="zh-CN"/>
        </w:rPr>
        <w:t>4.1</w:t>
      </w:r>
    </w:p>
    <w:p>
      <w:pPr>
        <w:rPr>
          <w:rFonts w:ascii="宋体" w:hAnsi="宋体"/>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60288;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TOC \o "1-3" \h \z </w:instrText>
      </w:r>
      <w:r>
        <w:rPr>
          <w:rFonts w:hint="eastAsia" w:ascii="宋体" w:hAnsi="宋体" w:eastAsia="宋体" w:cs="宋体"/>
          <w:color w:val="000000"/>
          <w:sz w:val="24"/>
          <w:szCs w:val="21"/>
        </w:rPr>
        <w:fldChar w:fldCharType="separate"/>
      </w: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_Toc32272 </w:instrText>
      </w:r>
      <w:r>
        <w:rPr>
          <w:rFonts w:hint="eastAsia" w:ascii="宋体" w:hAnsi="宋体" w:eastAsia="宋体" w:cs="宋体"/>
          <w:szCs w:val="21"/>
        </w:rPr>
        <w:fldChar w:fldCharType="separate"/>
      </w:r>
      <w:r>
        <w:rPr>
          <w:rFonts w:hint="eastAsia" w:asciiTheme="minorEastAsia" w:hAnsiTheme="minorEastAsia" w:eastAsiaTheme="minorEastAsia" w:cstheme="minorEastAsia"/>
          <w:bCs/>
          <w:kern w:val="0"/>
          <w:szCs w:val="30"/>
        </w:rPr>
        <w:t xml:space="preserve">一、 </w:t>
      </w:r>
      <w:r>
        <w:rPr>
          <w:rFonts w:hint="eastAsia"/>
        </w:rPr>
        <w:t>国际原油市场回顾 </w:t>
      </w:r>
      <w:r>
        <w:tab/>
      </w:r>
      <w:r>
        <w:fldChar w:fldCharType="begin"/>
      </w:r>
      <w:r>
        <w:instrText xml:space="preserve"> PAGEREF _Toc32272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_Toc6297 </w:instrText>
      </w:r>
      <w:r>
        <w:rPr>
          <w:rFonts w:hint="eastAsia" w:ascii="宋体" w:hAnsi="宋体" w:eastAsia="宋体" w:cs="宋体"/>
          <w:szCs w:val="21"/>
        </w:rPr>
        <w:fldChar w:fldCharType="separate"/>
      </w:r>
      <w:r>
        <w:rPr>
          <w:rFonts w:hint="eastAsia" w:ascii="宋体" w:hAnsi="宋体"/>
          <w:szCs w:val="30"/>
          <w:highlight w:val="none"/>
          <w:lang w:val="en-US" w:eastAsia="zh-CN"/>
        </w:rPr>
        <w:t>1、国际原油收盘价涨跌情况（单位：美元/桶）</w:t>
      </w:r>
      <w:r>
        <w:tab/>
      </w:r>
      <w:r>
        <w:fldChar w:fldCharType="begin"/>
      </w:r>
      <w:r>
        <w:instrText xml:space="preserve"> PAGEREF _Toc6297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_Toc5501 </w:instrText>
      </w:r>
      <w:r>
        <w:rPr>
          <w:rFonts w:hint="eastAsia" w:ascii="宋体" w:hAnsi="宋体" w:eastAsia="宋体" w:cs="宋体"/>
          <w:szCs w:val="21"/>
        </w:rPr>
        <w:fldChar w:fldCharType="separate"/>
      </w:r>
      <w:r>
        <w:rPr>
          <w:rFonts w:hint="eastAsia" w:ascii="宋体" w:hAnsi="宋体"/>
          <w:szCs w:val="30"/>
          <w:highlight w:val="none"/>
          <w:lang w:val="en-US" w:eastAsia="zh-CN"/>
        </w:rPr>
        <w:t>2.2021年国际原油价格走势图</w:t>
      </w:r>
      <w:r>
        <w:tab/>
      </w:r>
      <w:r>
        <w:fldChar w:fldCharType="begin"/>
      </w:r>
      <w:r>
        <w:instrText xml:space="preserve"> PAGEREF _Toc5501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_Toc16647 </w:instrText>
      </w:r>
      <w:r>
        <w:rPr>
          <w:rFonts w:hint="eastAsia" w:ascii="宋体" w:hAnsi="宋体" w:eastAsia="宋体" w:cs="宋体"/>
          <w:szCs w:val="21"/>
        </w:rPr>
        <w:fldChar w:fldCharType="separate"/>
      </w:r>
      <w:r>
        <w:rPr>
          <w:rFonts w:hint="eastAsia" w:ascii="宋体" w:hAnsi="宋体"/>
          <w:szCs w:val="30"/>
          <w:highlight w:val="none"/>
          <w:lang w:val="en-US" w:eastAsia="zh-CN"/>
        </w:rPr>
        <w:t>2.1近期影响国际原油市场的主要因素</w:t>
      </w:r>
      <w:r>
        <w:tab/>
      </w:r>
      <w:r>
        <w:fldChar w:fldCharType="begin"/>
      </w:r>
      <w:r>
        <w:instrText xml:space="preserve"> PAGEREF _Toc16647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_Toc184 </w:instrText>
      </w:r>
      <w:r>
        <w:rPr>
          <w:rFonts w:hint="eastAsia" w:ascii="宋体" w:hAnsi="宋体" w:eastAsia="宋体" w:cs="宋体"/>
          <w:szCs w:val="21"/>
        </w:rPr>
        <w:fldChar w:fldCharType="separate"/>
      </w:r>
      <w:r>
        <w:rPr>
          <w:rFonts w:hint="eastAsia" w:ascii="宋体" w:hAnsi="宋体"/>
          <w:szCs w:val="30"/>
          <w:highlight w:val="none"/>
          <w:lang w:val="en-US" w:eastAsia="zh-CN"/>
        </w:rPr>
        <w:t>1.美国原油库存情况</w:t>
      </w:r>
      <w:r>
        <w:tab/>
      </w:r>
      <w:r>
        <w:fldChar w:fldCharType="begin"/>
      </w:r>
      <w:r>
        <w:instrText xml:space="preserve"> PAGEREF _Toc184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_Toc16360 </w:instrText>
      </w:r>
      <w:r>
        <w:rPr>
          <w:rFonts w:hint="eastAsia" w:ascii="宋体" w:hAnsi="宋体" w:eastAsia="宋体" w:cs="宋体"/>
          <w:szCs w:val="21"/>
        </w:rPr>
        <w:fldChar w:fldCharType="separate"/>
      </w:r>
      <w:r>
        <w:rPr>
          <w:rFonts w:hint="eastAsia" w:ascii="宋体" w:hAnsi="宋体"/>
          <w:szCs w:val="30"/>
          <w:highlight w:val="none"/>
          <w:lang w:val="en-US" w:eastAsia="zh-CN"/>
        </w:rPr>
        <w:t>2.美国经济形势</w:t>
      </w:r>
      <w:r>
        <w:tab/>
      </w:r>
      <w:r>
        <w:fldChar w:fldCharType="begin"/>
      </w:r>
      <w:r>
        <w:instrText xml:space="preserve"> PAGEREF _Toc16360 </w:instrText>
      </w:r>
      <w:r>
        <w:fldChar w:fldCharType="separate"/>
      </w:r>
      <w:r>
        <w:t>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_Toc30724 </w:instrText>
      </w:r>
      <w:r>
        <w:rPr>
          <w:rFonts w:hint="eastAsia" w:ascii="宋体" w:hAnsi="宋体" w:eastAsia="宋体" w:cs="宋体"/>
          <w:szCs w:val="21"/>
        </w:rPr>
        <w:fldChar w:fldCharType="separate"/>
      </w:r>
      <w:r>
        <w:rPr>
          <w:rFonts w:hint="eastAsia" w:ascii="宋体" w:hAnsi="宋体"/>
          <w:szCs w:val="30"/>
          <w:highlight w:val="none"/>
          <w:lang w:val="en-US" w:eastAsia="zh-CN"/>
        </w:rPr>
        <w:t>3.世界经济形势</w:t>
      </w:r>
      <w:r>
        <w:tab/>
      </w:r>
      <w:r>
        <w:fldChar w:fldCharType="begin"/>
      </w:r>
      <w:r>
        <w:instrText xml:space="preserve"> PAGEREF _Toc30724 </w:instrText>
      </w:r>
      <w:r>
        <w:fldChar w:fldCharType="separate"/>
      </w:r>
      <w:r>
        <w:t>10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_Toc23898 </w:instrText>
      </w:r>
      <w:r>
        <w:rPr>
          <w:rFonts w:hint="eastAsia" w:ascii="宋体" w:hAnsi="宋体" w:eastAsia="宋体" w:cs="宋体"/>
          <w:szCs w:val="21"/>
        </w:rPr>
        <w:fldChar w:fldCharType="separate"/>
      </w:r>
      <w:r>
        <w:rPr>
          <w:rFonts w:hint="eastAsia" w:ascii="宋体" w:hAnsi="宋体"/>
          <w:szCs w:val="30"/>
          <w:highlight w:val="none"/>
          <w:lang w:val="en-US" w:eastAsia="zh-CN"/>
        </w:rPr>
        <w:t>4后市预测</w:t>
      </w:r>
      <w:r>
        <w:tab/>
      </w:r>
      <w:r>
        <w:fldChar w:fldCharType="begin"/>
      </w:r>
      <w:r>
        <w:instrText xml:space="preserve"> PAGEREF _Toc23898 </w:instrText>
      </w:r>
      <w:r>
        <w:fldChar w:fldCharType="separate"/>
      </w:r>
      <w:r>
        <w:t>15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_Toc30787 </w:instrText>
      </w:r>
      <w:r>
        <w:rPr>
          <w:rFonts w:hint="eastAsia" w:ascii="宋体" w:hAnsi="宋体" w:eastAsia="宋体" w:cs="宋体"/>
          <w:szCs w:val="21"/>
        </w:rPr>
        <w:fldChar w:fldCharType="separate"/>
      </w:r>
      <w:r>
        <w:rPr>
          <w:rFonts w:hint="eastAsia" w:ascii="宋体" w:hAnsi="宋体"/>
          <w:szCs w:val="30"/>
          <w:highlight w:val="none"/>
        </w:rPr>
        <w:t>2.2国际市场MTBE价格</w:t>
      </w:r>
      <w:r>
        <w:tab/>
      </w:r>
      <w:r>
        <w:fldChar w:fldCharType="begin"/>
      </w:r>
      <w:r>
        <w:instrText xml:space="preserve"> PAGEREF _Toc30787 </w:instrText>
      </w:r>
      <w:r>
        <w:fldChar w:fldCharType="separate"/>
      </w:r>
      <w:r>
        <w:t>16</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_Toc11000 </w:instrText>
      </w:r>
      <w:r>
        <w:rPr>
          <w:rFonts w:hint="eastAsia" w:ascii="宋体" w:hAnsi="宋体" w:eastAsia="宋体" w:cs="宋体"/>
          <w:szCs w:val="21"/>
        </w:rPr>
        <w:fldChar w:fldCharType="separate"/>
      </w:r>
      <w:r>
        <w:rPr>
          <w:rFonts w:hint="eastAsia"/>
          <w:lang w:eastAsia="zh-CN"/>
        </w:rPr>
        <w:t>三、</w:t>
      </w:r>
      <w:r>
        <w:rPr>
          <w:rFonts w:hint="eastAsia"/>
        </w:rPr>
        <w:t>本周国内市场</w:t>
      </w:r>
      <w:r>
        <w:tab/>
      </w:r>
      <w:r>
        <w:fldChar w:fldCharType="begin"/>
      </w:r>
      <w:r>
        <w:instrText xml:space="preserve"> PAGEREF _Toc11000 </w:instrText>
      </w:r>
      <w:r>
        <w:fldChar w:fldCharType="separate"/>
      </w:r>
      <w:r>
        <w:t>16</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_Toc7167 </w:instrText>
      </w:r>
      <w:r>
        <w:rPr>
          <w:rFonts w:hint="eastAsia" w:ascii="宋体" w:hAnsi="宋体" w:eastAsia="宋体" w:cs="宋体"/>
          <w:szCs w:val="21"/>
        </w:rPr>
        <w:fldChar w:fldCharType="separate"/>
      </w:r>
      <w:r>
        <w:rPr>
          <w:rFonts w:hint="eastAsia" w:ascii="宋体" w:hAnsi="宋体"/>
          <w:szCs w:val="30"/>
          <w:highlight w:val="none"/>
        </w:rPr>
        <w:t>3.1 国内炼厂装置运行情况</w:t>
      </w:r>
      <w:r>
        <w:tab/>
      </w:r>
      <w:r>
        <w:fldChar w:fldCharType="begin"/>
      </w:r>
      <w:r>
        <w:instrText xml:space="preserve"> PAGEREF _Toc7167 </w:instrText>
      </w:r>
      <w:r>
        <w:fldChar w:fldCharType="separate"/>
      </w:r>
      <w:r>
        <w:t>16</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_Toc13096 </w:instrText>
      </w:r>
      <w:r>
        <w:rPr>
          <w:rFonts w:hint="eastAsia" w:ascii="宋体" w:hAnsi="宋体" w:eastAsia="宋体" w:cs="宋体"/>
          <w:szCs w:val="21"/>
        </w:rPr>
        <w:fldChar w:fldCharType="separate"/>
      </w:r>
      <w:r>
        <w:rPr>
          <w:rFonts w:hint="eastAsia" w:ascii="宋体" w:hAnsi="宋体"/>
          <w:szCs w:val="30"/>
          <w:highlight w:val="none"/>
        </w:rPr>
        <w:t>3.2本周成品油市场行情</w:t>
      </w:r>
      <w:r>
        <w:tab/>
      </w:r>
      <w:r>
        <w:fldChar w:fldCharType="begin"/>
      </w:r>
      <w:r>
        <w:instrText xml:space="preserve"> PAGEREF _Toc13096 </w:instrText>
      </w:r>
      <w:r>
        <w:fldChar w:fldCharType="separate"/>
      </w:r>
      <w:r>
        <w:t>18</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_Toc24031 </w:instrText>
      </w:r>
      <w:r>
        <w:rPr>
          <w:rFonts w:hint="eastAsia" w:ascii="宋体" w:hAnsi="宋体" w:eastAsia="宋体" w:cs="宋体"/>
          <w:szCs w:val="21"/>
        </w:rPr>
        <w:fldChar w:fldCharType="separate"/>
      </w:r>
      <w:r>
        <w:rPr>
          <w:rFonts w:hint="eastAsia" w:ascii="宋体" w:hAnsi="宋体"/>
          <w:szCs w:val="30"/>
        </w:rPr>
        <w:t>3.3 国内汽油价格周报</w:t>
      </w:r>
      <w:r>
        <w:tab/>
      </w:r>
      <w:r>
        <w:fldChar w:fldCharType="begin"/>
      </w:r>
      <w:r>
        <w:instrText xml:space="preserve"> PAGEREF _Toc24031 </w:instrText>
      </w:r>
      <w:r>
        <w:fldChar w:fldCharType="separate"/>
      </w:r>
      <w:r>
        <w:t>21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_Toc16466 </w:instrText>
      </w:r>
      <w:r>
        <w:rPr>
          <w:rFonts w:hint="eastAsia" w:ascii="宋体" w:hAnsi="宋体" w:eastAsia="宋体" w:cs="宋体"/>
          <w:szCs w:val="21"/>
        </w:rPr>
        <w:fldChar w:fldCharType="separate"/>
      </w:r>
      <w:r>
        <w:rPr>
          <w:rFonts w:hint="eastAsia" w:ascii="宋体" w:hAnsi="宋体"/>
          <w:szCs w:val="30"/>
          <w:lang w:val="en-US" w:eastAsia="zh-CN"/>
        </w:rPr>
        <w:t>3.4国内柴油价格周报</w:t>
      </w:r>
      <w:r>
        <w:tab/>
      </w:r>
      <w:r>
        <w:fldChar w:fldCharType="begin"/>
      </w:r>
      <w:r>
        <w:instrText xml:space="preserve"> PAGEREF _Toc16466 </w:instrText>
      </w:r>
      <w:r>
        <w:fldChar w:fldCharType="separate"/>
      </w:r>
      <w:r>
        <w:t>25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_Toc6052 </w:instrText>
      </w:r>
      <w:r>
        <w:rPr>
          <w:rFonts w:hint="eastAsia" w:ascii="宋体" w:hAnsi="宋体" w:eastAsia="宋体" w:cs="宋体"/>
          <w:szCs w:val="21"/>
        </w:rPr>
        <w:fldChar w:fldCharType="separate"/>
      </w:r>
      <w:r>
        <w:rPr>
          <w:rFonts w:hint="eastAsia" w:ascii="宋体" w:hAnsi="宋体"/>
          <w:szCs w:val="30"/>
          <w:lang w:val="en-US" w:eastAsia="zh-CN"/>
        </w:rPr>
        <w:t>3.5 山东地炼汽油出厂价格周报</w:t>
      </w:r>
      <w:r>
        <w:tab/>
      </w:r>
      <w:r>
        <w:fldChar w:fldCharType="begin"/>
      </w:r>
      <w:r>
        <w:instrText xml:space="preserve"> PAGEREF _Toc6052 </w:instrText>
      </w:r>
      <w:r>
        <w:fldChar w:fldCharType="separate"/>
      </w:r>
      <w:r>
        <w:t>27</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_Toc25179 </w:instrText>
      </w:r>
      <w:r>
        <w:rPr>
          <w:rFonts w:hint="eastAsia" w:ascii="宋体" w:hAnsi="宋体" w:eastAsia="宋体" w:cs="宋体"/>
          <w:szCs w:val="21"/>
        </w:rPr>
        <w:fldChar w:fldCharType="separate"/>
      </w:r>
      <w:r>
        <w:rPr>
          <w:rFonts w:hint="eastAsia" w:ascii="宋体" w:hAnsi="宋体"/>
          <w:szCs w:val="30"/>
          <w:lang w:val="en-US" w:eastAsia="zh-CN"/>
        </w:rPr>
        <w:t>3.6 山东地炼柴油出厂价格周报</w:t>
      </w:r>
      <w:r>
        <w:tab/>
      </w:r>
      <w:r>
        <w:fldChar w:fldCharType="begin"/>
      </w:r>
      <w:r>
        <w:instrText xml:space="preserve"> PAGEREF _Toc25179 </w:instrText>
      </w:r>
      <w:r>
        <w:fldChar w:fldCharType="separate"/>
      </w:r>
      <w:r>
        <w:t>29</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_Toc27167 </w:instrText>
      </w:r>
      <w:r>
        <w:rPr>
          <w:rFonts w:hint="eastAsia" w:ascii="宋体" w:hAnsi="宋体" w:eastAsia="宋体" w:cs="宋体"/>
          <w:szCs w:val="21"/>
        </w:rPr>
        <w:fldChar w:fldCharType="separate"/>
      </w:r>
      <w:r>
        <w:rPr>
          <w:rFonts w:hint="eastAsia" w:ascii="宋体" w:hAnsi="宋体"/>
          <w:szCs w:val="30"/>
          <w:lang w:val="en-US" w:eastAsia="zh-CN"/>
        </w:rPr>
        <w:t>四、2021年1-2月份进出口统计数据</w:t>
      </w:r>
      <w:r>
        <w:tab/>
      </w:r>
      <w:r>
        <w:fldChar w:fldCharType="begin"/>
      </w:r>
      <w:r>
        <w:instrText xml:space="preserve"> PAGEREF _Toc27167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_Toc19791 </w:instrText>
      </w:r>
      <w:r>
        <w:rPr>
          <w:rFonts w:hint="eastAsia" w:ascii="宋体" w:hAnsi="宋体" w:eastAsia="宋体" w:cs="宋体"/>
          <w:szCs w:val="21"/>
        </w:rPr>
        <w:fldChar w:fldCharType="separate"/>
      </w:r>
      <w:r>
        <w:rPr>
          <w:rFonts w:hint="eastAsia" w:ascii="宋体" w:hAnsi="宋体"/>
          <w:szCs w:val="30"/>
        </w:rPr>
        <w:t>4.1 20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1-2</w:t>
      </w:r>
      <w:r>
        <w:rPr>
          <w:rFonts w:hint="eastAsia" w:ascii="宋体" w:hAnsi="宋体"/>
          <w:szCs w:val="30"/>
        </w:rPr>
        <w:t>份全国车用汽油</w:t>
      </w:r>
      <w:r>
        <w:rPr>
          <w:rFonts w:hint="eastAsia" w:ascii="宋体" w:hAnsi="宋体"/>
          <w:szCs w:val="30"/>
          <w:lang w:eastAsia="zh-CN"/>
        </w:rPr>
        <w:t>进</w:t>
      </w:r>
      <w:r>
        <w:rPr>
          <w:rFonts w:hint="eastAsia" w:ascii="宋体" w:hAnsi="宋体"/>
          <w:szCs w:val="30"/>
        </w:rPr>
        <w:t>出口统计数据</w:t>
      </w:r>
      <w:r>
        <w:tab/>
      </w:r>
      <w:r>
        <w:fldChar w:fldCharType="begin"/>
      </w:r>
      <w:r>
        <w:instrText xml:space="preserve"> PAGEREF _Toc19791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_Toc23995 </w:instrText>
      </w:r>
      <w:r>
        <w:rPr>
          <w:rFonts w:hint="eastAsia" w:ascii="宋体" w:hAnsi="宋体" w:eastAsia="宋体" w:cs="宋体"/>
          <w:szCs w:val="21"/>
        </w:rPr>
        <w:fldChar w:fldCharType="separate"/>
      </w:r>
      <w:r>
        <w:rPr>
          <w:rFonts w:hint="eastAsia" w:ascii="宋体" w:hAnsi="宋体"/>
          <w:szCs w:val="30"/>
        </w:rPr>
        <w:t>4.2 20</w:t>
      </w:r>
      <w:r>
        <w:rPr>
          <w:rFonts w:hint="eastAsia" w:ascii="宋体" w:hAnsi="宋体"/>
          <w:szCs w:val="30"/>
          <w:lang w:val="en-US" w:eastAsia="zh-CN"/>
        </w:rPr>
        <w:t>21</w:t>
      </w:r>
      <w:r>
        <w:rPr>
          <w:rFonts w:hint="eastAsia" w:ascii="宋体" w:hAnsi="宋体"/>
          <w:szCs w:val="30"/>
        </w:rPr>
        <w:t>年1</w:t>
      </w:r>
      <w:r>
        <w:rPr>
          <w:rFonts w:hint="eastAsia" w:ascii="宋体" w:hAnsi="宋体"/>
          <w:szCs w:val="30"/>
          <w:lang w:val="en-US" w:eastAsia="zh-CN"/>
        </w:rPr>
        <w:t>-2</w:t>
      </w:r>
      <w:r>
        <w:rPr>
          <w:rFonts w:hint="eastAsia" w:ascii="宋体" w:hAnsi="宋体"/>
          <w:szCs w:val="30"/>
        </w:rPr>
        <w:t>月份全国柴油出口统计数据</w:t>
      </w:r>
      <w:r>
        <w:tab/>
      </w:r>
      <w:r>
        <w:fldChar w:fldCharType="begin"/>
      </w:r>
      <w:r>
        <w:instrText xml:space="preserve"> PAGEREF _Toc23995 </w:instrText>
      </w:r>
      <w:r>
        <w:fldChar w:fldCharType="separate"/>
      </w:r>
      <w:r>
        <w:t>34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_Toc16942 </w:instrText>
      </w:r>
      <w:r>
        <w:rPr>
          <w:rFonts w:hint="eastAsia" w:ascii="宋体" w:hAnsi="宋体" w:eastAsia="宋体" w:cs="宋体"/>
          <w:szCs w:val="21"/>
        </w:rPr>
        <w:fldChar w:fldCharType="separate"/>
      </w:r>
      <w:r>
        <w:rPr>
          <w:rFonts w:hint="eastAsia" w:ascii="宋体" w:hAnsi="宋体"/>
          <w:szCs w:val="30"/>
        </w:rPr>
        <w:t>4.3 20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2</w:t>
      </w:r>
      <w:r>
        <w:rPr>
          <w:rFonts w:hint="eastAsia" w:ascii="宋体" w:hAnsi="宋体"/>
          <w:szCs w:val="30"/>
        </w:rPr>
        <w:t>月份全国原油进出口统计数据</w:t>
      </w:r>
      <w:r>
        <w:tab/>
      </w:r>
      <w:r>
        <w:fldChar w:fldCharType="begin"/>
      </w:r>
      <w:r>
        <w:instrText xml:space="preserve"> PAGEREF _Toc16942 </w:instrText>
      </w:r>
      <w:r>
        <w:fldChar w:fldCharType="separate"/>
      </w:r>
      <w:r>
        <w:t>35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_Toc18589 </w:instrText>
      </w:r>
      <w:r>
        <w:rPr>
          <w:rFonts w:hint="eastAsia" w:ascii="宋体" w:hAnsi="宋体" w:eastAsia="宋体" w:cs="宋体"/>
          <w:szCs w:val="21"/>
        </w:rPr>
        <w:fldChar w:fldCharType="separate"/>
      </w:r>
      <w:r>
        <w:rPr>
          <w:rFonts w:hint="eastAsia" w:ascii="宋体" w:hAnsi="宋体"/>
          <w:szCs w:val="30"/>
        </w:rPr>
        <w:t>4.4 20</w:t>
      </w:r>
      <w:r>
        <w:rPr>
          <w:rFonts w:hint="eastAsia" w:ascii="宋体" w:hAnsi="宋体"/>
          <w:szCs w:val="30"/>
          <w:lang w:val="en-US" w:eastAsia="zh-CN"/>
        </w:rPr>
        <w:t>21</w:t>
      </w:r>
      <w:r>
        <w:rPr>
          <w:rFonts w:hint="eastAsia" w:ascii="宋体" w:hAnsi="宋体"/>
          <w:szCs w:val="30"/>
        </w:rPr>
        <w:t>年</w:t>
      </w:r>
      <w:r>
        <w:rPr>
          <w:rFonts w:hint="eastAsia" w:ascii="宋体" w:hAnsi="宋体"/>
          <w:szCs w:val="30"/>
          <w:lang w:val="en-US" w:eastAsia="zh-CN"/>
        </w:rPr>
        <w:t>2</w:t>
      </w:r>
      <w:r>
        <w:rPr>
          <w:rFonts w:hint="eastAsia" w:ascii="宋体" w:hAnsi="宋体"/>
          <w:szCs w:val="30"/>
        </w:rPr>
        <w:t>月份航空煤油进出口统计数据</w:t>
      </w:r>
      <w:r>
        <w:tab/>
      </w:r>
      <w:r>
        <w:fldChar w:fldCharType="begin"/>
      </w:r>
      <w:r>
        <w:instrText xml:space="preserve"> PAGEREF _Toc18589 </w:instrText>
      </w:r>
      <w:r>
        <w:fldChar w:fldCharType="separate"/>
      </w:r>
      <w:r>
        <w:t>36</w:t>
      </w:r>
      <w:r>
        <w:fldChar w:fldCharType="end"/>
      </w: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numPr>
          <w:ilvl w:val="0"/>
          <w:numId w:val="1"/>
        </w:numPr>
        <w:spacing w:before="120" w:after="0" w:line="240" w:lineRule="auto"/>
        <w:rPr>
          <w:rFonts w:hint="eastAsia" w:asciiTheme="minorEastAsia" w:hAnsiTheme="minorEastAsia" w:eastAsiaTheme="minorEastAsia" w:cstheme="minorEastAsia"/>
          <w:b/>
          <w:bCs/>
          <w:kern w:val="0"/>
          <w:sz w:val="30"/>
          <w:szCs w:val="30"/>
        </w:rPr>
      </w:pPr>
      <w:bookmarkStart w:id="0" w:name="_Toc32272"/>
      <w:r>
        <w:rPr>
          <w:rFonts w:hint="eastAsia"/>
        </w:rPr>
        <w:t>国际原油市场回顾 </w:t>
      </w:r>
      <w:bookmarkEnd w:id="0"/>
    </w:p>
    <w:p>
      <w:pPr>
        <w:pStyle w:val="3"/>
        <w:spacing w:before="120" w:after="120" w:line="240" w:lineRule="auto"/>
        <w:rPr>
          <w:rFonts w:hint="eastAsia" w:ascii="宋体" w:hAnsi="宋体"/>
          <w:b/>
          <w:sz w:val="30"/>
          <w:szCs w:val="30"/>
          <w:highlight w:val="none"/>
          <w:lang w:val="en-US" w:eastAsia="zh-CN"/>
        </w:rPr>
      </w:pPr>
      <w:bookmarkStart w:id="1" w:name="_Toc66953452"/>
      <w:bookmarkStart w:id="2" w:name="_Toc6297"/>
      <w:r>
        <w:rPr>
          <w:rFonts w:hint="eastAsia" w:ascii="宋体" w:hAnsi="宋体"/>
          <w:b/>
          <w:sz w:val="30"/>
          <w:szCs w:val="30"/>
          <w:highlight w:val="none"/>
          <w:lang w:val="en-US" w:eastAsia="zh-CN"/>
        </w:rPr>
        <w:t>1、</w:t>
      </w:r>
      <w:bookmarkEnd w:id="1"/>
      <w:bookmarkStart w:id="3" w:name="_Toc67556952"/>
      <w:r>
        <w:rPr>
          <w:rFonts w:hint="eastAsia" w:ascii="宋体" w:hAnsi="宋体"/>
          <w:b/>
          <w:sz w:val="30"/>
          <w:szCs w:val="30"/>
          <w:highlight w:val="none"/>
          <w:lang w:val="en-US" w:eastAsia="zh-CN"/>
        </w:rPr>
        <w:t>国际原油收盘价涨跌情况（单位：美元/桶）</w:t>
      </w:r>
      <w:bookmarkEnd w:id="2"/>
      <w:bookmarkEnd w:id="3"/>
    </w:p>
    <w:tbl>
      <w:tblPr>
        <w:tblStyle w:val="24"/>
        <w:tblW w:w="8662" w:type="dxa"/>
        <w:tblInd w:w="0" w:type="dxa"/>
        <w:tblLayout w:type="fixed"/>
        <w:tblCellMar>
          <w:top w:w="15" w:type="dxa"/>
          <w:left w:w="15" w:type="dxa"/>
          <w:bottom w:w="15" w:type="dxa"/>
          <w:right w:w="15" w:type="dxa"/>
        </w:tblCellMar>
      </w:tblPr>
      <w:tblGrid>
        <w:gridCol w:w="1291"/>
        <w:gridCol w:w="957"/>
        <w:gridCol w:w="945"/>
        <w:gridCol w:w="5469"/>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00B0F0"/>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日期</w:t>
            </w:r>
          </w:p>
        </w:tc>
        <w:tc>
          <w:tcPr>
            <w:tcW w:w="957" w:type="dxa"/>
            <w:tcBorders>
              <w:top w:val="single" w:color="000000" w:sz="4" w:space="0"/>
              <w:left w:val="single" w:color="000000" w:sz="4" w:space="0"/>
              <w:bottom w:val="single" w:color="000000" w:sz="4" w:space="0"/>
              <w:right w:val="single" w:color="000000" w:sz="4" w:space="0"/>
            </w:tcBorders>
            <w:shd w:val="clear" w:color="auto" w:fill="00B0F0"/>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纽交所</w:t>
            </w:r>
          </w:p>
        </w:tc>
        <w:tc>
          <w:tcPr>
            <w:tcW w:w="945" w:type="dxa"/>
            <w:tcBorders>
              <w:top w:val="single" w:color="000000" w:sz="4" w:space="0"/>
              <w:left w:val="single" w:color="000000" w:sz="4" w:space="0"/>
              <w:bottom w:val="single" w:color="000000" w:sz="4" w:space="0"/>
              <w:right w:val="single" w:color="000000" w:sz="4" w:space="0"/>
            </w:tcBorders>
            <w:shd w:val="clear" w:color="auto" w:fill="00B0F0"/>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伦交所</w:t>
            </w:r>
          </w:p>
        </w:tc>
        <w:tc>
          <w:tcPr>
            <w:tcW w:w="5469" w:type="dxa"/>
            <w:tcBorders>
              <w:top w:val="single" w:color="000000" w:sz="4" w:space="0"/>
              <w:left w:val="single" w:color="000000" w:sz="4" w:space="0"/>
              <w:bottom w:val="single" w:color="000000" w:sz="4" w:space="0"/>
              <w:right w:val="single" w:color="000000" w:sz="4" w:space="0"/>
            </w:tcBorders>
            <w:shd w:val="clear" w:color="auto" w:fill="00B0F0"/>
            <w:noWrap w:val="0"/>
            <w:vAlign w:val="center"/>
          </w:tcPr>
          <w:p>
            <w:pPr>
              <w:widowControl/>
              <w:jc w:val="center"/>
              <w:textAlignment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kern w:val="0"/>
                <w:sz w:val="28"/>
                <w:szCs w:val="28"/>
                <w:lang w:bidi="ar"/>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2021/3/25</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58.56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61.95</w:t>
            </w:r>
          </w:p>
        </w:tc>
        <w:tc>
          <w:tcPr>
            <w:tcW w:w="5469"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原油收盘大幅下跌。因欧洲新一轮疫情封锁措施令人担忧需求前景，以及美国原油库存连续几周增加利空油价，国际油价大跌。</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2021/3/26</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60.97</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64.57</w:t>
            </w:r>
          </w:p>
        </w:tc>
        <w:tc>
          <w:tcPr>
            <w:tcW w:w="5469"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原油收盘上涨。尽管市场对需求担忧加重但是受苏伊士运河交通堵塞以及沙特石油设施遇袭的影响，国际油价止跌上涨。</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2021/3/29</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61.56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64.98</w:t>
            </w:r>
          </w:p>
        </w:tc>
        <w:tc>
          <w:tcPr>
            <w:tcW w:w="5469"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原油收盘上涨。尽管受苏伊士运河交通堵塞影响市场情绪不稳定但是预期OPEC+主要产油国5月份将保持产量不变使得国际油价继续拉升。</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2021/3/30</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60.55</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64.14</w:t>
            </w:r>
          </w:p>
        </w:tc>
        <w:tc>
          <w:tcPr>
            <w:tcW w:w="5469"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原油收盘下跌。API数据称上周美原油库存增加390万桶，远超预期，并且沙特建议OPEC+下调需求预期，利空油价。</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2021/3/31</w:t>
            </w:r>
          </w:p>
        </w:tc>
        <w:tc>
          <w:tcPr>
            <w:tcW w:w="957"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59.16</w:t>
            </w:r>
          </w:p>
        </w:tc>
        <w:tc>
          <w:tcPr>
            <w:tcW w:w="945"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jc w:val="center"/>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63.54</w:t>
            </w:r>
          </w:p>
        </w:tc>
        <w:tc>
          <w:tcPr>
            <w:tcW w:w="5469"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color w:val="auto"/>
                <w:kern w:val="2"/>
                <w:sz w:val="28"/>
                <w:szCs w:val="28"/>
                <w:shd w:val="clear" w:color="auto" w:fill="FFFFFF"/>
              </w:rPr>
            </w:pPr>
            <w:r>
              <w:rPr>
                <w:rFonts w:hint="eastAsia" w:asciiTheme="minorEastAsia" w:hAnsiTheme="minorEastAsia" w:eastAsiaTheme="minorEastAsia" w:cstheme="minorEastAsia"/>
                <w:color w:val="auto"/>
                <w:kern w:val="2"/>
                <w:sz w:val="28"/>
                <w:szCs w:val="28"/>
                <w:shd w:val="clear" w:color="auto" w:fill="FFFFFF"/>
              </w:rPr>
              <w:t>原油收盘下跌。尽管美国EIA原油库存小幅减少，但OPEC+担忧需求复苏缓慢并下调2021年原油需求增长预估导致油价承压。</w:t>
            </w:r>
          </w:p>
        </w:tc>
      </w:tr>
    </w:tbl>
    <w:p>
      <w:pPr>
        <w:widowControl/>
        <w:wordWrap w:val="0"/>
        <w:spacing w:after="90" w:line="288" w:lineRule="auto"/>
        <w:ind w:left="238"/>
        <w:jc w:val="left"/>
        <w:rPr>
          <w:rFonts w:hint="eastAsia" w:asciiTheme="minorEastAsia" w:hAnsiTheme="minorEastAsia" w:eastAsiaTheme="minorEastAsia" w:cstheme="minorEastAsia"/>
          <w:b/>
          <w:kern w:val="0"/>
          <w:sz w:val="30"/>
          <w:szCs w:val="30"/>
        </w:rPr>
      </w:pPr>
    </w:p>
    <w:p>
      <w:pPr>
        <w:rPr>
          <w:rFonts w:hint="eastAsia" w:asciiTheme="minorEastAsia" w:hAnsiTheme="minorEastAsia" w:eastAsiaTheme="minorEastAsia" w:cstheme="minorEastAsia"/>
          <w:kern w:val="0"/>
          <w:szCs w:val="21"/>
        </w:rPr>
      </w:pPr>
    </w:p>
    <w:p>
      <w:pPr>
        <w:rPr>
          <w:rFonts w:hint="eastAsia" w:asciiTheme="minorEastAsia" w:hAnsiTheme="minorEastAsia" w:eastAsiaTheme="minorEastAsia" w:cstheme="minorEastAsia"/>
          <w:kern w:val="0"/>
          <w:szCs w:val="21"/>
        </w:rPr>
      </w:pPr>
    </w:p>
    <w:p>
      <w:pPr>
        <w:pStyle w:val="3"/>
        <w:spacing w:before="120" w:after="120" w:line="240" w:lineRule="auto"/>
        <w:rPr>
          <w:rFonts w:hint="eastAsia" w:ascii="宋体" w:hAnsi="宋体"/>
          <w:b/>
          <w:sz w:val="30"/>
          <w:szCs w:val="30"/>
          <w:highlight w:val="none"/>
          <w:lang w:val="en-US" w:eastAsia="zh-CN"/>
        </w:rPr>
      </w:pPr>
      <w:bookmarkStart w:id="4" w:name="_Toc5501"/>
      <w:bookmarkStart w:id="5" w:name="_Toc67556953"/>
      <w:r>
        <w:rPr>
          <w:rFonts w:hint="eastAsia" w:ascii="宋体" w:hAnsi="宋体"/>
          <w:b/>
          <w:sz w:val="30"/>
          <w:szCs w:val="30"/>
          <w:highlight w:val="none"/>
          <w:lang w:val="en-US" w:eastAsia="zh-CN"/>
        </w:rPr>
        <w:t>2.2021年国际原油价格走势图</w:t>
      </w:r>
      <w:bookmarkEnd w:id="4"/>
      <w:bookmarkEnd w:id="5"/>
    </w:p>
    <w:p>
      <w:pPr>
        <w:widowControl/>
        <w:wordWrap w:val="0"/>
        <w:spacing w:after="90" w:line="288" w:lineRule="auto"/>
        <w:jc w:val="left"/>
        <w:rPr>
          <w:rFonts w:hint="eastAsia" w:asciiTheme="minorEastAsia" w:hAnsiTheme="minorEastAsia" w:eastAsiaTheme="minorEastAsia" w:cstheme="minorEastAsia"/>
          <w:b/>
          <w:kern w:val="0"/>
          <w:sz w:val="30"/>
          <w:szCs w:val="30"/>
        </w:rPr>
      </w:pPr>
      <w:r>
        <w:rPr>
          <w:rFonts w:hint="eastAsia" w:asciiTheme="minorEastAsia" w:hAnsiTheme="minorEastAsia" w:eastAsiaTheme="minorEastAsia" w:cstheme="minorEastAsia"/>
          <w:b/>
          <w:color w:val="auto"/>
          <w:kern w:val="0"/>
          <w:sz w:val="30"/>
          <w:szCs w:val="30"/>
        </w:rPr>
        <w:drawing>
          <wp:inline distT="0" distB="0" distL="114300" distR="114300">
            <wp:extent cx="5124450" cy="3440430"/>
            <wp:effectExtent l="0" t="0" r="0" b="7620"/>
            <wp:docPr id="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pic:cNvPicPr>
                      <a:picLocks noChangeAspect="1"/>
                    </pic:cNvPicPr>
                  </pic:nvPicPr>
                  <pic:blipFill>
                    <a:blip r:embed="rId8"/>
                    <a:stretch>
                      <a:fillRect/>
                    </a:stretch>
                  </pic:blipFill>
                  <pic:spPr>
                    <a:xfrm>
                      <a:off x="0" y="0"/>
                      <a:ext cx="5124450" cy="3440430"/>
                    </a:xfrm>
                    <a:prstGeom prst="rect">
                      <a:avLst/>
                    </a:prstGeom>
                    <a:noFill/>
                    <a:ln>
                      <a:noFill/>
                    </a:ln>
                  </pic:spPr>
                </pic:pic>
              </a:graphicData>
            </a:graphic>
          </wp:inline>
        </w:drawing>
      </w:r>
    </w:p>
    <w:p>
      <w:pPr>
        <w:rPr>
          <w:rFonts w:hint="eastAsia" w:asciiTheme="minorEastAsia" w:hAnsiTheme="minorEastAsia" w:eastAsiaTheme="minorEastAsia" w:cstheme="minorEastAsia"/>
        </w:rPr>
      </w:pPr>
    </w:p>
    <w:p>
      <w:pPr>
        <w:pStyle w:val="3"/>
        <w:spacing w:before="120" w:after="120" w:line="240" w:lineRule="auto"/>
        <w:rPr>
          <w:rFonts w:hint="eastAsia" w:asciiTheme="minorEastAsia" w:hAnsiTheme="minorEastAsia" w:eastAsiaTheme="minorEastAsia" w:cstheme="minorEastAsia"/>
          <w:b/>
          <w:sz w:val="28"/>
          <w:szCs w:val="28"/>
        </w:rPr>
      </w:pPr>
      <w:bookmarkStart w:id="6" w:name="_Toc67556954"/>
      <w:bookmarkStart w:id="7" w:name="_Toc16647"/>
      <w:r>
        <w:rPr>
          <w:rFonts w:hint="eastAsia" w:ascii="宋体" w:hAnsi="宋体"/>
          <w:b/>
          <w:sz w:val="30"/>
          <w:szCs w:val="30"/>
          <w:highlight w:val="none"/>
          <w:lang w:val="en-US" w:eastAsia="zh-CN"/>
        </w:rPr>
        <w:t>2.1近期影响国际原油市场的主要因素</w:t>
      </w:r>
      <w:bookmarkEnd w:id="6"/>
      <w:bookmarkEnd w:id="7"/>
    </w:p>
    <w:p>
      <w:pPr>
        <w:pStyle w:val="3"/>
        <w:spacing w:before="120" w:after="120" w:line="240" w:lineRule="auto"/>
        <w:rPr>
          <w:rFonts w:hint="eastAsia" w:ascii="宋体" w:hAnsi="宋体"/>
          <w:b/>
          <w:sz w:val="30"/>
          <w:szCs w:val="30"/>
          <w:highlight w:val="none"/>
          <w:lang w:val="en-US" w:eastAsia="zh-CN"/>
        </w:rPr>
      </w:pPr>
      <w:bookmarkStart w:id="8" w:name="_Toc184"/>
      <w:bookmarkStart w:id="9" w:name="_Toc67556955"/>
      <w:r>
        <w:rPr>
          <w:rFonts w:hint="eastAsia" w:ascii="宋体" w:hAnsi="宋体"/>
          <w:b/>
          <w:sz w:val="30"/>
          <w:szCs w:val="30"/>
          <w:highlight w:val="none"/>
          <w:lang w:val="en-US" w:eastAsia="zh-CN"/>
        </w:rPr>
        <w:t>1.美国原油库存情况</w:t>
      </w:r>
      <w:bookmarkEnd w:id="8"/>
      <w:bookmarkEnd w:id="9"/>
      <w:r>
        <w:rPr>
          <w:rFonts w:hint="eastAsia" w:ascii="宋体" w:hAnsi="宋体"/>
          <w:b/>
          <w:sz w:val="30"/>
          <w:szCs w:val="30"/>
          <w:highlight w:val="none"/>
          <w:lang w:val="en-US" w:eastAsia="zh-CN"/>
        </w:rPr>
        <w:t xml:space="preserve"> </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bookmarkStart w:id="10" w:name="_Toc16360"/>
      <w:bookmarkStart w:id="11" w:name="_Toc67556956"/>
      <w:r>
        <w:rPr>
          <w:rFonts w:hint="eastAsia" w:ascii="宋体" w:hAnsi="宋体" w:eastAsia="宋体" w:cs="宋体"/>
          <w:color w:val="auto"/>
          <w:kern w:val="2"/>
          <w:sz w:val="28"/>
          <w:szCs w:val="28"/>
          <w:shd w:val="clear" w:color="auto" w:fill="FFFFFF"/>
        </w:rPr>
        <w:t>本周美国EIA公布的数据显示，截至3月19日当周美国除却战略储备的商业原油库存小幅超预期，精炼油库存超预期，汽油库存略低于预期。具体数据显示，美国截至3月19日当周EIA原油库存变动实际公布增加191.2万桶，预期增加270万桶，前值增加1379.8万桶。此外，美国截至3月19日当周EIA汽油库存实际公布增加20.4万桶，预期减少350万桶，前值减少1186.9万桶;美国截至3月19日当周EIA精炼油库存实际公布增加380.6万桶，预期减少260万桶，前值减少550.4万桶。EIA报告显示，美国库欣地区原油库存降幅创1月12日当周以来最大。美国石油协会(API)公布的数据显示，美国截至3月19日当周API原油库存增加292.7万桶，预期减少90.8万桶;汽油库存减少372.8万桶;精炼油库存增加24.6万桶。</w:t>
      </w:r>
    </w:p>
    <w:p>
      <w:pPr>
        <w:pStyle w:val="3"/>
        <w:spacing w:before="120" w:after="120" w:line="240" w:lineRule="auto"/>
        <w:rPr>
          <w:rFonts w:hint="eastAsia" w:ascii="宋体" w:hAnsi="宋体"/>
          <w:b/>
          <w:sz w:val="30"/>
          <w:szCs w:val="30"/>
          <w:highlight w:val="none"/>
          <w:lang w:val="en-US" w:eastAsia="zh-CN"/>
        </w:rPr>
      </w:pPr>
      <w:r>
        <w:rPr>
          <w:rFonts w:hint="eastAsia" w:ascii="宋体" w:hAnsi="宋体"/>
          <w:b/>
          <w:sz w:val="30"/>
          <w:szCs w:val="30"/>
          <w:highlight w:val="none"/>
          <w:lang w:val="en-US" w:eastAsia="zh-CN"/>
        </w:rPr>
        <w:t>2.美国经济形势</w:t>
      </w:r>
      <w:bookmarkEnd w:id="10"/>
      <w:bookmarkEnd w:id="11"/>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本周北京时间1日凌晨，美股周三收盘涨跌不一，科技股推动纳指上涨逾200点。投资者正评估拜登即将推出大规模基建计划及提高企业税等措施的影响。经济强劲反弹的迹象使三大股指均录得连续第四个季度上涨。</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道指跌85.41点，或0.26%，报32981.55点;纳指涨201.48点，或1.54%，报13246.87点;标普500指数涨14.34点，或0.36%，报3972.89点。</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今天是3月份和第一季度的最后一个交易日，经济强劲反弹的迹象使美股录得连续第四个季度上涨。</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在3月份，道指、标普、纳指分别上涨6.6%、4.2%和0.4%。整个一季度内，道指、标普及纳指分别上涨7.8%、5.8%和2.8%。</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美国总统拜登今天将发表有关巨额刺激计划的讲话，并宣布提高企业税率。受多家媒体公布基建法案细节影响，电动车、清洁能源和半导体概念股普遍走高。</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微软收高1.7%，该公司与美国陆军达成价值219亿美元、为期最长可达10年的增强现实(augmented-reality)设备合同。该项目名为集成视觉增强系统(IVAS)，旨在为美国地面部队开发一种“抬头显示器”，类似于战斗机飞行员在驾驶舱中使用的设备。该系统可以使指挥官将信息投射到士兵面前的投影板上，并且还可以包括夜视仪等其他功能。</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经济数据面，ADP就业机构报告称，美国3月份私营部门就业人数增加51.7万人，略低于市场预期。美国3月芝加哥PMI录得66.3，创2019年2月以来新高。</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拜登将公布4万亿美元基建计划 或宣布提高企业税</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据媒体报道，美国总统拜登的下一个经济复苏计划的总规模可能超过4万亿美元，将分为两个法案。</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拜登今日将阐述规模为2.25万亿美元的基建法案，并宣布对企业加税。第二份法案涉及儿童保育措施、医疗保健补贴等问题，将于4月公布。</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拜登周三公布的只是其长期经济计划的第一部分，第二轮措施将于4月中旬宣布将侧重于“帮助家庭应对医疗保健费用、育儿和教育等挑战。”</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美国政府表示，这将是1960年代太空计划和1950年代州际公路系统建设以来规模最大的基础设施建设计划。</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在这项为期八年由四部分组成的计划中，将有6200亿美元用于交通——包括将联邦公共交通资金提高一倍，6500亿美元用于家庭生活质量改善措施，例如洁净水和高速宽带，5800亿美元用于加强美国的制造业——其中大约1800亿美元用于有史以来最大的非国防研究与开发计划，还有4000亿美元用于改善老年人和失能人士的护理。</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白宫表示，增税将“在未来15年内完全支付该计划中的投资”。美国企业所得税率将由21%提高至28%。作为2017年税法的一部分，美国共和党将税率从35%下调至21%。</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白宫还打算提高跨国公司的全球最低税率，确保它们至少缴纳21%的税。在其他改革措施中，白宫还试图阻止公司将避税天堂列为自己的地址，并冲销与离岸业务相关的费用。</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预计拜登4万亿美元经济复苏计划的规模、涉及范围以及资金来源很有可能成为国会两党的下一个矛盾焦点。</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ADP数据显示美国企业3月份新增就业人数达到6个月最高</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3月份美国私营部门新增就业人数达到6个月最高，表明新冠疫苗接种加快和企业重新开业刺激了招聘。</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根据ADP Research Institute周三发布的数据，3月份私营部门就业人数增加51.7万人，2月份的数据修正为增长17.6万人。之前接受市场调查的经济学家对3月份数据的预测中值为增加55万人。</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数据表明劳动力市场正在出现积极增长。一段时间以来，劳动力市场从大流行病相关的封锁措施和健康担忧导致的下滑中反弹的速度都相当缓慢。各州一直在放宽对企业经营的限制，甚至有些州已经彻底解除限制，另外3月份的疫苗接种速度超过每天200万人，这些都有利于就业市场在未来几个月内进一步恢复。</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3月初美国总统拜登签署了一项1.9万亿美元的救济法案，其中包括为疫苗、小型企业提供资金，以及直接向家庭派发支票。预计该措施将有助于刺激支出，并激发消费者和企业的信心，进而有助于增加招聘。</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ADP报告早于周五的月度就业报告发布。预计周五的报告将显示3月非农就业人数增加65万，一些经济学家预计将增加100万，甚至更多。</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ADP数据公布后，据CME“美联储观察”：美联储4月维持利率在0%-0.25%区间的概率为99.4%，加息25个基点至0.25%-0.50%区间的概率为0.6%;6月维持利率在0%-0.25%区间的概率为95.5%，加息25个基点的概率为4.5%。</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美国证监会对Archegos爆仓事件展开调查</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据悉，美国证券交易委员会(SEC)已启动对Bill Hwang的初步调查，因其麾下对冲基金Archegos Capital Management的杠杆交易造成了近期的华尔街动荡。</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知情人士透露，SEC开始民事调查的几天前，Archegos Capital Management进行了一系列逆向下注，导致经纪商清算其头寸。这项调查尚处于初期阶段，由SEC执行部门的资产管理小组牵头。</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SEC在市场遭遇重大崩盘后进行调查是相当常规的操作。调查不一定会导致任何有关不当行为的指控。Hwang没有立即回复置评请求。SEC发言人拒绝置评。</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SEC一直在关注与Bill Hwang麾下基金公司相关的逾200亿美元持股被强制平仓的事件。受到影响的股票包括百度和ViacomCBS等。</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SEC一位发言人本周一曾表示，“自上周以来，我们一直在关注局势进展，并与市场参与者进行沟通。”</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其他市场</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纽约商品交易所5月交割的西德州中质原油(WTI)期货价格下跌1.39美元，跌幅2.3%，收于每桶59.16美元。</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伦敦洲际交易所5月交割的布伦特原油期货价格下跌60美分，跌幅0.9%，收于每桶63.54美元。目前最活跃的6月布伦特原油期货价格下跌1.43美元，跌幅2.2%，收于每桶62.74美元。</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按照最活跃合约计算，WTI原油期货在3月份下跌3.8%，第一季度上涨近22%。伦敦布伦特原油在3月份下跌3.9%，一季度上涨近23%。</w:t>
      </w:r>
    </w:p>
    <w:p>
      <w:pPr>
        <w:pStyle w:val="3"/>
        <w:spacing w:before="120" w:after="120" w:line="240" w:lineRule="auto"/>
        <w:rPr>
          <w:rFonts w:hint="eastAsia" w:ascii="宋体" w:hAnsi="宋体"/>
          <w:b/>
          <w:sz w:val="30"/>
          <w:szCs w:val="30"/>
          <w:highlight w:val="none"/>
          <w:lang w:val="en-US" w:eastAsia="zh-CN"/>
        </w:rPr>
      </w:pPr>
      <w:bookmarkStart w:id="12" w:name="_Toc67556957"/>
      <w:bookmarkStart w:id="13" w:name="_Toc30724"/>
      <w:r>
        <w:rPr>
          <w:rFonts w:hint="eastAsia" w:ascii="宋体" w:hAnsi="宋体"/>
          <w:b/>
          <w:sz w:val="30"/>
          <w:szCs w:val="30"/>
          <w:highlight w:val="none"/>
          <w:lang w:val="en-US" w:eastAsia="zh-CN"/>
        </w:rPr>
        <w:t>3.世界经济形势</w:t>
      </w:r>
      <w:bookmarkEnd w:id="12"/>
      <w:bookmarkEnd w:id="13"/>
    </w:p>
    <w:p>
      <w:pPr>
        <w:pStyle w:val="23"/>
        <w:spacing w:line="360" w:lineRule="auto"/>
        <w:ind w:firstLine="560" w:firstLineChars="200"/>
        <w:rPr>
          <w:rFonts w:hint="eastAsia" w:asciiTheme="minorEastAsia" w:hAnsiTheme="minorEastAsia" w:eastAsiaTheme="minorEastAsia" w:cstheme="minorEastAsia"/>
          <w:color w:val="auto"/>
          <w:sz w:val="28"/>
          <w:szCs w:val="28"/>
        </w:rPr>
      </w:pPr>
      <w:bookmarkStart w:id="14" w:name="_Toc23898"/>
      <w:r>
        <w:rPr>
          <w:rFonts w:hint="eastAsia" w:asciiTheme="minorEastAsia" w:hAnsiTheme="minorEastAsia" w:eastAsiaTheme="minorEastAsia" w:cstheme="minorEastAsia"/>
          <w:color w:val="auto"/>
          <w:sz w:val="28"/>
          <w:szCs w:val="28"/>
        </w:rPr>
        <w:t>3月30日—31日，由弘则研究主办的“2021年度策略会”在上海举行。与会专家就疫情下经济复苏与商品市场进行了展望。</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在过去一年，全球经济与商品市场最主要的驱动因素是新冠疫情，而在未来其影响也会持续存在，尤其是在各国政府防疫措施与财政支持力度，还有新冠疫苗接种进度不同的情况下，不同经济体间经济恢复速度并不均衡。”英国阿格斯全球首席分析师DavidFyfe表示，对于发达地区经济体而言，能够通过强力的财政支持政策推动经济更快速地复苏，但是欠发达国家及地区由于财政支持力度不足，经济复苏将更加缓慢。</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从疫情对经济结构的影响来看，弘则研究首席经济学家苏畅表示，疫情下的封锁举措带来了巨大的非对称冲击，尤其是服务业损失惨重。为了应对冲击，美国通过直接发钱刺激消费，而中国通过拉动投资对冲经济增长的下滑。这些举措带来了十分明显的效果，在后疫情时期经济恢复过程中，实物部门恢复得十分迅速且出现过热现象，而服务部门则恢复缓慢，依旧处于冰点状态。因此，当前的核心在于政府如何制定实物过热与服务过冷之间的平衡政策。</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DavidFyfe认为，大宗商品超级周期的论断为时过早，他不认为全球范围内通胀会出现失控。虽然在经济恢复过程中商品价格有所回升，但是疫情后很多地区的失业率依旧居高不下，政府正在通过多种手段进行干预。对于2021年全球经济的恢复预期，他持谨慎乐观态度，中美作为领头羊将继续带动全球经济复苏，但是也不能忽视疫苗推进受阻、过早实施紧缩政策等风险。</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在通胀水平方面，美国大宗商品资产管理公司联合创始人NatePolachek表示，2008年金融危机后美国通胀水平呈现从低点缓慢恢复的过程，这在2020年新冠期间也有所体现，他认为2.25%是比较合理的通胀水平;从美债收益率水平来看，因为美联储不会轻易干涉债券市场，预计未来三个月及一年的十年期美债收益率水平目标分别为1.7%与2.1%。</w:t>
      </w:r>
    </w:p>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看向大宗商品方面，DavidFyfe表示，疫情下全球交通运输业尤其是航空业遭受的损失巨大，这也导致原油市场需求遭遇了巨大打击，预计在2023—2024年才能完全恢复;在铜金属方面，NatePolachek认为，新能源、绿色经济的发展会持续拉动铜需;在镍价方面，他表示由于中国最大的镍生产商在印尼的投资未来会带来较大的供应增长，预计在未来3个月内镍价将下跌至15500美元/吨，但一年内会回升到17000美元/吨;在锌方面，弘则研究分析师李灵表示，内蒙古能耗“双控”对供应的影响还未完全显现，由于供需都未出现超预期情况，锌价维持振荡等待指引，预计供应端指引比消费端更快出现。</w:t>
      </w:r>
    </w:p>
    <w:p>
      <w:pPr>
        <w:pStyle w:val="3"/>
        <w:spacing w:before="120" w:after="120" w:line="240" w:lineRule="auto"/>
        <w:rPr>
          <w:rFonts w:hint="eastAsia" w:ascii="宋体" w:hAnsi="宋体"/>
          <w:b/>
          <w:sz w:val="30"/>
          <w:szCs w:val="30"/>
          <w:highlight w:val="none"/>
          <w:lang w:val="en-US" w:eastAsia="zh-CN"/>
        </w:rPr>
      </w:pPr>
      <w:r>
        <w:rPr>
          <w:rFonts w:hint="eastAsia" w:ascii="宋体" w:hAnsi="宋体"/>
          <w:b/>
          <w:sz w:val="30"/>
          <w:szCs w:val="30"/>
          <w:highlight w:val="none"/>
          <w:lang w:val="en-US" w:eastAsia="zh-CN"/>
        </w:rPr>
        <w:t>4后市预测</w:t>
      </w:r>
      <w:bookmarkEnd w:id="14"/>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本周美国WTI原油原油价格在58.56-61.56美元/桶。布伦特原油价格在61.95-64.98美元/桶震荡。周内国际油价震荡不稳。周三原油下跌约2%，因EIA数据降幅不及预期，欧洲的新一轮封锁引发了人们对燃料消费的担忧，以及OPEC+在政策会议召开前对需求前景持悲观看法。美国WTI原油5月期货收跌1.39美元，跌幅2.29%，报59.16美元/桶;布伦特5月原油期货到期交割日收跌60美分，跌幅0.93%，报63.54美元/桶;布伦特6月原油期货收跌1.43美元，跌幅2.23%，报62.74美元/桶。基本面利好因素：美国3月ADP就业人数增加51.7万人，增幅创2020年9月来最高，此前预期为增加55万人。其中，制造业就业人数增加4.9万人，贸易/运输/公用事业就业人数增加9.2万人，建筑业就业人数增加3.2万人。ADP首席经济学家NelaRichardson称，3月份的劳动力市场数据有明显改善，报告显示这是自2020年9月以来最强劲的增长。服务行业的就业增长明显超过了最近的月度平均水平，其中休闲和酒店行业的就业增长最为显著。基本面利空因素：1.香港时间周三晚22:30，美国能源信息署(EIA)发布的最新报告，截至3月26日当周，原油库存下降87.60万桶至5.018亿桶，降幅不及预期的150万桶，前值增加191.20万桶;精炼油库存大增254.20万桶，远超预期的增加50万桶;上周进口原油614.5万桶/日，较前一周增加52.3万桶/日;美国国内原油产量增加10万桶至1110万桶/日，为2020年12月4日当周以来最高。2.国际货币基金组织(IMF)警告称，世界经济可能被新冠疫情破坏，决策者们应采取措施减轻伤害。IMF称，尽管疫情对经济的冲击可能不及2008年金融危机，但那些依赖旅游业或服务业的经体可能受创最重。相比发达国家，新兴经济体和发展中经济体推出的刺激措施规模较小，所以痛苦期可能也更长。3.欧洲疫情仍然相当严峻。欧洲最大石油消费国——德国已将封锁期延长至4月18日，以遏制第三波新冠疫情。意大利大部分地区，包括首都罗马和金融中心米兰，都对商业和活动进行了限制。奥地利、挪威和瑞士也收紧了封锁措施。另外，美国新增新冠肺炎确诊病例再度出现反弹趋势，7天内日均单日新增确诊病例增加明显。周一，美国疾控中心主任沃伦斯基表示，目前美国疫情形势，让人有一种“末日即将来临”的感觉。</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预测下周WTI油价将触及57-62美元/桶，布油在之后几个月触及60-65美元/桶。</w:t>
      </w:r>
    </w:p>
    <w:p>
      <w:pPr>
        <w:pStyle w:val="3"/>
        <w:spacing w:before="120" w:after="120" w:line="240" w:lineRule="auto"/>
        <w:rPr>
          <w:rFonts w:hint="eastAsia" w:ascii="宋体" w:hAnsi="宋体"/>
          <w:b/>
          <w:sz w:val="30"/>
          <w:szCs w:val="30"/>
          <w:highlight w:val="none"/>
          <w:lang w:val="en-US" w:eastAsia="zh-CN"/>
        </w:rPr>
      </w:pPr>
      <w:bookmarkStart w:id="15" w:name="_Toc30787"/>
      <w:r>
        <w:rPr>
          <w:rFonts w:hint="eastAsia" w:ascii="宋体" w:hAnsi="宋体"/>
          <w:b/>
          <w:sz w:val="30"/>
          <w:szCs w:val="30"/>
          <w:highlight w:val="none"/>
        </w:rPr>
        <w:t>2.2国际市场MTBE价格</w:t>
      </w:r>
      <w:bookmarkEnd w:id="15"/>
      <w:r>
        <w:rPr>
          <w:rFonts w:hint="eastAsia" w:ascii="宋体" w:hAnsi="宋体"/>
          <w:b/>
          <w:sz w:val="30"/>
          <w:szCs w:val="30"/>
          <w:highlight w:val="none"/>
          <w:lang w:val="en-US" w:eastAsia="zh-CN"/>
        </w:rPr>
        <w:t xml:space="preserve"> </w:t>
      </w:r>
    </w:p>
    <w:p>
      <w:pPr>
        <w:rPr>
          <w:rFonts w:hint="eastAsia"/>
        </w:rPr>
      </w:pPr>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3月31日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727.00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207.65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697.50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3月30日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728.00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211.22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695.75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3月29日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702.00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211.84 </w:t>
            </w:r>
          </w:p>
        </w:tc>
        <w:tc>
          <w:tcPr>
            <w:tcW w:w="18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691.75 </w:t>
            </w:r>
          </w:p>
        </w:tc>
      </w:tr>
      <w:tr>
        <w:tblPrEx>
          <w:tblCellMar>
            <w:top w:w="0" w:type="dxa"/>
            <w:left w:w="0" w:type="dxa"/>
            <w:bottom w:w="0" w:type="dxa"/>
            <w:right w:w="0" w:type="dxa"/>
          </w:tblCellMar>
        </w:tblPrEx>
        <w:trPr>
          <w:trHeight w:val="360" w:hRule="atLeast"/>
        </w:trPr>
        <w:tc>
          <w:tcPr>
            <w:tcW w:w="1365"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3月26日</w:t>
            </w:r>
          </w:p>
        </w:tc>
        <w:tc>
          <w:tcPr>
            <w:tcW w:w="2085"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693.00 </w:t>
            </w:r>
          </w:p>
        </w:tc>
        <w:tc>
          <w:tcPr>
            <w:tcW w:w="1950"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208.73 </w:t>
            </w:r>
          </w:p>
        </w:tc>
        <w:tc>
          <w:tcPr>
            <w:tcW w:w="1830" w:type="dxa"/>
            <w:tcBorders>
              <w:top w:val="single" w:color="auto" w:sz="4" w:space="0"/>
              <w:left w:val="single" w:color="000000" w:sz="4" w:space="0"/>
              <w:bottom w:val="nil"/>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689.75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3月25日</w:t>
            </w:r>
          </w:p>
        </w:tc>
        <w:tc>
          <w:tcPr>
            <w:tcW w:w="208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695.00 </w:t>
            </w:r>
          </w:p>
        </w:tc>
        <w:tc>
          <w:tcPr>
            <w:tcW w:w="195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201.09 </w:t>
            </w:r>
          </w:p>
        </w:tc>
        <w:tc>
          <w:tcPr>
            <w:tcW w:w="183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669.50 </w:t>
            </w:r>
          </w:p>
        </w:tc>
      </w:tr>
    </w:tbl>
    <w:p>
      <w:pPr>
        <w:rPr>
          <w:rFonts w:hint="eastAsia"/>
          <w:lang w:eastAsia="zh-CN"/>
        </w:rPr>
      </w:pPr>
    </w:p>
    <w:p>
      <w:pPr>
        <w:pStyle w:val="2"/>
        <w:numPr>
          <w:ilvl w:val="0"/>
          <w:numId w:val="0"/>
        </w:numPr>
        <w:spacing w:before="120" w:after="0" w:line="240" w:lineRule="auto"/>
        <w:rPr>
          <w:rFonts w:hint="eastAsia"/>
          <w:b/>
        </w:rPr>
      </w:pPr>
      <w:bookmarkStart w:id="16" w:name="_Toc11000"/>
      <w:r>
        <w:rPr>
          <w:rFonts w:hint="eastAsia"/>
          <w:b/>
          <w:lang w:eastAsia="zh-CN"/>
        </w:rPr>
        <w:t>三、</w:t>
      </w:r>
      <w:r>
        <w:rPr>
          <w:rFonts w:hint="eastAsia"/>
          <w:b/>
        </w:rPr>
        <w:t>本周国内市场</w:t>
      </w:r>
      <w:bookmarkEnd w:id="16"/>
    </w:p>
    <w:p>
      <w:pPr>
        <w:numPr>
          <w:ilvl w:val="0"/>
          <w:numId w:val="0"/>
        </w:numPr>
      </w:pPr>
    </w:p>
    <w:p>
      <w:pPr>
        <w:pStyle w:val="3"/>
        <w:spacing w:before="120" w:after="120" w:line="240" w:lineRule="auto"/>
        <w:rPr>
          <w:rFonts w:hint="eastAsia" w:ascii="宋体" w:hAnsi="宋体"/>
          <w:b/>
          <w:sz w:val="30"/>
          <w:szCs w:val="30"/>
          <w:highlight w:val="none"/>
        </w:rPr>
      </w:pPr>
      <w:bookmarkStart w:id="17" w:name="_Toc7167"/>
      <w:r>
        <w:rPr>
          <w:rFonts w:hint="eastAsia" w:ascii="宋体" w:hAnsi="宋体"/>
          <w:b/>
          <w:sz w:val="30"/>
          <w:szCs w:val="30"/>
          <w:highlight w:val="none"/>
        </w:rPr>
        <w:t>3.1 国内炼厂装置运行情况</w:t>
      </w:r>
      <w:bookmarkEnd w:id="17"/>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10306" w:type="dxa"/>
        <w:tblInd w:w="-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92"/>
        <w:gridCol w:w="1092"/>
        <w:gridCol w:w="1093"/>
        <w:gridCol w:w="1229"/>
        <w:gridCol w:w="2414"/>
        <w:gridCol w:w="1730"/>
        <w:gridCol w:w="16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7" w:hRule="atLeast"/>
        </w:trPr>
        <w:tc>
          <w:tcPr>
            <w:tcW w:w="10306" w:type="dxa"/>
            <w:gridSpan w:val="7"/>
            <w:tcBorders>
              <w:top w:val="single" w:color="auto" w:sz="6" w:space="0"/>
              <w:left w:val="single" w:color="auto" w:sz="6" w:space="0"/>
              <w:bottom w:val="single" w:color="auto" w:sz="6" w:space="0"/>
              <w:right w:val="single" w:color="auto"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b/>
                <w:i w:val="0"/>
                <w:color w:val="000000"/>
                <w:kern w:val="0"/>
                <w:sz w:val="24"/>
                <w:szCs w:val="24"/>
                <w:u w:val="none"/>
                <w:lang w:val="en-US" w:eastAsia="zh-CN" w:bidi="ar"/>
              </w:rPr>
              <w:t>中石化旗下炼厂检修计划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92" w:type="dxa"/>
            <w:tcBorders>
              <w:top w:val="nil"/>
              <w:left w:val="single" w:color="auto" w:sz="6" w:space="0"/>
              <w:bottom w:val="single" w:color="auto" w:sz="6" w:space="0"/>
              <w:right w:val="single" w:color="auto"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rPr>
            </w:pPr>
            <w:r>
              <w:rPr>
                <w:rFonts w:hint="eastAsia" w:ascii="宋体" w:hAnsi="宋体" w:eastAsia="宋体" w:cs="宋体"/>
                <w:b/>
                <w:i w:val="0"/>
                <w:color w:val="000000"/>
                <w:kern w:val="0"/>
                <w:sz w:val="20"/>
                <w:szCs w:val="20"/>
                <w:u w:val="none"/>
                <w:lang w:val="en-US" w:eastAsia="zh-CN" w:bidi="ar"/>
              </w:rPr>
              <w:t>炼厂名称</w:t>
            </w:r>
          </w:p>
        </w:tc>
        <w:tc>
          <w:tcPr>
            <w:tcW w:w="1092" w:type="dxa"/>
            <w:tcBorders>
              <w:top w:val="nil"/>
              <w:left w:val="nil"/>
              <w:bottom w:val="single" w:color="auto" w:sz="6" w:space="0"/>
              <w:right w:val="single" w:color="auto"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rPr>
            </w:pPr>
            <w:r>
              <w:rPr>
                <w:rFonts w:hint="eastAsia" w:ascii="宋体" w:hAnsi="宋体" w:eastAsia="宋体" w:cs="宋体"/>
                <w:b/>
                <w:i w:val="0"/>
                <w:color w:val="000000"/>
                <w:kern w:val="0"/>
                <w:sz w:val="20"/>
                <w:szCs w:val="20"/>
                <w:u w:val="none"/>
                <w:lang w:val="en-US" w:eastAsia="zh-CN" w:bidi="ar"/>
              </w:rPr>
              <w:t>所在地</w:t>
            </w:r>
          </w:p>
        </w:tc>
        <w:tc>
          <w:tcPr>
            <w:tcW w:w="1093" w:type="dxa"/>
            <w:tcBorders>
              <w:top w:val="nil"/>
              <w:left w:val="nil"/>
              <w:bottom w:val="single" w:color="auto" w:sz="6" w:space="0"/>
              <w:right w:val="single" w:color="auto"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rPr>
            </w:pPr>
            <w:r>
              <w:rPr>
                <w:rFonts w:hint="eastAsia" w:ascii="宋体" w:hAnsi="宋体" w:eastAsia="宋体" w:cs="宋体"/>
                <w:b/>
                <w:i w:val="0"/>
                <w:color w:val="000000"/>
                <w:kern w:val="0"/>
                <w:sz w:val="20"/>
                <w:szCs w:val="20"/>
                <w:u w:val="none"/>
                <w:lang w:val="en-US" w:eastAsia="zh-CN" w:bidi="ar"/>
              </w:rPr>
              <w:t>加工能力</w:t>
            </w:r>
          </w:p>
        </w:tc>
        <w:tc>
          <w:tcPr>
            <w:tcW w:w="1229" w:type="dxa"/>
            <w:tcBorders>
              <w:top w:val="nil"/>
              <w:left w:val="nil"/>
              <w:bottom w:val="single" w:color="auto" w:sz="6" w:space="0"/>
              <w:right w:val="single" w:color="auto"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rPr>
            </w:pPr>
            <w:r>
              <w:rPr>
                <w:rFonts w:hint="eastAsia" w:ascii="宋体" w:hAnsi="宋体" w:eastAsia="宋体" w:cs="宋体"/>
                <w:b/>
                <w:i w:val="0"/>
                <w:color w:val="000000"/>
                <w:kern w:val="0"/>
                <w:sz w:val="20"/>
                <w:szCs w:val="20"/>
                <w:u w:val="none"/>
                <w:lang w:val="en-US" w:eastAsia="zh-CN" w:bidi="ar"/>
              </w:rPr>
              <w:t>检修装置</w:t>
            </w:r>
          </w:p>
        </w:tc>
        <w:tc>
          <w:tcPr>
            <w:tcW w:w="2414" w:type="dxa"/>
            <w:tcBorders>
              <w:top w:val="nil"/>
              <w:left w:val="nil"/>
              <w:bottom w:val="single" w:color="auto" w:sz="6" w:space="0"/>
              <w:right w:val="single" w:color="auto"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rPr>
            </w:pPr>
            <w:r>
              <w:rPr>
                <w:rFonts w:hint="eastAsia" w:ascii="宋体" w:hAnsi="宋体" w:eastAsia="宋体" w:cs="宋体"/>
                <w:b/>
                <w:i w:val="0"/>
                <w:color w:val="000000"/>
                <w:kern w:val="0"/>
                <w:sz w:val="20"/>
                <w:szCs w:val="20"/>
                <w:u w:val="none"/>
                <w:lang w:val="en-US" w:eastAsia="zh-CN" w:bidi="ar"/>
              </w:rPr>
              <w:t>检修产能（单位：万吨）</w:t>
            </w:r>
          </w:p>
        </w:tc>
        <w:tc>
          <w:tcPr>
            <w:tcW w:w="1730" w:type="dxa"/>
            <w:tcBorders>
              <w:top w:val="nil"/>
              <w:left w:val="nil"/>
              <w:bottom w:val="single" w:color="auto" w:sz="6" w:space="0"/>
              <w:right w:val="single" w:color="auto"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rPr>
            </w:pPr>
            <w:r>
              <w:rPr>
                <w:rFonts w:hint="eastAsia" w:ascii="宋体" w:hAnsi="宋体" w:eastAsia="宋体" w:cs="宋体"/>
                <w:b/>
                <w:i w:val="0"/>
                <w:color w:val="000000"/>
                <w:kern w:val="0"/>
                <w:sz w:val="20"/>
                <w:szCs w:val="20"/>
                <w:u w:val="none"/>
                <w:lang w:val="en-US" w:eastAsia="zh-CN" w:bidi="ar"/>
              </w:rPr>
              <w:t>起始时间</w:t>
            </w:r>
          </w:p>
        </w:tc>
        <w:tc>
          <w:tcPr>
            <w:tcW w:w="1656" w:type="dxa"/>
            <w:tcBorders>
              <w:top w:val="nil"/>
              <w:left w:val="nil"/>
              <w:bottom w:val="single" w:color="auto" w:sz="6" w:space="0"/>
              <w:right w:val="single" w:color="auto" w:sz="6" w:space="0"/>
            </w:tcBorders>
            <w:shd w:val="clear" w:color="auto" w:fill="00B0F0"/>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0"/>
                <w:szCs w:val="20"/>
              </w:rPr>
            </w:pPr>
            <w:r>
              <w:rPr>
                <w:rFonts w:hint="eastAsia" w:ascii="宋体" w:hAnsi="宋体" w:eastAsia="宋体" w:cs="宋体"/>
                <w:b/>
                <w:i w:val="0"/>
                <w:color w:val="000000"/>
                <w:kern w:val="0"/>
                <w:sz w:val="20"/>
                <w:szCs w:val="20"/>
                <w:u w:val="none"/>
                <w:lang w:val="en-US" w:eastAsia="zh-CN" w:bidi="ar"/>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济南炼化</w:t>
            </w:r>
          </w:p>
        </w:tc>
        <w:tc>
          <w:tcPr>
            <w:tcW w:w="1092"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山东</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800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800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2021/2/19</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金陵石化</w:t>
            </w:r>
          </w:p>
        </w:tc>
        <w:tc>
          <w:tcPr>
            <w:tcW w:w="1092"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江苏</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1800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2#常减压</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2021/3/20</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燕山石化</w:t>
            </w:r>
          </w:p>
        </w:tc>
        <w:tc>
          <w:tcPr>
            <w:tcW w:w="1092"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北京</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1350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4#常减压</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1000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2020/3/31</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长岭石化</w:t>
            </w:r>
          </w:p>
        </w:tc>
        <w:tc>
          <w:tcPr>
            <w:tcW w:w="1092"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湖南</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1150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1150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2021/2/20</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000000"/>
                <w:spacing w:val="0"/>
                <w:sz w:val="20"/>
                <w:szCs w:val="20"/>
                <w:lang w:eastAsia="zh-CN"/>
              </w:rPr>
            </w:pPr>
            <w:r>
              <w:rPr>
                <w:rFonts w:hint="eastAsia" w:ascii="宋体" w:hAnsi="宋体" w:eastAsia="宋体" w:cs="宋体"/>
                <w:i w:val="0"/>
                <w:color w:val="000000"/>
                <w:kern w:val="0"/>
                <w:sz w:val="20"/>
                <w:szCs w:val="20"/>
                <w:u w:val="none"/>
                <w:lang w:val="en-US" w:eastAsia="zh-CN" w:bidi="ar"/>
              </w:rPr>
              <w:t>上海石化</w:t>
            </w:r>
          </w:p>
        </w:tc>
        <w:tc>
          <w:tcPr>
            <w:tcW w:w="1092"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000000"/>
                <w:spacing w:val="0"/>
                <w:sz w:val="20"/>
                <w:szCs w:val="20"/>
                <w:lang w:eastAsia="zh-CN"/>
              </w:rPr>
            </w:pPr>
            <w:r>
              <w:rPr>
                <w:rFonts w:hint="eastAsia" w:ascii="宋体" w:hAnsi="宋体" w:eastAsia="宋体" w:cs="宋体"/>
                <w:i w:val="0"/>
                <w:color w:val="000000"/>
                <w:kern w:val="0"/>
                <w:sz w:val="20"/>
                <w:szCs w:val="20"/>
                <w:u w:val="none"/>
                <w:lang w:val="en-US" w:eastAsia="zh-CN" w:bidi="ar"/>
              </w:rPr>
              <w:t>上海</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000000"/>
                <w:spacing w:val="0"/>
                <w:sz w:val="20"/>
                <w:szCs w:val="20"/>
                <w:lang w:val="en-US" w:eastAsia="zh-CN"/>
              </w:rPr>
            </w:pPr>
            <w:r>
              <w:rPr>
                <w:rFonts w:hint="eastAsia" w:ascii="宋体" w:hAnsi="宋体" w:eastAsia="宋体" w:cs="宋体"/>
                <w:i w:val="0"/>
                <w:color w:val="000000"/>
                <w:kern w:val="0"/>
                <w:sz w:val="20"/>
                <w:szCs w:val="20"/>
                <w:u w:val="none"/>
                <w:lang w:val="en-US" w:eastAsia="zh-CN" w:bidi="ar"/>
              </w:rPr>
              <w:t>1600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000000"/>
                <w:spacing w:val="0"/>
                <w:sz w:val="20"/>
                <w:szCs w:val="20"/>
                <w:lang w:eastAsia="zh-CN"/>
              </w:rP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000000"/>
                <w:spacing w:val="0"/>
                <w:sz w:val="20"/>
                <w:szCs w:val="20"/>
                <w:lang w:val="en-US" w:eastAsia="zh-CN"/>
              </w:rPr>
            </w:pPr>
            <w:r>
              <w:rPr>
                <w:rFonts w:hint="eastAsia" w:ascii="宋体" w:hAnsi="宋体" w:eastAsia="宋体" w:cs="宋体"/>
                <w:i w:val="0"/>
                <w:color w:val="000000"/>
                <w:kern w:val="0"/>
                <w:sz w:val="20"/>
                <w:szCs w:val="20"/>
                <w:u w:val="none"/>
                <w:lang w:val="en-US" w:eastAsia="zh-CN" w:bidi="ar"/>
              </w:rPr>
              <w:t>1600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000000"/>
                <w:spacing w:val="0"/>
                <w:sz w:val="20"/>
                <w:szCs w:val="20"/>
                <w:lang w:val="en-US" w:eastAsia="zh-CN"/>
              </w:rPr>
            </w:pPr>
            <w:r>
              <w:rPr>
                <w:rFonts w:hint="eastAsia" w:ascii="宋体" w:hAnsi="宋体" w:eastAsia="宋体" w:cs="宋体"/>
                <w:i w:val="0"/>
                <w:color w:val="000000"/>
                <w:kern w:val="0"/>
                <w:sz w:val="20"/>
                <w:szCs w:val="20"/>
                <w:u w:val="none"/>
                <w:lang w:val="en-US" w:eastAsia="zh-CN" w:bidi="ar"/>
              </w:rPr>
              <w:t>2021/4/14</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caps w:val="0"/>
                <w:color w:val="000000"/>
                <w:spacing w:val="0"/>
                <w:sz w:val="20"/>
                <w:szCs w:val="20"/>
              </w:rPr>
            </w:pPr>
            <w:r>
              <w:rPr>
                <w:rFonts w:hint="eastAsia" w:ascii="宋体" w:hAnsi="宋体" w:eastAsia="宋体" w:cs="宋体"/>
                <w:i w:val="0"/>
                <w:color w:val="000000"/>
                <w:kern w:val="0"/>
                <w:sz w:val="20"/>
                <w:szCs w:val="20"/>
                <w:u w:val="none"/>
                <w:lang w:val="en-US" w:eastAsia="zh-CN" w:bidi="ar"/>
              </w:rPr>
              <w:t>2021/6/8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九江石化</w:t>
            </w:r>
          </w:p>
        </w:tc>
        <w:tc>
          <w:tcPr>
            <w:tcW w:w="1092"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江西</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1000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1000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2021/4/1</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92"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沧州炼厂</w:t>
            </w:r>
          </w:p>
        </w:tc>
        <w:tc>
          <w:tcPr>
            <w:tcW w:w="1092"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河北</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350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2021/5/10</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2021/6/30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92"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扬子石化</w:t>
            </w:r>
          </w:p>
        </w:tc>
        <w:tc>
          <w:tcPr>
            <w:tcW w:w="1092"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江苏</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1450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1450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2021年5月</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92"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茂名石化</w:t>
            </w:r>
          </w:p>
        </w:tc>
        <w:tc>
          <w:tcPr>
            <w:tcW w:w="1092"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广东</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2000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5#常减压</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1000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2021/6/1</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92"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石家庄炼厂</w:t>
            </w:r>
          </w:p>
        </w:tc>
        <w:tc>
          <w:tcPr>
            <w:tcW w:w="1092"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河北</w:t>
            </w:r>
          </w:p>
        </w:tc>
        <w:tc>
          <w:tcPr>
            <w:tcW w:w="1093"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1000</w:t>
            </w:r>
          </w:p>
        </w:tc>
        <w:tc>
          <w:tcPr>
            <w:tcW w:w="1229"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1000</w:t>
            </w:r>
          </w:p>
        </w:tc>
        <w:tc>
          <w:tcPr>
            <w:tcW w:w="1730"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2021/8/28</w:t>
            </w:r>
          </w:p>
        </w:tc>
        <w:tc>
          <w:tcPr>
            <w:tcW w:w="1656"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2021/10/28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92"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齐鲁石化</w:t>
            </w:r>
          </w:p>
        </w:tc>
        <w:tc>
          <w:tcPr>
            <w:tcW w:w="1092"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山东</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1300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3#常减压</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2021/8/10</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2021/9/19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胜利油田</w:t>
            </w:r>
          </w:p>
        </w:tc>
        <w:tc>
          <w:tcPr>
            <w:tcW w:w="1092"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山东</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300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300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2021/8/1</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海南炼化</w:t>
            </w:r>
          </w:p>
        </w:tc>
        <w:tc>
          <w:tcPr>
            <w:tcW w:w="1092"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海南</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950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950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2021年11月</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2021年12月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306" w:type="dxa"/>
            <w:gridSpan w:val="7"/>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b/>
                <w:i w:val="0"/>
                <w:color w:val="000000"/>
                <w:kern w:val="0"/>
                <w:sz w:val="20"/>
                <w:szCs w:val="20"/>
                <w:u w:val="none"/>
                <w:lang w:val="en-US" w:eastAsia="zh-CN" w:bidi="ar"/>
              </w:rPr>
              <w:t>中石油旗下炼厂检修计划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炼厂名称</w:t>
            </w:r>
          </w:p>
        </w:tc>
        <w:tc>
          <w:tcPr>
            <w:tcW w:w="1092"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所在地</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加工能力</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检修装置</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检修产能（单位：万吨）</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起始时间</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92"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云南石化</w:t>
            </w:r>
          </w:p>
        </w:tc>
        <w:tc>
          <w:tcPr>
            <w:tcW w:w="1092"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云南</w:t>
            </w:r>
          </w:p>
        </w:tc>
        <w:tc>
          <w:tcPr>
            <w:tcW w:w="1093"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1300</w:t>
            </w:r>
          </w:p>
        </w:tc>
        <w:tc>
          <w:tcPr>
            <w:tcW w:w="1229"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1300</w:t>
            </w:r>
          </w:p>
        </w:tc>
        <w:tc>
          <w:tcPr>
            <w:tcW w:w="1730"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2020/12/5</w:t>
            </w:r>
          </w:p>
        </w:tc>
        <w:tc>
          <w:tcPr>
            <w:tcW w:w="1656"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pPr>
            <w:r>
              <w:rPr>
                <w:rFonts w:hint="eastAsia" w:ascii="宋体" w:hAnsi="宋体" w:eastAsia="宋体" w:cs="宋体"/>
                <w:i w:val="0"/>
                <w:color w:val="000000"/>
                <w:kern w:val="0"/>
                <w:sz w:val="20"/>
                <w:szCs w:val="20"/>
                <w:u w:val="none"/>
                <w:lang w:val="en-US" w:eastAsia="zh-CN" w:bidi="ar"/>
              </w:rPr>
              <w:t>2021/1/24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92" w:type="dxa"/>
            <w:tcBorders>
              <w:top w:val="nil"/>
              <w:left w:val="single" w:color="auto" w:sz="6" w:space="0"/>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抚顺石化</w:t>
            </w:r>
          </w:p>
        </w:tc>
        <w:tc>
          <w:tcPr>
            <w:tcW w:w="1092"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辽宁</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1150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1150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2021年5月</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吉林石化</w:t>
            </w:r>
          </w:p>
        </w:tc>
        <w:tc>
          <w:tcPr>
            <w:tcW w:w="1092"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吉林</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1000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1000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2021年6月</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2021年7月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92"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大港石化</w:t>
            </w:r>
          </w:p>
        </w:tc>
        <w:tc>
          <w:tcPr>
            <w:tcW w:w="1092"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天津</w:t>
            </w:r>
          </w:p>
        </w:tc>
        <w:tc>
          <w:tcPr>
            <w:tcW w:w="1093"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500</w:t>
            </w:r>
          </w:p>
        </w:tc>
        <w:tc>
          <w:tcPr>
            <w:tcW w:w="1229"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全厂检修</w:t>
            </w:r>
          </w:p>
        </w:tc>
        <w:tc>
          <w:tcPr>
            <w:tcW w:w="2414"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500</w:t>
            </w:r>
          </w:p>
        </w:tc>
        <w:tc>
          <w:tcPr>
            <w:tcW w:w="1730"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2021/4/12</w:t>
            </w:r>
          </w:p>
        </w:tc>
        <w:tc>
          <w:tcPr>
            <w:tcW w:w="1656" w:type="dxa"/>
            <w:tcBorders>
              <w:top w:val="nil"/>
              <w:left w:val="nil"/>
              <w:bottom w:val="single" w:color="auto" w:sz="6" w:space="0"/>
              <w:right w:val="single" w:color="auto" w:sz="6" w:space="0"/>
            </w:tcBorders>
            <w:shd w:val="clear" w:color="auto" w:fill="F9F9F9"/>
            <w:tcMar>
              <w:left w:w="105" w:type="dxa"/>
              <w:right w:w="10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sz w:val="20"/>
                <w:szCs w:val="20"/>
              </w:rPr>
            </w:pPr>
            <w:r>
              <w:rPr>
                <w:rFonts w:hint="eastAsia" w:ascii="宋体" w:hAnsi="宋体" w:eastAsia="宋体" w:cs="宋体"/>
                <w:i w:val="0"/>
                <w:color w:val="000000"/>
                <w:kern w:val="0"/>
                <w:sz w:val="20"/>
                <w:szCs w:val="20"/>
                <w:u w:val="none"/>
                <w:lang w:val="en-US" w:eastAsia="zh-CN" w:bidi="ar"/>
              </w:rPr>
              <w:t>2021/6/11</w:t>
            </w:r>
          </w:p>
        </w:tc>
      </w:tr>
    </w:tbl>
    <w:p>
      <w:pPr>
        <w:numPr>
          <w:ilvl w:val="0"/>
          <w:numId w:val="0"/>
        </w:numPr>
        <w:rPr>
          <w:rFonts w:hint="eastAsia" w:ascii="宋体" w:hAnsi="宋体"/>
          <w:sz w:val="28"/>
          <w:szCs w:val="28"/>
          <w:highlight w:val="none"/>
        </w:rPr>
      </w:pPr>
    </w:p>
    <w:p>
      <w:pPr>
        <w:numPr>
          <w:ilvl w:val="0"/>
          <w:numId w:val="2"/>
        </w:numPr>
        <w:rPr>
          <w:rFonts w:hint="eastAsia" w:ascii="宋体" w:hAnsi="宋体"/>
          <w:color w:val="auto"/>
          <w:sz w:val="28"/>
          <w:szCs w:val="28"/>
          <w:highlight w:val="none"/>
        </w:rPr>
      </w:pPr>
      <w:r>
        <w:rPr>
          <w:rFonts w:hint="eastAsia" w:ascii="宋体" w:hAnsi="宋体"/>
          <w:color w:val="auto"/>
          <w:sz w:val="28"/>
          <w:szCs w:val="28"/>
          <w:highlight w:val="none"/>
        </w:rPr>
        <w:t>国内地方炼厂装置检修情况</w:t>
      </w:r>
    </w:p>
    <w:tbl>
      <w:tblPr>
        <w:tblStyle w:val="24"/>
        <w:tblW w:w="9600" w:type="dxa"/>
        <w:tblInd w:w="0" w:type="dxa"/>
        <w:shd w:val="clear" w:color="auto" w:fill="auto"/>
        <w:tblLayout w:type="autofit"/>
        <w:tblCellMar>
          <w:top w:w="0" w:type="dxa"/>
          <w:left w:w="0" w:type="dxa"/>
          <w:bottom w:w="0" w:type="dxa"/>
          <w:right w:w="0" w:type="dxa"/>
        </w:tblCellMar>
      </w:tblPr>
      <w:tblGrid>
        <w:gridCol w:w="1080"/>
        <w:gridCol w:w="1080"/>
        <w:gridCol w:w="1080"/>
        <w:gridCol w:w="1725"/>
        <w:gridCol w:w="1290"/>
        <w:gridCol w:w="1710"/>
        <w:gridCol w:w="1635"/>
      </w:tblGrid>
      <w:tr>
        <w:tblPrEx>
          <w:shd w:val="clear" w:color="auto" w:fill="auto"/>
          <w:tblCellMar>
            <w:top w:w="0" w:type="dxa"/>
            <w:left w:w="0" w:type="dxa"/>
            <w:bottom w:w="0" w:type="dxa"/>
            <w:right w:w="0" w:type="dxa"/>
          </w:tblCellMar>
        </w:tblPrEx>
        <w:trPr>
          <w:trHeight w:val="472" w:hRule="atLeast"/>
        </w:trPr>
        <w:tc>
          <w:tcPr>
            <w:tcW w:w="9600" w:type="dxa"/>
            <w:gridSpan w:val="7"/>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地方炼厂装置检修计划表(单位：万吨)</w:t>
            </w:r>
          </w:p>
        </w:tc>
      </w:tr>
      <w:tr>
        <w:tblPrEx>
          <w:tblCellMar>
            <w:top w:w="0" w:type="dxa"/>
            <w:left w:w="0" w:type="dxa"/>
            <w:bottom w:w="0" w:type="dxa"/>
            <w:right w:w="0" w:type="dxa"/>
          </w:tblCellMar>
        </w:tblPrEx>
        <w:trPr>
          <w:trHeight w:val="270" w:hRule="atLeast"/>
        </w:trPr>
        <w:tc>
          <w:tcPr>
            <w:tcW w:w="1080"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区域</w:t>
            </w:r>
          </w:p>
        </w:tc>
        <w:tc>
          <w:tcPr>
            <w:tcW w:w="1080"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省市</w:t>
            </w:r>
          </w:p>
        </w:tc>
        <w:tc>
          <w:tcPr>
            <w:tcW w:w="1080"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炼厂名称</w:t>
            </w:r>
          </w:p>
        </w:tc>
        <w:tc>
          <w:tcPr>
            <w:tcW w:w="1725"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检修装置</w:t>
            </w:r>
          </w:p>
        </w:tc>
        <w:tc>
          <w:tcPr>
            <w:tcW w:w="1290"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产能</w:t>
            </w:r>
          </w:p>
        </w:tc>
        <w:tc>
          <w:tcPr>
            <w:tcW w:w="1710"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开工时间</w:t>
            </w:r>
          </w:p>
        </w:tc>
        <w:tc>
          <w:tcPr>
            <w:tcW w:w="1635"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停工时间</w:t>
            </w:r>
          </w:p>
        </w:tc>
      </w:tr>
      <w:tr>
        <w:tblPrEx>
          <w:tblCellMar>
            <w:top w:w="0" w:type="dxa"/>
            <w:left w:w="0" w:type="dxa"/>
            <w:bottom w:w="0" w:type="dxa"/>
            <w:right w:w="0" w:type="dxa"/>
          </w:tblCellMar>
        </w:tblPrEx>
        <w:trPr>
          <w:trHeight w:val="270" w:hRule="atLeast"/>
        </w:trPr>
        <w:tc>
          <w:tcPr>
            <w:tcW w:w="0" w:type="auto"/>
            <w:tcBorders>
              <w:top w:val="nil"/>
              <w:left w:val="single" w:color="000000" w:sz="8" w:space="0"/>
              <w:bottom w:val="nil"/>
              <w:right w:val="single" w:color="000000" w:sz="8"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东方华龙</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催化</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2021年3月23日</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2020年1月23日</w:t>
            </w:r>
          </w:p>
        </w:tc>
      </w:tr>
      <w:tr>
        <w:tblPrEx>
          <w:tblCellMar>
            <w:top w:w="0" w:type="dxa"/>
            <w:left w:w="0" w:type="dxa"/>
            <w:bottom w:w="0" w:type="dxa"/>
            <w:right w:w="0" w:type="dxa"/>
          </w:tblCellMar>
        </w:tblPrEx>
        <w:trPr>
          <w:trHeight w:val="270" w:hRule="atLeast"/>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山东</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淄博</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汇丰石化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轮检</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待定</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2021年3月中下旬</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滨州</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京博石化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常减压</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2021年3月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2021年2月20日</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正和石化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全厂</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430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2021年5月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2021年4月</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科力达石化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常减压</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2021年4月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2021年3月21日</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海科瑞林</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全厂</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2021年6月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2021年6月</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中海外能源</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全厂</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2021年4月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2021年4月</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华星石化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全厂</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2021年9月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2021年9月</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神驰石化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全厂</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260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2021年5月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2021年5月</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齐成石化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轮检</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2021年5月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2021年5月</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联合石化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全厂</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2021年7月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2021年7月</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利津炼化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全厂</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2021年5月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2021年5月</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滨州</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博兴永鑫</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常减压</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2021年5月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2021年4月</w:t>
            </w:r>
          </w:p>
        </w:tc>
      </w:tr>
      <w:tr>
        <w:tblPrEx>
          <w:tblCellMar>
            <w:top w:w="0" w:type="dxa"/>
            <w:left w:w="0" w:type="dxa"/>
            <w:bottom w:w="0" w:type="dxa"/>
            <w:right w:w="0"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海右石化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全厂</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2021年5月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2021年1月</w:t>
            </w:r>
          </w:p>
        </w:tc>
      </w:tr>
      <w:tr>
        <w:tblPrEx>
          <w:tblCellMar>
            <w:top w:w="0" w:type="dxa"/>
            <w:left w:w="0" w:type="dxa"/>
            <w:bottom w:w="0" w:type="dxa"/>
            <w:right w:w="0" w:type="dxa"/>
          </w:tblCellMar>
        </w:tblPrEx>
        <w:trPr>
          <w:trHeight w:val="30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亚通石化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延迟焦化、加氢</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推迟</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推迟</w:t>
            </w:r>
          </w:p>
        </w:tc>
      </w:tr>
      <w:tr>
        <w:tblPrEx>
          <w:tblCellMar>
            <w:top w:w="0" w:type="dxa"/>
            <w:left w:w="0" w:type="dxa"/>
            <w:bottom w:w="0" w:type="dxa"/>
            <w:right w:w="0" w:type="dxa"/>
          </w:tblCellMar>
        </w:tblPrEx>
        <w:trPr>
          <w:trHeight w:val="285"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滨州</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滨阳燃化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柴油加氢</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待定</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2020年7月</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滨州</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博兴永鑫</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延迟焦化</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待定</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2021年2月22日</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淄博</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金诚石化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新厂</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2021年3月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2021年3月</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东营</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垦利石化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小重整</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待定</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2019年4月27日</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恒源石化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焦化</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待定</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2021年3月中旬</w:t>
            </w:r>
          </w:p>
        </w:tc>
      </w:tr>
      <w:tr>
        <w:tblPrEx>
          <w:tblCellMar>
            <w:top w:w="0" w:type="dxa"/>
            <w:left w:w="0" w:type="dxa"/>
            <w:bottom w:w="0" w:type="dxa"/>
            <w:right w:w="0" w:type="dxa"/>
          </w:tblCellMar>
        </w:tblPrEx>
        <w:trPr>
          <w:trHeight w:val="27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西南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重庆</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龙海石化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全场检修</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2021年3月底</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2021年2月2日</w:t>
            </w:r>
          </w:p>
        </w:tc>
      </w:tr>
      <w:tr>
        <w:tblPrEx>
          <w:tblCellMar>
            <w:top w:w="0" w:type="dxa"/>
            <w:left w:w="0" w:type="dxa"/>
            <w:bottom w:w="0" w:type="dxa"/>
            <w:right w:w="0" w:type="dxa"/>
          </w:tblCellMar>
        </w:tblPrEx>
        <w:trPr>
          <w:trHeight w:val="270" w:hRule="atLeast"/>
        </w:trPr>
        <w:tc>
          <w:tcPr>
            <w:tcW w:w="1080" w:type="dxa"/>
            <w:vMerge w:val="restart"/>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东北</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辽宁缘泰</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常减压装置</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待定</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2021年2月2日</w:t>
            </w:r>
          </w:p>
        </w:tc>
      </w:tr>
      <w:tr>
        <w:tblPrEx>
          <w:tblCellMar>
            <w:top w:w="0" w:type="dxa"/>
            <w:left w:w="0" w:type="dxa"/>
            <w:bottom w:w="0" w:type="dxa"/>
            <w:right w:w="0" w:type="dxa"/>
          </w:tblCellMar>
        </w:tblPrEx>
        <w:trPr>
          <w:trHeight w:val="270" w:hRule="atLeast"/>
        </w:trPr>
        <w:tc>
          <w:tcPr>
            <w:tcW w:w="1080" w:type="dxa"/>
            <w:vMerge w:val="continue"/>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辽宁华锦</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全厂检修</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2021年7月</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2021年6月</w:t>
            </w:r>
          </w:p>
        </w:tc>
      </w:tr>
      <w:tr>
        <w:tblPrEx>
          <w:tblCellMar>
            <w:top w:w="0" w:type="dxa"/>
            <w:left w:w="0" w:type="dxa"/>
            <w:bottom w:w="0" w:type="dxa"/>
            <w:right w:w="0" w:type="dxa"/>
          </w:tblCellMar>
        </w:tblPrEx>
        <w:trPr>
          <w:trHeight w:val="270" w:hRule="atLeast"/>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华东</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江苏</w:t>
            </w:r>
          </w:p>
        </w:tc>
        <w:tc>
          <w:tcPr>
            <w:tcW w:w="10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新海石化</w:t>
            </w:r>
          </w:p>
        </w:tc>
        <w:tc>
          <w:tcPr>
            <w:tcW w:w="172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全厂检修</w:t>
            </w:r>
          </w:p>
        </w:tc>
        <w:tc>
          <w:tcPr>
            <w:tcW w:w="129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71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2021/5/10</w:t>
            </w:r>
          </w:p>
        </w:tc>
        <w:tc>
          <w:tcPr>
            <w:tcW w:w="163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2021/3/25</w:t>
            </w:r>
          </w:p>
        </w:tc>
      </w:tr>
    </w:tbl>
    <w:p>
      <w:pPr>
        <w:rPr>
          <w:rFonts w:hint="eastAsia"/>
        </w:rPr>
      </w:pPr>
    </w:p>
    <w:p>
      <w:pPr>
        <w:pStyle w:val="3"/>
        <w:spacing w:before="120" w:after="120" w:line="240" w:lineRule="auto"/>
        <w:rPr>
          <w:rFonts w:hint="eastAsia" w:ascii="宋体" w:hAnsi="宋体"/>
          <w:b/>
          <w:sz w:val="30"/>
          <w:szCs w:val="30"/>
          <w:highlight w:val="none"/>
        </w:rPr>
      </w:pPr>
      <w:bookmarkStart w:id="18" w:name="_Toc13096"/>
      <w:r>
        <w:rPr>
          <w:rFonts w:hint="eastAsia" w:ascii="宋体" w:hAnsi="宋体"/>
          <w:b/>
          <w:sz w:val="30"/>
          <w:szCs w:val="30"/>
          <w:highlight w:val="none"/>
        </w:rPr>
        <w:t>3.2本周成品油市场行情</w:t>
      </w:r>
      <w:bookmarkEnd w:id="18"/>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　本周(3月26日-4月1日)，国际原油期货震荡下跌，据创测算第一个工作日参考原油变化率为-0.83%，本轮零售价调整方向暂不明朗。年内零售价首次下调于31日兑现，国内成品油市场行情低迷下行，各地主营单位汽柴油价格承压下滑。与此同时，山东地炼成品油行情明显走低，各炼厂纷纷下调汽柴油价格，且成交保持100元/吨左右优惠。具体来看出货方面：区内油市看空情绪浓郁，中下游商家购进操作谨慎，市场交投气氛清淡。山东地炼汽柴油出货不畅，价格承压走低。</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本周(3月26日-4月1日)零售价兑现年内首次下调华中地区油市维持下行走势 具体分析如下，周内，国际油价宽幅震荡，整体走势依然偏弱，变化率负向发展，国内零售价最终兑现年内首跌，消息面利空油市。加之处于月度销售最后一个销售周期，本月主营出货情况普遍不佳，各单位积极赶量为主。汽柴油批发价格随之下行，部分单位高挂低卖，成交暗存较大商谈空间。不过下游入市采购意向持低，市场成交以刚需小单为主，整体购销气氛清淡。后市而言，短期原油走势或趋于温和，新一轮零售价不乏搁浅的可能。消息面或难寻有效指引。下周恰逢清明假期，汽柴油终端消耗均存向好预期。市场或仍有适度补货需求。预期短期内区内主营汽柴油价格或陷入横盘整理阶段，各单位根据自身情况灵活调整报价。业者按需采购，市场购销气氛或延续清淡。</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本周(3月26日-4月1日)，华东地区成品油行情震荡下行，消息面利空指引，业者补货心态谨慎，整体购销平平。具体来看，周内国际油价震荡下跌，原油变化率负向加深，零售价迎来开年首跌。区内各主营单位均下调汽柴油价格，累计跌幅100-200元/吨。与此同时，山东地炼汽柴油均价仍不断下行，令主营外采成本不断降低。月尾各主营销售任务多数以完成，销售意向不高，优惠政策收窄，而市场整体需求一般，下游商家受“买涨不买跌”影响，入市补货谨慎，故整体成交氛围清淡不已。后市而言，国际油价或震荡小涨，消息面或存有利好支撑，加之清明小长假来临，汽柴行情或呈汽强柴弱，故预计短期内华东地区成品油行情或汽涨柴跌。</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本周(3月26日-4月1日)，华南地区汽柴油市场延续震荡下行走势，交投气氛清淡难改。具体来看，本周国际原油市场走势跌宕起伏，收盘价格涨跌交替，消息面对国内油价指引作用有限，不过成品油下调预期不断增强，受此利空因素影响，市场看跌情绪浓厚，贸易商及终端企业采购热情低迷，主营单位表示出货情况清淡，实单成交价格多保持宽幅优惠空间，且临近月末，主营单位销售任务承压，多降价刺激成交为主。短期来看国际原油市场将维持窄幅盘整走势，新一轮成品油调价窗口呈现小幅下调预期，市场看跌情绪难以缓解，整体行情将维持弱势下行走势。</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本周(3月26日-4月1日)，下调预期作用市场华北地区行情稳中下行。分析来看，本周内原油走势宽幅波动，且调价预期维持宽幅下调，市场消息面支撑受限，主营单位在月底走量心态较重，商家报价稳中下行30-50元/吨左右，但下游入市心态不高，成交气氛整体清淡。临近周末，年内首次下调预期落实，区内主营报价稳中下行50-100元/吨，因受清明假期提振，商家走量心态依旧较重，实际成交政策灵活，下游小单刚需操作，成交气氛提升受限。后市而言，国际油价走势近期受到OPEC+延长减产的提振，短期内走势尚有支撑。而国内调价新一轮初始预期显示搁浅，市场观望气氛较重，主营单位在节前继续积极走量为主，预计近期区内油价走势以稳为主，个别单位窄幅波动。</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本周(3月26日-4月1日)，西南地区汽柴行情维持跌势，市场成交气氛平平。分析来看：周内国际原油期价震荡走跌，本周三成品油零售价迎来年内“首跌”，消息面指向偏空，市场观望气氛浓郁。与此同时，月底期间主营单位集中冲量，汽柴价格持续下滑，且优惠政策逐步放宽。不过，下游需求恢复缓慢，社会库存依旧充足。业者操作心态维持谨慎，消库之余零星补货，市场成交未见明显改善。就后市而言，国际油价或维持震荡上行，变化率有望转正，但消息面对市场支撑力度或有限。不过，进入新的销售周期，主营降价意愿不高，预计短线西南地区汽柴行情或趋于平稳。业者按需补货为主，市场成交难有提升。</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本周(3月26日-4月1日)，西北地炼汽柴行情下行，市场交投氛围维持平淡。分析来看：周内国际油价涨后回落，本周三成品油零售价下调兑现，且进入新一轮变化率仍负向开端，消息面利空难以消除，市场观望气氛浓厚。此外，近期销售公司出货不畅，汽柴价格均下调100元/吨。虽然随着天气转暖，工程基建开工多已恢复正常，柴油需求提升;而清明假期将至，私家车出行增多，汽油需求亦有支撑。但后市行情仍存不稳定因素，且业者前期备货量较大，近期消库存为主，市场成交难改平淡。就后市而言，国际油价或震荡小涨，变化率窄幅波动，消息面对市场指引有限。业者操作心态谨慎，市场成交难有提升。预计短线西北地炼汽柴行情偏弱势运行。</w:t>
      </w:r>
    </w:p>
    <w:p>
      <w:pPr>
        <w:pStyle w:val="23"/>
        <w:spacing w:line="360" w:lineRule="auto"/>
        <w:ind w:firstLine="560" w:firstLineChars="200"/>
        <w:rPr>
          <w:rFonts w:hint="eastAsia" w:ascii="宋体" w:hAnsi="宋体" w:eastAsia="宋体" w:cs="宋体"/>
          <w:color w:val="auto"/>
          <w:kern w:val="2"/>
          <w:sz w:val="28"/>
          <w:szCs w:val="28"/>
          <w:shd w:val="clear" w:color="auto" w:fill="FFFFFF"/>
        </w:rPr>
      </w:pPr>
      <w:r>
        <w:rPr>
          <w:rFonts w:hint="eastAsia" w:ascii="宋体" w:hAnsi="宋体" w:eastAsia="宋体" w:cs="宋体"/>
          <w:color w:val="auto"/>
          <w:kern w:val="2"/>
          <w:sz w:val="28"/>
          <w:szCs w:val="28"/>
          <w:shd w:val="clear" w:color="auto" w:fill="FFFFFF"/>
        </w:rPr>
        <w:t>后市前瞻：下周来看，国际油价将以OPEC+的减产决定运行，若OPEC+继续延续此前的减产额度，那么有助于油价的温和回暖。以WTI为例，预计下周的主流运行区间在58-63(均值60.5)美元/桶之间，环比上涨0.34美元/桶或0.56%。消息方面提振有限，与此同时下游用户按需购进为主，炼厂根据自身库存情况适度调整价格。预计下周山东地炼汽柴油价格稳中小跌。</w:t>
      </w:r>
    </w:p>
    <w:p>
      <w:pPr>
        <w:pStyle w:val="3"/>
        <w:spacing w:before="120" w:after="120" w:line="240" w:lineRule="auto"/>
        <w:rPr>
          <w:rFonts w:ascii="宋体" w:hAnsi="宋体"/>
          <w:b/>
          <w:sz w:val="30"/>
          <w:szCs w:val="30"/>
        </w:rPr>
      </w:pPr>
      <w:bookmarkStart w:id="19" w:name="_Toc24031"/>
      <w:bookmarkStart w:id="34" w:name="_GoBack"/>
      <w:bookmarkEnd w:id="34"/>
      <w:r>
        <w:rPr>
          <w:rFonts w:hint="eastAsia" w:ascii="宋体" w:hAnsi="宋体"/>
          <w:b/>
          <w:sz w:val="30"/>
          <w:szCs w:val="30"/>
        </w:rPr>
        <w:t>3.3 国内汽油价格周报</w:t>
      </w:r>
      <w:bookmarkEnd w:id="19"/>
    </w:p>
    <w:p>
      <w:pPr>
        <w:rPr>
          <w:rFonts w:hint="eastAsia"/>
        </w:rPr>
      </w:pPr>
      <w:r>
        <w:rPr>
          <w:rFonts w:hint="eastAsia"/>
        </w:rPr>
        <w:t>单位：元/吨</w:t>
      </w:r>
    </w:p>
    <w:p>
      <w:pPr>
        <w:rPr>
          <w:rFonts w:hint="eastAsia"/>
        </w:rPr>
      </w:pPr>
    </w:p>
    <w:p>
      <w:pPr>
        <w:rPr>
          <w:rFonts w:hint="eastAsia"/>
        </w:rPr>
      </w:pPr>
    </w:p>
    <w:tbl>
      <w:tblPr>
        <w:tblStyle w:val="24"/>
        <w:tblW w:w="9176" w:type="dxa"/>
        <w:jc w:val="center"/>
        <w:shd w:val="clear" w:color="auto" w:fill="auto"/>
        <w:tblLayout w:type="fixed"/>
        <w:tblCellMar>
          <w:top w:w="0" w:type="dxa"/>
          <w:left w:w="0" w:type="dxa"/>
          <w:bottom w:w="0" w:type="dxa"/>
          <w:right w:w="0" w:type="dxa"/>
        </w:tblCellMar>
      </w:tblPr>
      <w:tblGrid>
        <w:gridCol w:w="780"/>
        <w:gridCol w:w="930"/>
        <w:gridCol w:w="1016"/>
        <w:gridCol w:w="1065"/>
        <w:gridCol w:w="885"/>
        <w:gridCol w:w="1080"/>
        <w:gridCol w:w="990"/>
        <w:gridCol w:w="1215"/>
        <w:gridCol w:w="1215"/>
      </w:tblGrid>
      <w:tr>
        <w:tblPrEx>
          <w:shd w:val="clear" w:color="auto" w:fill="auto"/>
          <w:tblCellMar>
            <w:top w:w="0" w:type="dxa"/>
            <w:left w:w="0" w:type="dxa"/>
            <w:bottom w:w="0" w:type="dxa"/>
            <w:right w:w="0" w:type="dxa"/>
          </w:tblCellMar>
        </w:tblPrEx>
        <w:trPr>
          <w:trHeight w:val="240"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地区</w:t>
            </w:r>
          </w:p>
        </w:tc>
        <w:tc>
          <w:tcPr>
            <w:tcW w:w="93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城市</w:t>
            </w:r>
          </w:p>
        </w:tc>
        <w:tc>
          <w:tcPr>
            <w:tcW w:w="1016"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企业性质</w:t>
            </w:r>
          </w:p>
        </w:tc>
        <w:tc>
          <w:tcPr>
            <w:tcW w:w="10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产品名称</w:t>
            </w:r>
          </w:p>
        </w:tc>
        <w:tc>
          <w:tcPr>
            <w:tcW w:w="8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价格类型</w:t>
            </w:r>
          </w:p>
        </w:tc>
        <w:tc>
          <w:tcPr>
            <w:tcW w:w="9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2021/4/1</w:t>
            </w:r>
          </w:p>
        </w:tc>
        <w:tc>
          <w:tcPr>
            <w:tcW w:w="121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2021/3/25</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7210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7460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7220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7460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7210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7480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7220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7480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7730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7410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7410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7580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7480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8100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7240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7430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7630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-252</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8378</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8630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7900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8200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7370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7425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7650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7310</w:t>
            </w:r>
          </w:p>
        </w:tc>
      </w:tr>
      <w:tr>
        <w:tblPrEx>
          <w:tblCellMar>
            <w:top w:w="0" w:type="dxa"/>
            <w:left w:w="0" w:type="dxa"/>
            <w:bottom w:w="0" w:type="dxa"/>
            <w:right w:w="0" w:type="dxa"/>
          </w:tblCellMar>
        </w:tblPrEx>
        <w:trPr>
          <w:trHeight w:val="285" w:hRule="atLeast"/>
          <w:jc w:val="center"/>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0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7110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7210</w:t>
            </w:r>
          </w:p>
        </w:tc>
      </w:tr>
    </w:tbl>
    <w:p>
      <w:pPr>
        <w:rPr>
          <w:rFonts w:hint="eastAsia"/>
          <w:b/>
          <w:bCs w:val="0"/>
          <w:szCs w:val="21"/>
          <w:lang w:val="en-US" w:eastAsia="zh-CN"/>
        </w:rPr>
      </w:pPr>
    </w:p>
    <w:p>
      <w:pPr>
        <w:pStyle w:val="3"/>
        <w:spacing w:before="120" w:after="120" w:line="240" w:lineRule="auto"/>
        <w:rPr>
          <w:rFonts w:hint="eastAsia" w:ascii="宋体" w:hAnsi="宋体"/>
          <w:b/>
          <w:sz w:val="30"/>
          <w:szCs w:val="30"/>
          <w:lang w:val="en-US" w:eastAsia="zh-CN"/>
        </w:rPr>
      </w:pPr>
      <w:bookmarkStart w:id="20" w:name="_Toc16466"/>
      <w:r>
        <w:rPr>
          <w:rFonts w:hint="eastAsia" w:ascii="宋体" w:hAnsi="宋体"/>
          <w:b/>
          <w:sz w:val="30"/>
          <w:szCs w:val="30"/>
          <w:lang w:val="en-US" w:eastAsia="zh-CN"/>
        </w:rPr>
        <w:t>3.4国内柴油价格周报</w:t>
      </w:r>
      <w:bookmarkEnd w:id="20"/>
    </w:p>
    <w:p>
      <w:pPr>
        <w:rPr>
          <w:rFonts w:hint="eastAsia"/>
          <w:lang w:val="en-US" w:eastAsia="zh-CN"/>
        </w:rPr>
      </w:pPr>
      <w:r>
        <w:rPr>
          <w:rFonts w:hint="eastAsia"/>
          <w:lang w:val="en-US" w:eastAsia="zh-CN"/>
        </w:rPr>
        <w:t>单位：元/吨</w:t>
      </w:r>
    </w:p>
    <w:tbl>
      <w:tblPr>
        <w:tblStyle w:val="24"/>
        <w:tblW w:w="9248" w:type="dxa"/>
        <w:tblInd w:w="259" w:type="dxa"/>
        <w:shd w:val="clear" w:color="auto" w:fill="auto"/>
        <w:tblLayout w:type="fixed"/>
        <w:tblCellMar>
          <w:top w:w="0" w:type="dxa"/>
          <w:left w:w="0" w:type="dxa"/>
          <w:bottom w:w="0" w:type="dxa"/>
          <w:right w:w="0" w:type="dxa"/>
        </w:tblCellMar>
      </w:tblPr>
      <w:tblGrid>
        <w:gridCol w:w="758"/>
        <w:gridCol w:w="1110"/>
        <w:gridCol w:w="1245"/>
        <w:gridCol w:w="1050"/>
        <w:gridCol w:w="840"/>
        <w:gridCol w:w="1050"/>
        <w:gridCol w:w="810"/>
        <w:gridCol w:w="1185"/>
        <w:gridCol w:w="1200"/>
      </w:tblGrid>
      <w:tr>
        <w:tblPrEx>
          <w:shd w:val="clear" w:color="auto" w:fill="auto"/>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地区</w:t>
            </w:r>
          </w:p>
        </w:tc>
        <w:tc>
          <w:tcPr>
            <w:tcW w:w="11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城市</w:t>
            </w:r>
          </w:p>
        </w:tc>
        <w:tc>
          <w:tcPr>
            <w:tcW w:w="12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企业性质</w:t>
            </w:r>
          </w:p>
        </w:tc>
        <w:tc>
          <w:tcPr>
            <w:tcW w:w="105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产品名称</w:t>
            </w:r>
          </w:p>
        </w:tc>
        <w:tc>
          <w:tcPr>
            <w:tcW w:w="84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型号</w:t>
            </w:r>
          </w:p>
        </w:tc>
        <w:tc>
          <w:tcPr>
            <w:tcW w:w="105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价格类型</w:t>
            </w:r>
          </w:p>
        </w:tc>
        <w:tc>
          <w:tcPr>
            <w:tcW w:w="8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1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2021/4/1</w:t>
            </w:r>
          </w:p>
        </w:tc>
        <w:tc>
          <w:tcPr>
            <w:tcW w:w="120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2021/3/25</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5870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6110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5960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6280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5840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5840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6140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-190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6140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6330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6260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6360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6360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6800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商丘市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商丘市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5840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6080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6010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5960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6030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5820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5970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舟山市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6500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6700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6450</w:t>
            </w:r>
          </w:p>
        </w:tc>
      </w:tr>
      <w:tr>
        <w:tblPrEx>
          <w:tblCellMar>
            <w:top w:w="0" w:type="dxa"/>
            <w:left w:w="0" w:type="dxa"/>
            <w:bottom w:w="0" w:type="dxa"/>
            <w:right w:w="0" w:type="dxa"/>
          </w:tblCellMar>
        </w:tblPrEx>
        <w:trPr>
          <w:trHeight w:val="285" w:hRule="atLeast"/>
        </w:trPr>
        <w:tc>
          <w:tcPr>
            <w:tcW w:w="7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8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250</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6600</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6350</w:t>
            </w:r>
          </w:p>
        </w:tc>
      </w:tr>
    </w:tbl>
    <w:p>
      <w:pPr>
        <w:rPr>
          <w:rFonts w:hint="eastAsia" w:eastAsia="宋体"/>
          <w:lang w:val="en-US" w:eastAsia="zh-CN"/>
        </w:rPr>
      </w:pPr>
    </w:p>
    <w:p>
      <w:pPr>
        <w:pStyle w:val="3"/>
        <w:spacing w:before="120" w:after="120" w:line="240" w:lineRule="auto"/>
        <w:rPr>
          <w:rFonts w:hint="eastAsia" w:ascii="宋体" w:hAnsi="宋体"/>
          <w:b/>
          <w:sz w:val="30"/>
          <w:szCs w:val="30"/>
          <w:lang w:val="en-US" w:eastAsia="zh-CN"/>
        </w:rPr>
      </w:pPr>
      <w:bookmarkStart w:id="21" w:name="_Toc6052"/>
      <w:r>
        <w:rPr>
          <w:rFonts w:hint="eastAsia" w:ascii="宋体" w:hAnsi="宋体"/>
          <w:b/>
          <w:sz w:val="30"/>
          <w:szCs w:val="30"/>
          <w:lang w:val="en-US" w:eastAsia="zh-CN"/>
        </w:rPr>
        <w:t>3.5 山东地炼汽油出厂价格周报</w:t>
      </w:r>
      <w:bookmarkEnd w:id="21"/>
    </w:p>
    <w:p>
      <w:pPr>
        <w:rPr>
          <w:rFonts w:hint="eastAsia"/>
          <w:lang w:val="en-US" w:eastAsia="zh-CN"/>
        </w:rPr>
      </w:pPr>
      <w:r>
        <w:rPr>
          <w:rFonts w:hint="eastAsia"/>
          <w:lang w:val="en-US" w:eastAsia="zh-CN"/>
        </w:rPr>
        <w:t>单位：元/吨</w:t>
      </w:r>
    </w:p>
    <w:p>
      <w:pPr>
        <w:rPr>
          <w:rFonts w:hint="eastAsia"/>
          <w:lang w:val="en-US" w:eastAsia="zh-CN"/>
        </w:rPr>
      </w:pPr>
    </w:p>
    <w:tbl>
      <w:tblPr>
        <w:tblStyle w:val="24"/>
        <w:tblW w:w="9157" w:type="dxa"/>
        <w:jc w:val="center"/>
        <w:shd w:val="clear" w:color="auto" w:fill="auto"/>
        <w:tblLayout w:type="fixed"/>
        <w:tblCellMar>
          <w:top w:w="0" w:type="dxa"/>
          <w:left w:w="0" w:type="dxa"/>
          <w:bottom w:w="0" w:type="dxa"/>
          <w:right w:w="0" w:type="dxa"/>
        </w:tblCellMar>
      </w:tblPr>
      <w:tblGrid>
        <w:gridCol w:w="832"/>
        <w:gridCol w:w="1470"/>
        <w:gridCol w:w="977"/>
        <w:gridCol w:w="913"/>
        <w:gridCol w:w="1065"/>
        <w:gridCol w:w="1080"/>
        <w:gridCol w:w="1410"/>
        <w:gridCol w:w="1410"/>
      </w:tblGrid>
      <w:tr>
        <w:tblPrEx>
          <w:shd w:val="clear" w:color="auto" w:fill="auto"/>
          <w:tblCellMar>
            <w:top w:w="0" w:type="dxa"/>
            <w:left w:w="0" w:type="dxa"/>
            <w:bottom w:w="0" w:type="dxa"/>
            <w:right w:w="0" w:type="dxa"/>
          </w:tblCellMar>
        </w:tblPrEx>
        <w:trPr>
          <w:trHeight w:val="42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生产厂家</w:t>
            </w:r>
          </w:p>
        </w:tc>
        <w:tc>
          <w:tcPr>
            <w:tcW w:w="977"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型号</w:t>
            </w:r>
          </w:p>
        </w:tc>
        <w:tc>
          <w:tcPr>
            <w:tcW w:w="913"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2021/4/1</w:t>
            </w:r>
          </w:p>
        </w:tc>
        <w:tc>
          <w:tcPr>
            <w:tcW w:w="141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1"/>
                <w:szCs w:val="21"/>
                <w:u w:val="none"/>
              </w:rPr>
            </w:pPr>
            <w:r>
              <w:rPr>
                <w:rFonts w:hint="eastAsia" w:ascii="宋体" w:hAnsi="宋体" w:eastAsia="宋体" w:cs="宋体"/>
                <w:b/>
                <w:i w:val="0"/>
                <w:color w:val="000000"/>
                <w:kern w:val="0"/>
                <w:sz w:val="21"/>
                <w:szCs w:val="21"/>
                <w:u w:val="none"/>
                <w:lang w:val="en-US" w:eastAsia="zh-CN" w:bidi="ar"/>
              </w:rPr>
              <w:t>2021/3/25</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6720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6883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6953</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7033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7103</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6883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6953</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垦利石化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东方华龙</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东方华龙</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6930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6935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6995</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7085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7145</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海科瑞林</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6932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6932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7013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7157</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7113</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7258</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7274</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7418</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6970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7040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7370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6860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6890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7110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7180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7100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6970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国四90#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国四93#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济南天蓝石油</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济南天蓝石油</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7550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7460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7760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jc w:val="center"/>
        </w:trPr>
        <w:tc>
          <w:tcPr>
            <w:tcW w:w="8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bl>
    <w:p>
      <w:pPr>
        <w:pStyle w:val="3"/>
        <w:spacing w:before="120" w:after="120" w:line="240" w:lineRule="auto"/>
        <w:rPr>
          <w:rFonts w:hint="eastAsia" w:ascii="宋体" w:hAnsi="宋体"/>
          <w:b/>
          <w:sz w:val="30"/>
          <w:szCs w:val="30"/>
          <w:lang w:val="en-US" w:eastAsia="zh-CN"/>
        </w:rPr>
      </w:pPr>
      <w:bookmarkStart w:id="22" w:name="_Toc25179"/>
      <w:r>
        <w:rPr>
          <w:rFonts w:hint="eastAsia" w:ascii="宋体" w:hAnsi="宋体"/>
          <w:b/>
          <w:sz w:val="30"/>
          <w:szCs w:val="30"/>
          <w:lang w:val="en-US" w:eastAsia="zh-CN"/>
        </w:rPr>
        <w:t>3.6 山东地炼柴油出厂价格周报</w:t>
      </w:r>
      <w:bookmarkEnd w:id="22"/>
    </w:p>
    <w:p>
      <w:pPr>
        <w:rPr>
          <w:rFonts w:hint="eastAsia" w:ascii="宋体" w:hAnsi="宋体"/>
          <w:b/>
          <w:sz w:val="10"/>
          <w:szCs w:val="10"/>
          <w:lang w:val="en-US" w:eastAsia="zh-CN"/>
        </w:rPr>
      </w:pPr>
      <w:r>
        <w:rPr>
          <w:rFonts w:hint="eastAsia"/>
          <w:bCs/>
          <w:szCs w:val="21"/>
          <w:lang w:val="en-US" w:eastAsia="zh-CN"/>
        </w:rPr>
        <w:t>单位：元/吨</w:t>
      </w:r>
    </w:p>
    <w:p>
      <w:pPr>
        <w:rPr>
          <w:rFonts w:hint="eastAsia"/>
          <w:b/>
          <w:bCs/>
          <w:lang w:val="en-US" w:eastAsia="zh-CN"/>
        </w:rPr>
      </w:pPr>
    </w:p>
    <w:tbl>
      <w:tblPr>
        <w:tblStyle w:val="24"/>
        <w:tblW w:w="9600" w:type="dxa"/>
        <w:tblInd w:w="0" w:type="dxa"/>
        <w:shd w:val="clear" w:color="auto" w:fill="auto"/>
        <w:tblLayout w:type="fixed"/>
        <w:tblCellMar>
          <w:top w:w="0" w:type="dxa"/>
          <w:left w:w="0" w:type="dxa"/>
          <w:bottom w:w="0" w:type="dxa"/>
          <w:right w:w="0" w:type="dxa"/>
        </w:tblCellMar>
      </w:tblPr>
      <w:tblGrid>
        <w:gridCol w:w="964"/>
        <w:gridCol w:w="1586"/>
        <w:gridCol w:w="960"/>
        <w:gridCol w:w="1245"/>
        <w:gridCol w:w="1080"/>
        <w:gridCol w:w="1005"/>
        <w:gridCol w:w="1380"/>
        <w:gridCol w:w="1380"/>
      </w:tblGrid>
      <w:tr>
        <w:tblPrEx>
          <w:shd w:val="clear" w:color="auto" w:fill="auto"/>
          <w:tblCellMar>
            <w:top w:w="0" w:type="dxa"/>
            <w:left w:w="0" w:type="dxa"/>
            <w:bottom w:w="0" w:type="dxa"/>
            <w:right w:w="0" w:type="dxa"/>
          </w:tblCellMar>
        </w:tblPrEx>
        <w:trPr>
          <w:trHeight w:val="360" w:hRule="atLeast"/>
        </w:trPr>
        <w:tc>
          <w:tcPr>
            <w:tcW w:w="964"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省份</w:t>
            </w:r>
          </w:p>
        </w:tc>
        <w:tc>
          <w:tcPr>
            <w:tcW w:w="1586"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生产厂家</w:t>
            </w:r>
          </w:p>
        </w:tc>
        <w:tc>
          <w:tcPr>
            <w:tcW w:w="96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型号</w:t>
            </w:r>
          </w:p>
        </w:tc>
        <w:tc>
          <w:tcPr>
            <w:tcW w:w="124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bCs/>
                <w:i w:val="0"/>
                <w:color w:val="000000"/>
                <w:kern w:val="0"/>
                <w:sz w:val="20"/>
                <w:szCs w:val="20"/>
                <w:u w:val="none"/>
                <w:lang w:val="en-US" w:eastAsia="zh-CN" w:bidi="ar"/>
              </w:rPr>
              <w:t>价格类型</w:t>
            </w:r>
          </w:p>
        </w:tc>
        <w:tc>
          <w:tcPr>
            <w:tcW w:w="100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i w:val="0"/>
                <w:color w:val="000000"/>
                <w:kern w:val="0"/>
                <w:sz w:val="20"/>
                <w:szCs w:val="20"/>
                <w:u w:val="none"/>
                <w:lang w:val="en-US" w:eastAsia="zh-CN" w:bidi="ar"/>
              </w:rPr>
              <w:t>涨跌</w:t>
            </w:r>
          </w:p>
        </w:tc>
        <w:tc>
          <w:tcPr>
            <w:tcW w:w="13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i w:val="0"/>
                <w:color w:val="000000"/>
                <w:kern w:val="0"/>
                <w:sz w:val="21"/>
                <w:szCs w:val="21"/>
                <w:u w:val="none"/>
                <w:lang w:val="en-US" w:eastAsia="zh-CN" w:bidi="ar"/>
              </w:rPr>
              <w:t>2021/4/1</w:t>
            </w:r>
          </w:p>
        </w:tc>
        <w:tc>
          <w:tcPr>
            <w:tcW w:w="138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color w:val="000000"/>
                <w:sz w:val="20"/>
                <w:szCs w:val="20"/>
                <w:u w:val="none"/>
              </w:rPr>
            </w:pPr>
            <w:r>
              <w:rPr>
                <w:rFonts w:hint="eastAsia" w:ascii="宋体" w:hAnsi="宋体" w:eastAsia="宋体" w:cs="宋体"/>
                <w:b/>
                <w:i w:val="0"/>
                <w:color w:val="000000"/>
                <w:kern w:val="0"/>
                <w:sz w:val="21"/>
                <w:szCs w:val="21"/>
                <w:u w:val="none"/>
                <w:lang w:val="en-US" w:eastAsia="zh-CN" w:bidi="ar"/>
              </w:rPr>
              <w:t>2021/3/25</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5520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5440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5533</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5653</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5540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5540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垦利石化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5510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5560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5745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5815</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44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海科瑞林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5580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-129</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5645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5774</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5810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5780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5630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5600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常压</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5410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5540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5570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5485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5485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亚通石化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5340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5340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鑫泰石化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海化石化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海化石化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榆林炼厂铁路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西安临潼铁路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5880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5930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9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bl>
    <w:p>
      <w:pPr>
        <w:pStyle w:val="3"/>
        <w:spacing w:before="120" w:after="120" w:line="240" w:lineRule="auto"/>
        <w:rPr>
          <w:rFonts w:hint="eastAsia" w:ascii="宋体" w:hAnsi="宋体"/>
          <w:b/>
          <w:sz w:val="30"/>
          <w:szCs w:val="30"/>
          <w:lang w:val="en-US" w:eastAsia="zh-CN"/>
        </w:rPr>
      </w:pPr>
      <w:bookmarkStart w:id="23" w:name="_Toc711"/>
      <w:bookmarkStart w:id="24" w:name="_Toc27167"/>
      <w:bookmarkStart w:id="25" w:name="_Toc23056"/>
      <w:bookmarkStart w:id="26" w:name="_Toc533771879"/>
      <w:r>
        <w:rPr>
          <w:rFonts w:hint="eastAsia" w:ascii="宋体" w:hAnsi="宋体"/>
          <w:b/>
          <w:sz w:val="30"/>
          <w:szCs w:val="30"/>
          <w:lang w:val="en-US" w:eastAsia="zh-CN"/>
        </w:rPr>
        <w:t>四、2021年1-2月份进出口统计数据</w:t>
      </w:r>
      <w:bookmarkEnd w:id="23"/>
      <w:bookmarkEnd w:id="24"/>
    </w:p>
    <w:p>
      <w:pPr>
        <w:pStyle w:val="3"/>
        <w:spacing w:before="120" w:after="120" w:line="240" w:lineRule="auto"/>
        <w:rPr>
          <w:rFonts w:hint="eastAsia" w:ascii="宋体" w:hAnsi="宋体"/>
          <w:b/>
          <w:sz w:val="30"/>
          <w:szCs w:val="30"/>
        </w:rPr>
      </w:pPr>
      <w:bookmarkStart w:id="27" w:name="_Toc31314"/>
      <w:bookmarkStart w:id="28" w:name="_Toc19791"/>
      <w:r>
        <w:rPr>
          <w:rFonts w:hint="eastAsia" w:ascii="宋体" w:hAnsi="宋体"/>
          <w:b/>
          <w:sz w:val="30"/>
          <w:szCs w:val="30"/>
        </w:rPr>
        <w:t>4.1 20</w:t>
      </w:r>
      <w:r>
        <w:rPr>
          <w:rFonts w:hint="eastAsia" w:ascii="宋体" w:hAnsi="宋体"/>
          <w:b/>
          <w:sz w:val="30"/>
          <w:szCs w:val="30"/>
          <w:lang w:val="en-US" w:eastAsia="zh-CN"/>
        </w:rPr>
        <w:t>21</w:t>
      </w:r>
      <w:r>
        <w:rPr>
          <w:rFonts w:hint="eastAsia" w:ascii="宋体" w:hAnsi="宋体"/>
          <w:b/>
          <w:sz w:val="30"/>
          <w:szCs w:val="30"/>
        </w:rPr>
        <w:t>年</w:t>
      </w:r>
      <w:r>
        <w:rPr>
          <w:rFonts w:hint="eastAsia" w:ascii="宋体" w:hAnsi="宋体"/>
          <w:b/>
          <w:sz w:val="30"/>
          <w:szCs w:val="30"/>
          <w:lang w:val="en-US" w:eastAsia="zh-CN"/>
        </w:rPr>
        <w:t>1-2</w:t>
      </w:r>
      <w:r>
        <w:rPr>
          <w:rFonts w:hint="eastAsia" w:ascii="宋体" w:hAnsi="宋体"/>
          <w:b/>
          <w:sz w:val="30"/>
          <w:szCs w:val="30"/>
        </w:rPr>
        <w:t>份全国车用汽油</w:t>
      </w:r>
      <w:r>
        <w:rPr>
          <w:rFonts w:hint="eastAsia" w:ascii="宋体" w:hAnsi="宋体"/>
          <w:b/>
          <w:sz w:val="30"/>
          <w:szCs w:val="30"/>
          <w:lang w:eastAsia="zh-CN"/>
        </w:rPr>
        <w:t>进</w:t>
      </w:r>
      <w:r>
        <w:rPr>
          <w:rFonts w:hint="eastAsia" w:ascii="宋体" w:hAnsi="宋体"/>
          <w:b/>
          <w:sz w:val="30"/>
          <w:szCs w:val="30"/>
        </w:rPr>
        <w:t>出口统计数据</w:t>
      </w:r>
      <w:bookmarkEnd w:id="27"/>
      <w:bookmarkEnd w:id="28"/>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rPr>
      </w:pPr>
    </w:p>
    <w:p>
      <w:pPr>
        <w:rPr>
          <w:rFonts w:hint="eastAsia"/>
        </w:rPr>
      </w:pPr>
    </w:p>
    <w:tbl>
      <w:tblPr>
        <w:tblStyle w:val="24"/>
        <w:tblW w:w="9131" w:type="dxa"/>
        <w:jc w:val="center"/>
        <w:shd w:val="clear" w:color="auto" w:fill="auto"/>
        <w:tblLayout w:type="autofit"/>
        <w:tblCellMar>
          <w:top w:w="0" w:type="dxa"/>
          <w:left w:w="0" w:type="dxa"/>
          <w:bottom w:w="0" w:type="dxa"/>
          <w:right w:w="0" w:type="dxa"/>
        </w:tblCellMar>
      </w:tblPr>
      <w:tblGrid>
        <w:gridCol w:w="3326"/>
        <w:gridCol w:w="1605"/>
        <w:gridCol w:w="1605"/>
        <w:gridCol w:w="930"/>
        <w:gridCol w:w="1665"/>
      </w:tblGrid>
      <w:tr>
        <w:tblPrEx>
          <w:shd w:val="clear" w:color="auto" w:fill="auto"/>
          <w:tblCellMar>
            <w:top w:w="0" w:type="dxa"/>
            <w:left w:w="0" w:type="dxa"/>
            <w:bottom w:w="0" w:type="dxa"/>
            <w:right w:w="0" w:type="dxa"/>
          </w:tblCellMar>
        </w:tblPrEx>
        <w:trPr>
          <w:trHeight w:val="500" w:hRule="atLeast"/>
          <w:jc w:val="center"/>
        </w:trPr>
        <w:tc>
          <w:tcPr>
            <w:tcW w:w="3326"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商品名称</w:t>
            </w:r>
          </w:p>
        </w:tc>
        <w:tc>
          <w:tcPr>
            <w:tcW w:w="1605"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出口目的地</w:t>
            </w:r>
          </w:p>
        </w:tc>
        <w:tc>
          <w:tcPr>
            <w:tcW w:w="1605"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数量</w:t>
            </w:r>
          </w:p>
        </w:tc>
        <w:tc>
          <w:tcPr>
            <w:tcW w:w="930"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单位</w:t>
            </w:r>
          </w:p>
        </w:tc>
        <w:tc>
          <w:tcPr>
            <w:tcW w:w="1665"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出口金额美元</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阿联酋</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73223.883</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33737922</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澳大利亚</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29945.453</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12550593</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巴基斯坦</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177021.692</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82538048</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菲律宾</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303610.686</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130841864</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马来西亚</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100689.314</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40449928</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蒙古</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483.447</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257725</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缅甸</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4164.156</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2031152</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日本</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5211.733</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2570037</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泰国</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37000</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12417200</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新加坡</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674060.905</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301459460</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印度尼西亚</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207529.298</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94166805</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越南</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34120.388</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18331130</w:t>
            </w:r>
          </w:p>
        </w:tc>
      </w:tr>
      <w:tr>
        <w:tblPrEx>
          <w:tblCellMar>
            <w:top w:w="0" w:type="dxa"/>
            <w:left w:w="0" w:type="dxa"/>
            <w:bottom w:w="0" w:type="dxa"/>
            <w:right w:w="0" w:type="dxa"/>
          </w:tblCellMar>
        </w:tblPrEx>
        <w:trPr>
          <w:trHeight w:val="460" w:hRule="atLeast"/>
          <w:jc w:val="center"/>
        </w:trPr>
        <w:tc>
          <w:tcPr>
            <w:tcW w:w="33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车用汽油和航空汽油</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越南</w:t>
            </w:r>
          </w:p>
        </w:tc>
        <w:tc>
          <w:tcPr>
            <w:tcW w:w="160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2975.607</w:t>
            </w:r>
          </w:p>
        </w:tc>
        <w:tc>
          <w:tcPr>
            <w:tcW w:w="93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吨</w:t>
            </w:r>
          </w:p>
        </w:tc>
        <w:tc>
          <w:tcPr>
            <w:tcW w:w="1665"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1190117</w:t>
            </w:r>
          </w:p>
        </w:tc>
      </w:tr>
    </w:tbl>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p>
      <w:pPr>
        <w:rPr>
          <w:rFonts w:hint="eastAsia"/>
        </w:rPr>
      </w:pPr>
    </w:p>
    <w:tbl>
      <w:tblPr>
        <w:tblStyle w:val="24"/>
        <w:tblW w:w="9126" w:type="dxa"/>
        <w:jc w:val="center"/>
        <w:shd w:val="clear" w:color="auto" w:fill="auto"/>
        <w:tblLayout w:type="fixed"/>
        <w:tblCellMar>
          <w:top w:w="0" w:type="dxa"/>
          <w:left w:w="108" w:type="dxa"/>
          <w:bottom w:w="0" w:type="dxa"/>
          <w:right w:w="108" w:type="dxa"/>
        </w:tblCellMar>
      </w:tblPr>
      <w:tblGrid>
        <w:gridCol w:w="2538"/>
        <w:gridCol w:w="1485"/>
        <w:gridCol w:w="1410"/>
        <w:gridCol w:w="1755"/>
        <w:gridCol w:w="1938"/>
      </w:tblGrid>
      <w:tr>
        <w:tblPrEx>
          <w:shd w:val="clear" w:color="auto" w:fill="auto"/>
          <w:tblCellMar>
            <w:top w:w="0" w:type="dxa"/>
            <w:left w:w="108" w:type="dxa"/>
            <w:bottom w:w="0" w:type="dxa"/>
            <w:right w:w="108" w:type="dxa"/>
          </w:tblCellMar>
        </w:tblPrEx>
        <w:trPr>
          <w:trHeight w:val="654" w:hRule="atLeast"/>
          <w:jc w:val="center"/>
        </w:trPr>
        <w:tc>
          <w:tcPr>
            <w:tcW w:w="2538" w:type="dxa"/>
            <w:tcBorders>
              <w:top w:val="single" w:color="000000" w:sz="8" w:space="0"/>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贸易伙伴名称</w:t>
            </w:r>
          </w:p>
        </w:tc>
        <w:tc>
          <w:tcPr>
            <w:tcW w:w="1485"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数量（吨）</w:t>
            </w:r>
          </w:p>
        </w:tc>
        <w:tc>
          <w:tcPr>
            <w:tcW w:w="1410"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所占比率</w:t>
            </w:r>
          </w:p>
        </w:tc>
        <w:tc>
          <w:tcPr>
            <w:tcW w:w="1755"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当月金额（元）</w:t>
            </w:r>
          </w:p>
        </w:tc>
        <w:tc>
          <w:tcPr>
            <w:tcW w:w="1938" w:type="dxa"/>
            <w:tcBorders>
              <w:top w:val="single" w:color="000000" w:sz="8" w:space="0"/>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2"/>
                <w:szCs w:val="22"/>
                <w:u w:val="none"/>
              </w:rPr>
            </w:pPr>
            <w:r>
              <w:rPr>
                <w:rFonts w:hint="eastAsia" w:ascii="宋体" w:hAnsi="宋体" w:eastAsia="宋体" w:cs="宋体"/>
                <w:b/>
                <w:bCs/>
                <w:i w:val="0"/>
                <w:iCs w:val="0"/>
                <w:color w:val="auto"/>
                <w:kern w:val="0"/>
                <w:sz w:val="22"/>
                <w:szCs w:val="22"/>
                <w:u w:val="none"/>
                <w:lang w:val="en-US" w:eastAsia="zh-CN" w:bidi="ar"/>
              </w:rPr>
              <w:t>当月均价（元/吨）</w:t>
            </w:r>
          </w:p>
        </w:tc>
      </w:tr>
      <w:tr>
        <w:tblPrEx>
          <w:tblCellMar>
            <w:top w:w="0" w:type="dxa"/>
            <w:left w:w="108" w:type="dxa"/>
            <w:bottom w:w="0" w:type="dxa"/>
            <w:right w:w="108" w:type="dxa"/>
          </w:tblCellMar>
        </w:tblPrEx>
        <w:trPr>
          <w:trHeight w:val="345"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埃塞俄比亚</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500</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1385706</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2771.41</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安提瓜和巴布达</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170085</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2616.69</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澳大利亚</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511757.9</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1129143671</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2206.4</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巴哈马</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871.61</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2393336</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2745.89</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巴拿马</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14671.54</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38208916</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2604.29</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百慕大</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74065</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2468.83</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伯利兹</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55.44</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152370</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2748.23</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丹麦</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124.5</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354657</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2848.65</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德国</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557</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1493304</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2680.98</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多哥</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55</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163349</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2969.98</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俄罗斯联邦</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323.99</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889676</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2746.03</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菲律宾</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281264.18</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593034277</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2108.46</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韩国</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217119.52</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482577567</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2222.64</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荷兰</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397</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1025882</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2584.09</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黑山</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83764</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2792.13</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喀麦隆</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60</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182996</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3049.93</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开曼群岛</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139720</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2794.4</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利比里亚</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6999.33</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20522887</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2932.12</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卢森堡</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18.77</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50134</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2671.25</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马耳他</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2665.72</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9623438</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3610.08</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马来西亚</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39836.93</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84277612</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2115.57</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马绍尔群岛</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5644.08</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15684179</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2778.87</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毛里塔尼亚</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657.61</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1712728</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2604.46</w:t>
            </w:r>
          </w:p>
        </w:tc>
      </w:tr>
      <w:tr>
        <w:tblPrEx>
          <w:tblCellMar>
            <w:top w:w="0" w:type="dxa"/>
            <w:left w:w="108" w:type="dxa"/>
            <w:bottom w:w="0" w:type="dxa"/>
            <w:right w:w="108" w:type="dxa"/>
          </w:tblCellMar>
        </w:tblPrEx>
        <w:trPr>
          <w:trHeight w:val="365"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孟加拉国</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168692.41</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360439596</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2136.67</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缅甸</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17191.04</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41815804</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2432.42</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挪威</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625.67</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1723483</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2754.62</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帕劳</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52</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137755</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2649.13</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葡萄牙</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233.5</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1141402</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4888.23</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日本</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296</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1392969</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4705.98</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瑞士</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78.8</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234354</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2974.22</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塞拉利昂</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66164</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3308.2</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塞浦路斯</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1224.5</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3411295</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2785.87</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沙特阿拉伯</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180</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479794</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2665.52</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圣其茨和尼维斯</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117.5</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286900</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2441.7</w:t>
            </w:r>
          </w:p>
        </w:tc>
      </w:tr>
      <w:tr>
        <w:tblPrEx>
          <w:tblCellMar>
            <w:top w:w="0" w:type="dxa"/>
            <w:left w:w="108" w:type="dxa"/>
            <w:bottom w:w="0" w:type="dxa"/>
            <w:right w:w="108" w:type="dxa"/>
          </w:tblCellMar>
        </w:tblPrEx>
        <w:trPr>
          <w:trHeight w:val="384"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圣文森特和格林纳丁斯</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249.8</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576051</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2306.05</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泰国</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50</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130563</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2611.26</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图瓦卢</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200</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574317</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2871.59</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希腊</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835.51</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2795036</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3345.31</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新加坡</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161636.33</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347446436</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2149.56</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牙买加</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19.65</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56071</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2853.49</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印度尼西亚</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24063</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58666575</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2438.04</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英国</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640.22</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1669893</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2608.32</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越南</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16821.89</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34747789</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2065.63</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智利</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77559.62</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167610933</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2161.06</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中国澳门</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4555.75</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9735610</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2136.99</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中国台湾</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455.62</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0%</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1258785</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2762.8</w:t>
            </w:r>
          </w:p>
        </w:tc>
      </w:tr>
      <w:tr>
        <w:tblPrEx>
          <w:tblCellMar>
            <w:top w:w="0" w:type="dxa"/>
            <w:left w:w="108" w:type="dxa"/>
            <w:bottom w:w="0" w:type="dxa"/>
            <w:right w:w="108" w:type="dxa"/>
          </w:tblCellMar>
        </w:tblPrEx>
        <w:trPr>
          <w:trHeight w:val="337" w:hRule="atLeast"/>
          <w:jc w:val="center"/>
        </w:trPr>
        <w:tc>
          <w:tcPr>
            <w:tcW w:w="2538" w:type="dxa"/>
            <w:tcBorders>
              <w:top w:val="nil"/>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中国香港</w:t>
            </w:r>
          </w:p>
        </w:tc>
        <w:tc>
          <w:tcPr>
            <w:tcW w:w="148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361087.38</w:t>
            </w:r>
          </w:p>
        </w:tc>
        <w:tc>
          <w:tcPr>
            <w:tcW w:w="1410"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19%</w:t>
            </w:r>
          </w:p>
        </w:tc>
        <w:tc>
          <w:tcPr>
            <w:tcW w:w="1755"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820207403</w:t>
            </w:r>
          </w:p>
        </w:tc>
        <w:tc>
          <w:tcPr>
            <w:tcW w:w="1938" w:type="dxa"/>
            <w:tcBorders>
              <w:top w:val="nil"/>
              <w:left w:val="nil"/>
              <w:bottom w:val="single" w:color="000000" w:sz="8" w:space="0"/>
              <w:right w:val="single" w:color="000000" w:sz="8" w:space="0"/>
            </w:tcBorders>
            <w:shd w:val="clear" w:color="auto" w:fill="F9F9F9"/>
            <w:vAlign w:val="center"/>
          </w:tcPr>
          <w:p>
            <w:pPr>
              <w:keepNext w:val="0"/>
              <w:keepLines w:val="0"/>
              <w:widowControl/>
              <w:suppressLineNumbers w:val="0"/>
              <w:jc w:val="center"/>
              <w:textAlignment w:val="center"/>
              <w:rPr>
                <w:rFonts w:hint="eastAsia" w:ascii="宋体" w:hAnsi="宋体" w:eastAsia="宋体" w:cs="宋体"/>
                <w:i w:val="0"/>
                <w:iCs w:val="0"/>
                <w:color w:val="auto"/>
                <w:sz w:val="20"/>
                <w:szCs w:val="20"/>
                <w:u w:val="none"/>
              </w:rPr>
            </w:pPr>
            <w:r>
              <w:rPr>
                <w:rFonts w:hint="eastAsia" w:ascii="宋体" w:hAnsi="宋体" w:eastAsia="宋体" w:cs="宋体"/>
                <w:i w:val="0"/>
                <w:iCs w:val="0"/>
                <w:color w:val="auto"/>
                <w:kern w:val="0"/>
                <w:sz w:val="20"/>
                <w:szCs w:val="20"/>
                <w:u w:val="none"/>
                <w:lang w:val="en-US" w:eastAsia="zh-CN" w:bidi="ar"/>
              </w:rPr>
              <w:t>2271.49</w:t>
            </w:r>
          </w:p>
        </w:tc>
      </w:tr>
      <w:tr>
        <w:tblPrEx>
          <w:tblCellMar>
            <w:top w:w="0" w:type="dxa"/>
            <w:left w:w="108" w:type="dxa"/>
            <w:bottom w:w="0" w:type="dxa"/>
            <w:right w:w="108" w:type="dxa"/>
          </w:tblCellMar>
        </w:tblPrEx>
        <w:trPr>
          <w:trHeight w:val="357" w:hRule="atLeast"/>
          <w:jc w:val="center"/>
        </w:trPr>
        <w:tc>
          <w:tcPr>
            <w:tcW w:w="2538" w:type="dxa"/>
            <w:tcBorders>
              <w:top w:val="nil"/>
              <w:left w:val="single" w:color="000000" w:sz="8" w:space="0"/>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合计</w:t>
            </w:r>
          </w:p>
        </w:tc>
        <w:tc>
          <w:tcPr>
            <w:tcW w:w="1485"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1920641.29</w:t>
            </w:r>
          </w:p>
        </w:tc>
        <w:tc>
          <w:tcPr>
            <w:tcW w:w="1410"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100%</w:t>
            </w:r>
          </w:p>
        </w:tc>
        <w:tc>
          <w:tcPr>
            <w:tcW w:w="1755"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4239949297</w:t>
            </w:r>
          </w:p>
        </w:tc>
        <w:tc>
          <w:tcPr>
            <w:tcW w:w="1938" w:type="dxa"/>
            <w:tcBorders>
              <w:top w:val="nil"/>
              <w:left w:val="nil"/>
              <w:bottom w:val="single" w:color="000000" w:sz="8" w:space="0"/>
              <w:right w:val="single" w:color="000000" w:sz="8" w:space="0"/>
            </w:tcBorders>
            <w:shd w:val="clear" w:color="auto" w:fill="00B0F0"/>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20"/>
                <w:szCs w:val="20"/>
                <w:u w:val="none"/>
              </w:rPr>
            </w:pPr>
            <w:r>
              <w:rPr>
                <w:rFonts w:hint="eastAsia" w:ascii="宋体" w:hAnsi="宋体" w:eastAsia="宋体" w:cs="宋体"/>
                <w:b/>
                <w:bCs/>
                <w:i w:val="0"/>
                <w:iCs w:val="0"/>
                <w:color w:val="auto"/>
                <w:kern w:val="0"/>
                <w:sz w:val="20"/>
                <w:szCs w:val="20"/>
                <w:u w:val="none"/>
                <w:lang w:val="en-US" w:eastAsia="zh-CN" w:bidi="ar"/>
              </w:rPr>
              <w:t>2207.57</w:t>
            </w:r>
          </w:p>
        </w:tc>
      </w:tr>
    </w:tbl>
    <w:p>
      <w:pPr>
        <w:pStyle w:val="3"/>
        <w:spacing w:before="120" w:after="120" w:line="240" w:lineRule="auto"/>
        <w:rPr>
          <w:rFonts w:hint="eastAsia" w:ascii="宋体" w:hAnsi="宋体"/>
          <w:b/>
          <w:sz w:val="30"/>
          <w:szCs w:val="30"/>
        </w:rPr>
      </w:pPr>
      <w:bookmarkStart w:id="29" w:name="_Toc31064"/>
    </w:p>
    <w:p>
      <w:pPr>
        <w:pStyle w:val="3"/>
        <w:spacing w:before="120" w:after="120" w:line="240" w:lineRule="auto"/>
        <w:rPr>
          <w:rFonts w:hint="eastAsia" w:ascii="宋体" w:hAnsi="宋体"/>
          <w:b/>
          <w:sz w:val="30"/>
          <w:szCs w:val="30"/>
        </w:rPr>
      </w:pPr>
      <w:bookmarkStart w:id="30" w:name="_Toc23995"/>
      <w:r>
        <w:rPr>
          <w:rFonts w:hint="eastAsia" w:ascii="宋体" w:hAnsi="宋体"/>
          <w:b/>
          <w:sz w:val="30"/>
          <w:szCs w:val="30"/>
        </w:rPr>
        <w:t>4.2 20</w:t>
      </w:r>
      <w:r>
        <w:rPr>
          <w:rFonts w:hint="eastAsia" w:ascii="宋体" w:hAnsi="宋体"/>
          <w:b/>
          <w:sz w:val="30"/>
          <w:szCs w:val="30"/>
          <w:lang w:val="en-US" w:eastAsia="zh-CN"/>
        </w:rPr>
        <w:t>21</w:t>
      </w:r>
      <w:r>
        <w:rPr>
          <w:rFonts w:hint="eastAsia" w:ascii="宋体" w:hAnsi="宋体"/>
          <w:b/>
          <w:sz w:val="30"/>
          <w:szCs w:val="30"/>
        </w:rPr>
        <w:t>年1</w:t>
      </w:r>
      <w:r>
        <w:rPr>
          <w:rFonts w:hint="eastAsia" w:ascii="宋体" w:hAnsi="宋体"/>
          <w:b/>
          <w:sz w:val="30"/>
          <w:szCs w:val="30"/>
          <w:lang w:val="en-US" w:eastAsia="zh-CN"/>
        </w:rPr>
        <w:t>-2</w:t>
      </w:r>
      <w:r>
        <w:rPr>
          <w:rFonts w:hint="eastAsia" w:ascii="宋体" w:hAnsi="宋体"/>
          <w:b/>
          <w:sz w:val="30"/>
          <w:szCs w:val="30"/>
        </w:rPr>
        <w:t>月份全国柴油出口统计数据</w:t>
      </w:r>
      <w:bookmarkEnd w:id="29"/>
      <w:bookmarkEnd w:id="30"/>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071" w:type="dxa"/>
        <w:jc w:val="center"/>
        <w:shd w:val="clear" w:color="auto" w:fill="auto"/>
        <w:tblLayout w:type="fixed"/>
        <w:tblCellMar>
          <w:top w:w="0" w:type="dxa"/>
          <w:left w:w="0" w:type="dxa"/>
          <w:bottom w:w="0" w:type="dxa"/>
          <w:right w:w="0" w:type="dxa"/>
        </w:tblCellMar>
      </w:tblPr>
      <w:tblGrid>
        <w:gridCol w:w="1766"/>
        <w:gridCol w:w="1843"/>
        <w:gridCol w:w="1395"/>
        <w:gridCol w:w="1965"/>
        <w:gridCol w:w="2102"/>
      </w:tblGrid>
      <w:tr>
        <w:tblPrEx>
          <w:shd w:val="clear" w:color="auto" w:fill="auto"/>
          <w:tblCellMar>
            <w:top w:w="0" w:type="dxa"/>
            <w:left w:w="0" w:type="dxa"/>
            <w:bottom w:w="0" w:type="dxa"/>
            <w:right w:w="0" w:type="dxa"/>
          </w:tblCellMar>
        </w:tblPrEx>
        <w:trPr>
          <w:trHeight w:val="419" w:hRule="atLeast"/>
          <w:jc w:val="center"/>
        </w:trPr>
        <w:tc>
          <w:tcPr>
            <w:tcW w:w="1766" w:type="dxa"/>
            <w:tcBorders>
              <w:top w:val="single" w:color="000000" w:sz="8" w:space="0"/>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b/>
                <w:i w:val="0"/>
                <w:color w:val="auto"/>
                <w:sz w:val="22"/>
                <w:szCs w:val="22"/>
                <w:u w:val="none"/>
              </w:rPr>
            </w:pPr>
            <w:r>
              <w:rPr>
                <w:rStyle w:val="28"/>
                <w:rFonts w:hint="eastAsia" w:asciiTheme="minorEastAsia" w:hAnsiTheme="minorEastAsia" w:eastAsiaTheme="minorEastAsia" w:cstheme="minorEastAsia"/>
                <w:caps w:val="0"/>
                <w:color w:val="auto"/>
                <w:spacing w:val="0"/>
                <w:sz w:val="22"/>
                <w:szCs w:val="22"/>
              </w:rPr>
              <w:t>贸易伙伴名称</w:t>
            </w:r>
          </w:p>
        </w:tc>
        <w:tc>
          <w:tcPr>
            <w:tcW w:w="1843"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b/>
                <w:i w:val="0"/>
                <w:color w:val="auto"/>
                <w:sz w:val="22"/>
                <w:szCs w:val="22"/>
                <w:u w:val="none"/>
              </w:rPr>
            </w:pPr>
            <w:r>
              <w:rPr>
                <w:rStyle w:val="28"/>
                <w:rFonts w:hint="eastAsia" w:asciiTheme="minorEastAsia" w:hAnsiTheme="minorEastAsia" w:eastAsiaTheme="minorEastAsia" w:cstheme="minorEastAsia"/>
                <w:caps w:val="0"/>
                <w:color w:val="auto"/>
                <w:spacing w:val="0"/>
                <w:sz w:val="22"/>
                <w:szCs w:val="22"/>
              </w:rPr>
              <w:t>数量（吨）</w:t>
            </w:r>
          </w:p>
        </w:tc>
        <w:tc>
          <w:tcPr>
            <w:tcW w:w="1395"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b/>
                <w:i w:val="0"/>
                <w:color w:val="auto"/>
                <w:sz w:val="22"/>
                <w:szCs w:val="22"/>
                <w:u w:val="none"/>
              </w:rPr>
            </w:pPr>
            <w:r>
              <w:rPr>
                <w:rStyle w:val="28"/>
                <w:rFonts w:hint="eastAsia" w:asciiTheme="minorEastAsia" w:hAnsiTheme="minorEastAsia" w:eastAsiaTheme="minorEastAsia" w:cstheme="minorEastAsia"/>
                <w:caps w:val="0"/>
                <w:color w:val="auto"/>
                <w:spacing w:val="0"/>
                <w:sz w:val="22"/>
                <w:szCs w:val="22"/>
              </w:rPr>
              <w:t>所占比率</w:t>
            </w:r>
          </w:p>
        </w:tc>
        <w:tc>
          <w:tcPr>
            <w:tcW w:w="1965"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b/>
                <w:i w:val="0"/>
                <w:color w:val="auto"/>
                <w:sz w:val="22"/>
                <w:szCs w:val="22"/>
                <w:u w:val="none"/>
              </w:rPr>
            </w:pPr>
            <w:r>
              <w:rPr>
                <w:rStyle w:val="28"/>
                <w:rFonts w:hint="eastAsia" w:asciiTheme="minorEastAsia" w:hAnsiTheme="minorEastAsia" w:eastAsiaTheme="minorEastAsia" w:cstheme="minorEastAsia"/>
                <w:caps w:val="0"/>
                <w:color w:val="auto"/>
                <w:spacing w:val="0"/>
                <w:sz w:val="22"/>
                <w:szCs w:val="22"/>
              </w:rPr>
              <w:t>当月金额（元）</w:t>
            </w:r>
          </w:p>
        </w:tc>
        <w:tc>
          <w:tcPr>
            <w:tcW w:w="2102" w:type="dxa"/>
            <w:tcBorders>
              <w:top w:val="single" w:color="000000" w:sz="8" w:space="0"/>
              <w:left w:val="nil"/>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Theme="minorEastAsia" w:hAnsiTheme="minorEastAsia" w:eastAsiaTheme="minorEastAsia" w:cstheme="minorEastAsia"/>
                <w:b/>
                <w:i w:val="0"/>
                <w:color w:val="auto"/>
                <w:sz w:val="22"/>
                <w:szCs w:val="22"/>
                <w:u w:val="none"/>
              </w:rPr>
            </w:pPr>
            <w:r>
              <w:rPr>
                <w:rStyle w:val="28"/>
                <w:rFonts w:hint="eastAsia" w:asciiTheme="minorEastAsia" w:hAnsiTheme="minorEastAsia" w:eastAsiaTheme="minorEastAsia" w:cstheme="minorEastAsia"/>
                <w:caps w:val="0"/>
                <w:color w:val="auto"/>
                <w:spacing w:val="0"/>
                <w:sz w:val="22"/>
                <w:szCs w:val="22"/>
              </w:rPr>
              <w:t>当月均价（元/吨）</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孟加拉国</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235967.395</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14%</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677220862</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2869.98</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缅甸</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12891.798</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30087808</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2333.87</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柬埔寨</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9000</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26258580</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2917.62</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塞浦路斯</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82.01</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233852</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2851.51</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中国香港</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170252.952</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483353751</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2839.03</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印度</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45</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129403</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2875.62</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印度尼西亚</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219.157</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666756</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3042.37</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日本</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931.751</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2828157</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3035.31</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中国澳门</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8146.682</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20804459</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2553.73</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马来西亚</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20563.572</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56309364</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2738.31</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菲律宾</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307904.57</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18%</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831263405</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2699.74</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卡塔尔</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97.5</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261338</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2680.39</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新加坡</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375396.943</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22%</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1019233153</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2715.08</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韩国</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111037.476</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6%</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267264010</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2406.97</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泰国</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124.6</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359788</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2887.54</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越南</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98.568</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291753</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2959.92</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中国台湾</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96.7</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280600</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2901.76</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埃塞俄比亚</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400</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1141113</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2852.78</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利比里亚</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6454.075</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18805157</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2913.69</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塞拉利昂</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104.9</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357080</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3404.00</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多哥</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35</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127079</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3630.83</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丹麦</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541.3</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1558150</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2878.53</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英国</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2151.392</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6290214</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2923.79</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德国</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2065.674</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5911080</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2861.57</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法国</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493.6</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1230315</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2492.53</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意大利</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1049</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2996984</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2856.99</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荷兰</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122</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364563</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2988.22</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希腊</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182.5</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531974</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2914.93</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葡萄牙</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49.2</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138265</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2810.26</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马耳他</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1902.424</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5437858</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2858.38</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挪威</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228.78</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629087</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2749.75</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白俄罗斯</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30</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82347</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2744.90</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俄罗斯联邦</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290</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924919</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3189.38</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克罗地亚</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65</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208046</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3200.71</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安提瓜和巴布达</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513.305</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1467753</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2859.42</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巴哈马</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2733.02</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8424241</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3082.39</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巴巴多斯</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118.29</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358707</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3032.44</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伯利兹</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557.073</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1725173</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3096.85</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智利</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78735.897</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5%</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226245629</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2873.47</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厄瓜多尔</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66000</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4%</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226742838</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3435.50</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巴拿马</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14009.425</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39401374</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2812.49</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澳大利亚</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277972.376</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16%</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711463779</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2559.48</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库克群岛</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100</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360433</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3604.33</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图瓦卢</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29.888</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88876</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2973.63</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马绍尔群岛</w:t>
            </w:r>
          </w:p>
        </w:tc>
        <w:tc>
          <w:tcPr>
            <w:tcW w:w="1843"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5106.128</w:t>
            </w:r>
          </w:p>
        </w:tc>
        <w:tc>
          <w:tcPr>
            <w:tcW w:w="139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0%</w:t>
            </w:r>
          </w:p>
        </w:tc>
        <w:tc>
          <w:tcPr>
            <w:tcW w:w="196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15297480</w:t>
            </w:r>
          </w:p>
        </w:tc>
        <w:tc>
          <w:tcPr>
            <w:tcW w:w="2102"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Fonts w:hint="eastAsia" w:ascii="宋体" w:hAnsi="宋体" w:eastAsia="宋体" w:cs="宋体"/>
                <w:caps w:val="0"/>
                <w:color w:val="auto"/>
                <w:spacing w:val="0"/>
                <w:sz w:val="20"/>
                <w:szCs w:val="20"/>
              </w:rPr>
              <w:t>2995.91</w:t>
            </w:r>
          </w:p>
        </w:tc>
      </w:tr>
      <w:tr>
        <w:tblPrEx>
          <w:tblCellMar>
            <w:top w:w="0" w:type="dxa"/>
            <w:left w:w="0" w:type="dxa"/>
            <w:bottom w:w="0" w:type="dxa"/>
            <w:right w:w="0" w:type="dxa"/>
          </w:tblCellMar>
        </w:tblPrEx>
        <w:trPr>
          <w:trHeight w:val="300" w:hRule="atLeast"/>
          <w:jc w:val="center"/>
        </w:trPr>
        <w:tc>
          <w:tcPr>
            <w:tcW w:w="1766"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Style w:val="28"/>
                <w:rFonts w:hint="eastAsia" w:ascii="宋体" w:hAnsi="宋体" w:eastAsia="宋体" w:cs="宋体"/>
                <w:caps w:val="0"/>
                <w:color w:val="auto"/>
                <w:spacing w:val="0"/>
                <w:sz w:val="20"/>
                <w:szCs w:val="20"/>
              </w:rPr>
              <w:t>合计</w:t>
            </w:r>
          </w:p>
        </w:tc>
        <w:tc>
          <w:tcPr>
            <w:tcW w:w="1843" w:type="dxa"/>
            <w:tcBorders>
              <w:top w:val="nil"/>
              <w:left w:val="nil"/>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Style w:val="28"/>
                <w:rFonts w:hint="eastAsia" w:ascii="宋体" w:hAnsi="宋体" w:eastAsia="宋体" w:cs="宋体"/>
                <w:caps w:val="0"/>
                <w:color w:val="auto"/>
                <w:spacing w:val="0"/>
                <w:sz w:val="20"/>
                <w:szCs w:val="20"/>
              </w:rPr>
              <w:t>1714896.92</w:t>
            </w:r>
          </w:p>
        </w:tc>
        <w:tc>
          <w:tcPr>
            <w:tcW w:w="1395" w:type="dxa"/>
            <w:tcBorders>
              <w:top w:val="nil"/>
              <w:left w:val="nil"/>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Style w:val="28"/>
                <w:rFonts w:hint="eastAsia" w:ascii="宋体" w:hAnsi="宋体" w:eastAsia="宋体" w:cs="宋体"/>
                <w:caps w:val="0"/>
                <w:color w:val="auto"/>
                <w:spacing w:val="0"/>
                <w:sz w:val="20"/>
                <w:szCs w:val="20"/>
              </w:rPr>
              <w:t>100%</w:t>
            </w:r>
          </w:p>
        </w:tc>
        <w:tc>
          <w:tcPr>
            <w:tcW w:w="1965" w:type="dxa"/>
            <w:tcBorders>
              <w:top w:val="nil"/>
              <w:left w:val="nil"/>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Style w:val="28"/>
                <w:rFonts w:hint="eastAsia" w:ascii="宋体" w:hAnsi="宋体" w:eastAsia="宋体" w:cs="宋体"/>
                <w:caps w:val="0"/>
                <w:color w:val="auto"/>
                <w:spacing w:val="0"/>
                <w:sz w:val="20"/>
                <w:szCs w:val="20"/>
              </w:rPr>
              <w:t>4695157553.00</w:t>
            </w:r>
          </w:p>
        </w:tc>
        <w:tc>
          <w:tcPr>
            <w:tcW w:w="2102" w:type="dxa"/>
            <w:tcBorders>
              <w:top w:val="nil"/>
              <w:left w:val="nil"/>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textAlignment w:val="center"/>
              <w:rPr>
                <w:rFonts w:hint="eastAsia" w:ascii="宋体" w:hAnsi="宋体" w:eastAsia="宋体" w:cs="宋体"/>
                <w:i w:val="0"/>
                <w:color w:val="auto"/>
                <w:sz w:val="20"/>
                <w:szCs w:val="20"/>
                <w:u w:val="none"/>
              </w:rPr>
            </w:pPr>
            <w:r>
              <w:rPr>
                <w:rStyle w:val="28"/>
                <w:rFonts w:hint="eastAsia" w:ascii="宋体" w:hAnsi="宋体" w:eastAsia="宋体" w:cs="宋体"/>
                <w:caps w:val="0"/>
                <w:color w:val="auto"/>
                <w:spacing w:val="0"/>
                <w:sz w:val="20"/>
                <w:szCs w:val="20"/>
              </w:rPr>
              <w:t>2737.87</w:t>
            </w:r>
          </w:p>
        </w:tc>
      </w:tr>
    </w:tbl>
    <w:p>
      <w:pPr>
        <w:rPr>
          <w:rFonts w:hint="eastAsia" w:ascii="宋体" w:hAnsi="宋体"/>
          <w:b/>
          <w:sz w:val="30"/>
          <w:szCs w:val="30"/>
        </w:rPr>
      </w:pPr>
    </w:p>
    <w:p>
      <w:pPr>
        <w:pStyle w:val="3"/>
        <w:spacing w:before="120" w:after="120" w:line="240" w:lineRule="auto"/>
        <w:rPr>
          <w:rFonts w:hint="eastAsia"/>
          <w:bCs/>
          <w:szCs w:val="21"/>
        </w:rPr>
      </w:pPr>
      <w:bookmarkStart w:id="31" w:name="_Toc16942"/>
      <w:r>
        <w:rPr>
          <w:rFonts w:hint="eastAsia" w:ascii="宋体" w:hAnsi="宋体"/>
          <w:b/>
          <w:color w:val="auto"/>
          <w:sz w:val="30"/>
          <w:szCs w:val="30"/>
        </w:rPr>
        <w:t>4.3 20</w:t>
      </w:r>
      <w:r>
        <w:rPr>
          <w:rFonts w:hint="eastAsia" w:ascii="宋体" w:hAnsi="宋体"/>
          <w:b/>
          <w:color w:val="auto"/>
          <w:sz w:val="30"/>
          <w:szCs w:val="30"/>
          <w:lang w:val="en-US" w:eastAsia="zh-CN"/>
        </w:rPr>
        <w:t>21</w:t>
      </w:r>
      <w:r>
        <w:rPr>
          <w:rFonts w:hint="eastAsia" w:ascii="宋体" w:hAnsi="宋体"/>
          <w:b/>
          <w:color w:val="auto"/>
          <w:sz w:val="30"/>
          <w:szCs w:val="30"/>
        </w:rPr>
        <w:t>年</w:t>
      </w:r>
      <w:r>
        <w:rPr>
          <w:rFonts w:hint="eastAsia" w:ascii="宋体" w:hAnsi="宋体"/>
          <w:b/>
          <w:color w:val="auto"/>
          <w:sz w:val="30"/>
          <w:szCs w:val="30"/>
          <w:lang w:val="en-US" w:eastAsia="zh-CN"/>
        </w:rPr>
        <w:t>2</w:t>
      </w:r>
      <w:r>
        <w:rPr>
          <w:rFonts w:hint="eastAsia" w:ascii="宋体" w:hAnsi="宋体"/>
          <w:b/>
          <w:color w:val="auto"/>
          <w:sz w:val="30"/>
          <w:szCs w:val="30"/>
        </w:rPr>
        <w:t>月份全国原油进出口统计数据</w:t>
      </w:r>
      <w:bookmarkEnd w:id="25"/>
      <w:bookmarkEnd w:id="31"/>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8220" w:type="dxa"/>
        <w:jc w:val="center"/>
        <w:tblLayout w:type="autofit"/>
        <w:tblCellMar>
          <w:top w:w="0" w:type="dxa"/>
          <w:left w:w="0" w:type="dxa"/>
          <w:bottom w:w="0" w:type="dxa"/>
          <w:right w:w="0" w:type="dxa"/>
        </w:tblCellMar>
      </w:tblPr>
      <w:tblGrid>
        <w:gridCol w:w="4035"/>
        <w:gridCol w:w="4185"/>
      </w:tblGrid>
      <w:tr>
        <w:tblPrEx>
          <w:tblCellMar>
            <w:top w:w="0" w:type="dxa"/>
            <w:left w:w="0" w:type="dxa"/>
            <w:bottom w:w="0" w:type="dxa"/>
            <w:right w:w="0" w:type="dxa"/>
          </w:tblCellMar>
        </w:tblPrEx>
        <w:trPr>
          <w:trHeight w:val="469" w:hRule="atLeast"/>
          <w:jc w:val="center"/>
        </w:trPr>
        <w:tc>
          <w:tcPr>
            <w:tcW w:w="4035" w:type="dxa"/>
            <w:tcBorders>
              <w:top w:val="single" w:color="333333" w:sz="8" w:space="0"/>
              <w:left w:val="nil"/>
              <w:bottom w:val="single" w:color="333333" w:sz="8" w:space="0"/>
              <w:right w:val="single" w:color="333333" w:sz="8" w:space="0"/>
            </w:tcBorders>
            <w:shd w:val="clear" w:color="auto" w:fill="00B0F0"/>
            <w:noWrap w:val="0"/>
            <w:vAlign w:val="center"/>
          </w:tcPr>
          <w:p>
            <w:pPr>
              <w:widowControl/>
              <w:wordWrap w:val="0"/>
              <w:spacing w:line="288" w:lineRule="auto"/>
              <w:jc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b/>
                <w:bCs/>
                <w:color w:val="auto"/>
                <w:kern w:val="0"/>
                <w:sz w:val="22"/>
                <w:szCs w:val="22"/>
              </w:rPr>
              <w:t>进</w:t>
            </w:r>
            <w:r>
              <w:rPr>
                <w:rFonts w:hint="eastAsia" w:asciiTheme="minorEastAsia" w:hAnsiTheme="minorEastAsia" w:eastAsiaTheme="minorEastAsia" w:cstheme="minorEastAsia"/>
                <w:b/>
                <w:bCs/>
                <w:color w:val="auto"/>
                <w:kern w:val="0"/>
                <w:sz w:val="22"/>
                <w:szCs w:val="22"/>
                <w:lang w:val="en-US" w:eastAsia="zh-CN"/>
              </w:rPr>
              <w:t xml:space="preserve">  </w:t>
            </w:r>
            <w:r>
              <w:rPr>
                <w:rFonts w:hint="eastAsia" w:asciiTheme="minorEastAsia" w:hAnsiTheme="minorEastAsia" w:eastAsiaTheme="minorEastAsia" w:cstheme="minorEastAsia"/>
                <w:b/>
                <w:bCs/>
                <w:color w:val="auto"/>
                <w:kern w:val="0"/>
                <w:sz w:val="22"/>
                <w:szCs w:val="22"/>
              </w:rPr>
              <w:t>口</w:t>
            </w:r>
          </w:p>
        </w:tc>
        <w:tc>
          <w:tcPr>
            <w:tcW w:w="4185" w:type="dxa"/>
            <w:tcBorders>
              <w:top w:val="single" w:color="333333" w:sz="8" w:space="0"/>
              <w:left w:val="nil"/>
              <w:bottom w:val="single" w:color="333333" w:sz="8" w:space="0"/>
              <w:right w:val="single" w:color="333333" w:sz="8" w:space="0"/>
            </w:tcBorders>
            <w:shd w:val="clear" w:color="auto" w:fill="00B0F0"/>
            <w:noWrap w:val="0"/>
            <w:vAlign w:val="center"/>
          </w:tcPr>
          <w:p>
            <w:pPr>
              <w:widowControl/>
              <w:wordWrap w:val="0"/>
              <w:spacing w:line="288" w:lineRule="auto"/>
              <w:jc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b/>
                <w:bCs/>
                <w:color w:val="auto"/>
                <w:kern w:val="0"/>
                <w:sz w:val="22"/>
                <w:szCs w:val="22"/>
              </w:rPr>
              <w:t>出</w:t>
            </w:r>
            <w:r>
              <w:rPr>
                <w:rFonts w:hint="eastAsia" w:asciiTheme="minorEastAsia" w:hAnsiTheme="minorEastAsia" w:eastAsiaTheme="minorEastAsia" w:cstheme="minorEastAsia"/>
                <w:b/>
                <w:bCs/>
                <w:color w:val="auto"/>
                <w:kern w:val="0"/>
                <w:sz w:val="22"/>
                <w:szCs w:val="22"/>
                <w:lang w:val="en-US" w:eastAsia="zh-CN"/>
              </w:rPr>
              <w:t xml:space="preserve">  </w:t>
            </w:r>
            <w:r>
              <w:rPr>
                <w:rFonts w:hint="eastAsia" w:asciiTheme="minorEastAsia" w:hAnsiTheme="minorEastAsia" w:eastAsiaTheme="minorEastAsia" w:cstheme="minorEastAsia"/>
                <w:b/>
                <w:bCs/>
                <w:color w:val="auto"/>
                <w:kern w:val="0"/>
                <w:sz w:val="22"/>
                <w:szCs w:val="22"/>
              </w:rPr>
              <w:t>口</w:t>
            </w:r>
          </w:p>
        </w:tc>
      </w:tr>
      <w:tr>
        <w:tblPrEx>
          <w:tblCellMar>
            <w:top w:w="0" w:type="dxa"/>
            <w:left w:w="0" w:type="dxa"/>
            <w:bottom w:w="0" w:type="dxa"/>
            <w:right w:w="0" w:type="dxa"/>
          </w:tblCellMar>
        </w:tblPrEx>
        <w:trPr>
          <w:trHeight w:val="469" w:hRule="atLeast"/>
          <w:jc w:val="center"/>
        </w:trPr>
        <w:tc>
          <w:tcPr>
            <w:tcW w:w="40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color w:val="auto"/>
                <w:sz w:val="20"/>
                <w:szCs w:val="20"/>
                <w:shd w:val="clear" w:color="auto" w:fill="FFFFFF"/>
              </w:rPr>
            </w:pPr>
            <w:r>
              <w:rPr>
                <w:rFonts w:hint="eastAsia" w:asciiTheme="minorEastAsia" w:hAnsiTheme="minorEastAsia" w:eastAsiaTheme="minorEastAsia" w:cstheme="minorEastAsia"/>
                <w:color w:val="auto"/>
                <w:sz w:val="20"/>
                <w:szCs w:val="20"/>
                <w:shd w:val="clear" w:color="auto" w:fill="FFFFFF"/>
              </w:rPr>
              <w:t>当月进口量: 44980791.7 (吨)</w:t>
            </w:r>
          </w:p>
        </w:tc>
        <w:tc>
          <w:tcPr>
            <w:tcW w:w="4185" w:type="dxa"/>
            <w:tcBorders>
              <w:top w:val="single" w:color="auto" w:sz="4" w:space="0"/>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color w:val="auto"/>
                <w:sz w:val="20"/>
                <w:szCs w:val="20"/>
                <w:shd w:val="clear" w:color="auto" w:fill="FFFFFF"/>
              </w:rPr>
            </w:pPr>
            <w:r>
              <w:rPr>
                <w:rFonts w:hint="eastAsia" w:asciiTheme="minorEastAsia" w:hAnsiTheme="minorEastAsia" w:eastAsiaTheme="minorEastAsia" w:cstheme="minorEastAsia"/>
                <w:color w:val="auto"/>
                <w:sz w:val="20"/>
                <w:szCs w:val="20"/>
                <w:shd w:val="clear" w:color="auto" w:fill="FFFFFF"/>
              </w:rPr>
              <w:t>当月出口量: 331607.9 (吨)</w:t>
            </w:r>
          </w:p>
        </w:tc>
      </w:tr>
      <w:tr>
        <w:tblPrEx>
          <w:tblCellMar>
            <w:top w:w="0" w:type="dxa"/>
            <w:left w:w="0" w:type="dxa"/>
            <w:bottom w:w="0" w:type="dxa"/>
            <w:right w:w="0" w:type="dxa"/>
          </w:tblCellMar>
        </w:tblPrEx>
        <w:trPr>
          <w:trHeight w:val="462" w:hRule="atLeast"/>
          <w:jc w:val="center"/>
        </w:trPr>
        <w:tc>
          <w:tcPr>
            <w:tcW w:w="4035"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color w:val="auto"/>
                <w:sz w:val="20"/>
                <w:szCs w:val="20"/>
                <w:shd w:val="clear" w:color="auto" w:fill="FFFFFF"/>
              </w:rPr>
            </w:pPr>
            <w:r>
              <w:rPr>
                <w:rFonts w:hint="eastAsia" w:asciiTheme="minorEastAsia" w:hAnsiTheme="minorEastAsia" w:eastAsiaTheme="minorEastAsia" w:cstheme="minorEastAsia"/>
                <w:color w:val="auto"/>
                <w:sz w:val="20"/>
                <w:szCs w:val="20"/>
                <w:shd w:val="clear" w:color="auto" w:fill="FFFFFF"/>
              </w:rPr>
              <w:t>累计进口量: 89567524.4 (吨)</w:t>
            </w:r>
          </w:p>
        </w:tc>
        <w:tc>
          <w:tcPr>
            <w:tcW w:w="4185"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color w:val="auto"/>
                <w:sz w:val="20"/>
                <w:szCs w:val="20"/>
                <w:shd w:val="clear" w:color="auto" w:fill="FFFFFF"/>
              </w:rPr>
            </w:pPr>
            <w:r>
              <w:rPr>
                <w:rFonts w:hint="eastAsia" w:asciiTheme="minorEastAsia" w:hAnsiTheme="minorEastAsia" w:eastAsiaTheme="minorEastAsia" w:cstheme="minorEastAsia"/>
                <w:color w:val="auto"/>
                <w:sz w:val="20"/>
                <w:szCs w:val="20"/>
                <w:shd w:val="clear" w:color="auto" w:fill="FFFFFF"/>
              </w:rPr>
              <w:t>累计出口量: 364050.1  (吨)</w:t>
            </w:r>
          </w:p>
        </w:tc>
      </w:tr>
      <w:tr>
        <w:tblPrEx>
          <w:tblCellMar>
            <w:top w:w="0" w:type="dxa"/>
            <w:left w:w="0" w:type="dxa"/>
            <w:bottom w:w="0" w:type="dxa"/>
            <w:right w:w="0" w:type="dxa"/>
          </w:tblCellMar>
        </w:tblPrEx>
        <w:trPr>
          <w:trHeight w:val="462" w:hRule="atLeast"/>
          <w:jc w:val="center"/>
        </w:trPr>
        <w:tc>
          <w:tcPr>
            <w:tcW w:w="4035"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color w:val="auto"/>
                <w:sz w:val="20"/>
                <w:szCs w:val="20"/>
                <w:shd w:val="clear" w:color="auto" w:fill="FFFFFF"/>
              </w:rPr>
            </w:pPr>
            <w:r>
              <w:rPr>
                <w:rFonts w:hint="eastAsia" w:asciiTheme="minorEastAsia" w:hAnsiTheme="minorEastAsia" w:eastAsiaTheme="minorEastAsia" w:cstheme="minorEastAsia"/>
                <w:color w:val="auto"/>
                <w:sz w:val="20"/>
                <w:szCs w:val="20"/>
                <w:shd w:val="clear" w:color="auto" w:fill="FFFFFF"/>
              </w:rPr>
              <w:t>当月进口均价:396.5（美元/吨)</w:t>
            </w:r>
          </w:p>
        </w:tc>
        <w:tc>
          <w:tcPr>
            <w:tcW w:w="4185"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color w:val="auto"/>
                <w:sz w:val="20"/>
                <w:szCs w:val="20"/>
                <w:shd w:val="clear" w:color="auto" w:fill="FFFFFF"/>
              </w:rPr>
            </w:pPr>
            <w:r>
              <w:rPr>
                <w:rFonts w:hint="eastAsia" w:asciiTheme="minorEastAsia" w:hAnsiTheme="minorEastAsia" w:eastAsiaTheme="minorEastAsia" w:cstheme="minorEastAsia"/>
                <w:color w:val="auto"/>
                <w:sz w:val="20"/>
                <w:szCs w:val="20"/>
                <w:shd w:val="clear" w:color="auto" w:fill="FFFFFF"/>
              </w:rPr>
              <w:t>当月出口均价:321.4美元/吨)</w:t>
            </w:r>
          </w:p>
        </w:tc>
      </w:tr>
      <w:tr>
        <w:tblPrEx>
          <w:tblCellMar>
            <w:top w:w="0" w:type="dxa"/>
            <w:left w:w="0" w:type="dxa"/>
            <w:bottom w:w="0" w:type="dxa"/>
            <w:right w:w="0" w:type="dxa"/>
          </w:tblCellMar>
        </w:tblPrEx>
        <w:trPr>
          <w:trHeight w:val="462" w:hRule="atLeast"/>
          <w:jc w:val="center"/>
        </w:trPr>
        <w:tc>
          <w:tcPr>
            <w:tcW w:w="4035"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color w:val="auto"/>
                <w:sz w:val="20"/>
                <w:szCs w:val="20"/>
                <w:shd w:val="clear" w:color="auto" w:fill="FFFFFF"/>
              </w:rPr>
            </w:pPr>
            <w:r>
              <w:rPr>
                <w:rFonts w:hint="eastAsia" w:asciiTheme="minorEastAsia" w:hAnsiTheme="minorEastAsia" w:eastAsiaTheme="minorEastAsia" w:cstheme="minorEastAsia"/>
                <w:color w:val="auto"/>
                <w:sz w:val="20"/>
                <w:szCs w:val="20"/>
                <w:shd w:val="clear" w:color="auto" w:fill="FFFFFF"/>
              </w:rPr>
              <w:t>进口量环比：0.88%</w:t>
            </w:r>
          </w:p>
        </w:tc>
        <w:tc>
          <w:tcPr>
            <w:tcW w:w="4185"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color w:val="auto"/>
                <w:sz w:val="20"/>
                <w:szCs w:val="20"/>
                <w:shd w:val="clear" w:color="auto" w:fill="FFFFFF"/>
              </w:rPr>
            </w:pPr>
            <w:r>
              <w:rPr>
                <w:rFonts w:hint="eastAsia" w:asciiTheme="minorEastAsia" w:hAnsiTheme="minorEastAsia" w:eastAsiaTheme="minorEastAsia" w:cstheme="minorEastAsia"/>
                <w:color w:val="auto"/>
                <w:sz w:val="20"/>
                <w:szCs w:val="20"/>
                <w:shd w:val="clear" w:color="auto" w:fill="FFFFFF"/>
              </w:rPr>
              <w:t>出口量环比：922.15%</w:t>
            </w:r>
          </w:p>
        </w:tc>
      </w:tr>
      <w:tr>
        <w:tblPrEx>
          <w:tblCellMar>
            <w:top w:w="0" w:type="dxa"/>
            <w:left w:w="0" w:type="dxa"/>
            <w:bottom w:w="0" w:type="dxa"/>
            <w:right w:w="0" w:type="dxa"/>
          </w:tblCellMar>
        </w:tblPrEx>
        <w:trPr>
          <w:trHeight w:val="462" w:hRule="atLeast"/>
          <w:jc w:val="center"/>
        </w:trPr>
        <w:tc>
          <w:tcPr>
            <w:tcW w:w="4035"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color w:val="auto"/>
                <w:sz w:val="20"/>
                <w:szCs w:val="20"/>
                <w:shd w:val="clear" w:color="auto" w:fill="FFFFFF"/>
              </w:rPr>
            </w:pPr>
            <w:r>
              <w:rPr>
                <w:rFonts w:hint="eastAsia" w:asciiTheme="minorEastAsia" w:hAnsiTheme="minorEastAsia" w:eastAsiaTheme="minorEastAsia" w:cstheme="minorEastAsia"/>
                <w:color w:val="auto"/>
                <w:sz w:val="20"/>
                <w:szCs w:val="20"/>
                <w:shd w:val="clear" w:color="auto" w:fill="FFFFFF"/>
              </w:rPr>
              <w:t>进口量同比：/</w:t>
            </w:r>
          </w:p>
        </w:tc>
        <w:tc>
          <w:tcPr>
            <w:tcW w:w="4185"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color w:val="auto"/>
                <w:sz w:val="20"/>
                <w:szCs w:val="20"/>
                <w:shd w:val="clear" w:color="auto" w:fill="FFFFFF"/>
              </w:rPr>
            </w:pPr>
            <w:r>
              <w:rPr>
                <w:rFonts w:hint="eastAsia" w:asciiTheme="minorEastAsia" w:hAnsiTheme="minorEastAsia" w:eastAsiaTheme="minorEastAsia" w:cstheme="minorEastAsia"/>
                <w:color w:val="auto"/>
                <w:sz w:val="20"/>
                <w:szCs w:val="20"/>
                <w:shd w:val="clear" w:color="auto" w:fill="FFFFFF"/>
              </w:rPr>
              <w:t>出口量同比：/</w:t>
            </w:r>
          </w:p>
        </w:tc>
      </w:tr>
      <w:tr>
        <w:tblPrEx>
          <w:tblCellMar>
            <w:top w:w="0" w:type="dxa"/>
            <w:left w:w="0" w:type="dxa"/>
            <w:bottom w:w="0" w:type="dxa"/>
            <w:right w:w="0" w:type="dxa"/>
          </w:tblCellMar>
        </w:tblPrEx>
        <w:trPr>
          <w:trHeight w:val="469" w:hRule="atLeast"/>
          <w:jc w:val="center"/>
        </w:trPr>
        <w:tc>
          <w:tcPr>
            <w:tcW w:w="4035" w:type="dxa"/>
            <w:tcBorders>
              <w:top w:val="nil"/>
              <w:left w:val="single" w:color="auto" w:sz="4" w:space="0"/>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color w:val="auto"/>
                <w:sz w:val="20"/>
                <w:szCs w:val="20"/>
                <w:shd w:val="clear" w:color="auto" w:fill="FFFFFF"/>
              </w:rPr>
            </w:pPr>
            <w:r>
              <w:rPr>
                <w:rFonts w:hint="eastAsia" w:asciiTheme="minorEastAsia" w:hAnsiTheme="minorEastAsia" w:eastAsiaTheme="minorEastAsia" w:cstheme="minorEastAsia"/>
                <w:color w:val="auto"/>
                <w:sz w:val="20"/>
                <w:szCs w:val="20"/>
                <w:shd w:val="clear" w:color="auto" w:fill="FFFFFF"/>
              </w:rPr>
              <w:t>累计进口量比去年同期：4.04%</w:t>
            </w:r>
          </w:p>
        </w:tc>
        <w:tc>
          <w:tcPr>
            <w:tcW w:w="4185" w:type="dxa"/>
            <w:tcBorders>
              <w:top w:val="nil"/>
              <w:left w:val="nil"/>
              <w:bottom w:val="single" w:color="auto" w:sz="4" w:space="0"/>
              <w:right w:val="single" w:color="auto" w:sz="4" w:space="0"/>
            </w:tcBorders>
            <w:shd w:val="clear" w:color="auto" w:fill="auto"/>
            <w:noWrap w:val="0"/>
            <w:vAlign w:val="center"/>
          </w:tcPr>
          <w:p>
            <w:pPr>
              <w:widowControl/>
              <w:wordWrap w:val="0"/>
              <w:spacing w:line="288" w:lineRule="auto"/>
              <w:jc w:val="center"/>
              <w:rPr>
                <w:rFonts w:hint="eastAsia" w:asciiTheme="minorEastAsia" w:hAnsiTheme="minorEastAsia" w:eastAsiaTheme="minorEastAsia" w:cstheme="minorEastAsia"/>
                <w:color w:val="auto"/>
                <w:sz w:val="20"/>
                <w:szCs w:val="20"/>
                <w:shd w:val="clear" w:color="auto" w:fill="FFFFFF"/>
              </w:rPr>
            </w:pPr>
            <w:r>
              <w:rPr>
                <w:rFonts w:hint="eastAsia" w:asciiTheme="minorEastAsia" w:hAnsiTheme="minorEastAsia" w:eastAsiaTheme="minorEastAsia" w:cstheme="minorEastAsia"/>
                <w:color w:val="auto"/>
                <w:sz w:val="20"/>
                <w:szCs w:val="20"/>
                <w:shd w:val="clear" w:color="auto" w:fill="FFFFFF"/>
              </w:rPr>
              <w:t>累计出口量比去年同期：492.92%</w:t>
            </w:r>
          </w:p>
        </w:tc>
      </w:tr>
    </w:tbl>
    <w:p>
      <w:pPr>
        <w:pStyle w:val="23"/>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据海关统计，2021年2月我国原油进口量为44980791.7吨，累计进口量为89567524.4吨， 当月进口金额为1783365.6万美元，累计进口金额为3396200.3万美元，当月进口均价为396.5美元/吨，累计进口均价379.2美元/吨，与上年同期数量相比增长4.04%。</w:t>
      </w:r>
    </w:p>
    <w:p>
      <w:pPr>
        <w:pStyle w:val="23"/>
        <w:spacing w:line="360" w:lineRule="auto"/>
        <w:ind w:firstLine="560" w:firstLineChars="200"/>
        <w:rPr>
          <w:rFonts w:hint="eastAsia"/>
          <w:bCs/>
          <w:szCs w:val="21"/>
        </w:rPr>
      </w:pPr>
      <w:r>
        <w:rPr>
          <w:rFonts w:hint="eastAsia" w:asciiTheme="minorEastAsia" w:hAnsiTheme="minorEastAsia" w:eastAsiaTheme="minorEastAsia" w:cstheme="minorEastAsia"/>
          <w:color w:val="auto"/>
          <w:sz w:val="28"/>
          <w:szCs w:val="28"/>
        </w:rPr>
        <w:t>2021年2月我国原油出口量为331607.9吨，累计出口量为364050.1吨， 当月出口金额为10657.1万美元，累计出口金额为11886.6万美元，当月出口均价为321.4美元/吨，累计出口均价为326.5美元/吨，与上年同期数量相比增长492.92%。</w:t>
      </w:r>
    </w:p>
    <w:p>
      <w:pPr>
        <w:pStyle w:val="3"/>
        <w:spacing w:before="120" w:after="120" w:line="240" w:lineRule="auto"/>
        <w:rPr>
          <w:rFonts w:hint="eastAsia" w:ascii="宋体" w:hAnsi="宋体"/>
          <w:b/>
          <w:sz w:val="30"/>
          <w:szCs w:val="30"/>
        </w:rPr>
      </w:pPr>
      <w:bookmarkStart w:id="32" w:name="_Toc18589"/>
      <w:bookmarkStart w:id="33" w:name="_Toc20776"/>
      <w:r>
        <w:rPr>
          <w:rFonts w:hint="eastAsia" w:ascii="宋体" w:hAnsi="宋体"/>
          <w:b/>
          <w:sz w:val="30"/>
          <w:szCs w:val="30"/>
        </w:rPr>
        <w:t>4.4 20</w:t>
      </w:r>
      <w:r>
        <w:rPr>
          <w:rFonts w:hint="eastAsia" w:ascii="宋体" w:hAnsi="宋体"/>
          <w:b/>
          <w:sz w:val="30"/>
          <w:szCs w:val="30"/>
          <w:lang w:val="en-US" w:eastAsia="zh-CN"/>
        </w:rPr>
        <w:t>21</w:t>
      </w:r>
      <w:r>
        <w:rPr>
          <w:rFonts w:hint="eastAsia" w:ascii="宋体" w:hAnsi="宋体"/>
          <w:b/>
          <w:sz w:val="30"/>
          <w:szCs w:val="30"/>
        </w:rPr>
        <w:t>年</w:t>
      </w:r>
      <w:r>
        <w:rPr>
          <w:rFonts w:hint="eastAsia" w:ascii="宋体" w:hAnsi="宋体"/>
          <w:b/>
          <w:sz w:val="30"/>
          <w:szCs w:val="30"/>
          <w:lang w:val="en-US" w:eastAsia="zh-CN"/>
        </w:rPr>
        <w:t>2</w:t>
      </w:r>
      <w:r>
        <w:rPr>
          <w:rFonts w:hint="eastAsia" w:ascii="宋体" w:hAnsi="宋体"/>
          <w:b/>
          <w:sz w:val="30"/>
          <w:szCs w:val="30"/>
        </w:rPr>
        <w:t>月份航空煤油进出口统计数据</w:t>
      </w:r>
      <w:bookmarkEnd w:id="32"/>
      <w:bookmarkEnd w:id="33"/>
    </w:p>
    <w:p>
      <w:pPr>
        <w:ind w:firstLine="420" w:firstLineChars="200"/>
        <w:jc w:val="left"/>
        <w:rPr>
          <w:rFonts w:hint="eastAsia" w:ascii="宋体" w:hAnsi="宋体"/>
        </w:rPr>
      </w:pPr>
      <w:r>
        <w:rPr>
          <w:rFonts w:hint="eastAsia" w:ascii="宋体" w:hAnsi="宋体"/>
        </w:rPr>
        <w:t>单位：</w:t>
      </w:r>
      <w:r>
        <w:rPr>
          <w:rFonts w:hint="eastAsia" w:ascii="宋体" w:hAnsi="宋体"/>
          <w:lang w:eastAsia="zh-CN"/>
        </w:rPr>
        <w:t>吨</w:t>
      </w:r>
      <w:r>
        <w:rPr>
          <w:rFonts w:hint="eastAsia" w:ascii="宋体" w:hAnsi="宋体"/>
        </w:rPr>
        <w:t>，美元</w:t>
      </w:r>
    </w:p>
    <w:p>
      <w:pPr>
        <w:ind w:firstLine="420" w:firstLineChars="200"/>
        <w:jc w:val="left"/>
        <w:rPr>
          <w:rFonts w:hint="eastAsia" w:ascii="宋体" w:hAnsi="宋体"/>
        </w:rPr>
      </w:pPr>
    </w:p>
    <w:bookmarkEnd w:id="26"/>
    <w:tbl>
      <w:tblPr>
        <w:tblStyle w:val="24"/>
        <w:tblW w:w="9036" w:type="dxa"/>
        <w:jc w:val="center"/>
        <w:shd w:val="clear" w:color="auto" w:fill="auto"/>
        <w:tblLayout w:type="fixed"/>
        <w:tblCellMar>
          <w:top w:w="0" w:type="dxa"/>
          <w:left w:w="0" w:type="dxa"/>
          <w:bottom w:w="0" w:type="dxa"/>
          <w:right w:w="0" w:type="dxa"/>
        </w:tblCellMar>
      </w:tblPr>
      <w:tblGrid>
        <w:gridCol w:w="4500"/>
        <w:gridCol w:w="4536"/>
      </w:tblGrid>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4"/>
                <w:szCs w:val="24"/>
                <w:u w:val="none"/>
              </w:rPr>
            </w:pPr>
            <w:r>
              <w:rPr>
                <w:rStyle w:val="28"/>
                <w:rFonts w:ascii="宋体" w:hAnsi="宋体" w:eastAsia="宋体" w:cs="宋体"/>
                <w:caps w:val="0"/>
                <w:spacing w:val="0"/>
                <w:sz w:val="24"/>
                <w:szCs w:val="24"/>
              </w:rPr>
              <w:t>进</w:t>
            </w:r>
            <w:r>
              <w:rPr>
                <w:rStyle w:val="28"/>
                <w:rFonts w:hint="eastAsia" w:cs="宋体"/>
                <w:caps w:val="0"/>
                <w:spacing w:val="0"/>
                <w:sz w:val="24"/>
                <w:szCs w:val="24"/>
                <w:lang w:val="en-US" w:eastAsia="zh-CN"/>
              </w:rPr>
              <w:t xml:space="preserve">  </w:t>
            </w:r>
            <w:r>
              <w:rPr>
                <w:rStyle w:val="28"/>
                <w:rFonts w:ascii="宋体" w:hAnsi="宋体" w:eastAsia="宋体" w:cs="宋体"/>
                <w:caps w:val="0"/>
                <w:spacing w:val="0"/>
                <w:sz w:val="24"/>
                <w:szCs w:val="24"/>
              </w:rPr>
              <w:t>口</w:t>
            </w:r>
          </w:p>
        </w:tc>
        <w:tc>
          <w:tcPr>
            <w:tcW w:w="4536" w:type="dxa"/>
            <w:tcBorders>
              <w:top w:val="nil"/>
              <w:left w:val="single" w:color="000000" w:sz="8" w:space="0"/>
              <w:bottom w:val="single" w:color="000000" w:sz="8" w:space="0"/>
              <w:right w:val="single" w:color="000000" w:sz="8" w:space="0"/>
            </w:tcBorders>
            <w:shd w:val="clear" w:color="auto" w:fill="00B0F0"/>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4"/>
                <w:szCs w:val="24"/>
                <w:u w:val="none"/>
              </w:rPr>
            </w:pPr>
            <w:r>
              <w:rPr>
                <w:rStyle w:val="28"/>
                <w:rFonts w:hint="eastAsia" w:ascii="宋体" w:hAnsi="宋体" w:eastAsia="宋体" w:cs="宋体"/>
                <w:caps w:val="0"/>
                <w:spacing w:val="0"/>
                <w:sz w:val="24"/>
                <w:szCs w:val="24"/>
              </w:rPr>
              <w:t>出</w:t>
            </w:r>
            <w:r>
              <w:rPr>
                <w:rStyle w:val="28"/>
                <w:rFonts w:hint="eastAsia" w:cs="宋体"/>
                <w:caps w:val="0"/>
                <w:spacing w:val="0"/>
                <w:sz w:val="24"/>
                <w:szCs w:val="24"/>
                <w:lang w:val="en-US" w:eastAsia="zh-CN"/>
              </w:rPr>
              <w:t xml:space="preserve">  </w:t>
            </w:r>
            <w:r>
              <w:rPr>
                <w:rStyle w:val="28"/>
                <w:rFonts w:hint="eastAsia" w:ascii="宋体" w:hAnsi="宋体" w:eastAsia="宋体" w:cs="宋体"/>
                <w:caps w:val="0"/>
                <w:spacing w:val="0"/>
                <w:sz w:val="24"/>
                <w:szCs w:val="24"/>
              </w:rPr>
              <w:t>口</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2</w:t>
            </w:r>
            <w:r>
              <w:rPr>
                <w:rFonts w:ascii="宋体" w:hAnsi="宋体" w:eastAsia="宋体" w:cs="宋体"/>
                <w:caps w:val="0"/>
                <w:spacing w:val="0"/>
                <w:sz w:val="20"/>
                <w:szCs w:val="20"/>
              </w:rPr>
              <w:t>月进口量:</w:t>
            </w:r>
            <w:r>
              <w:rPr>
                <w:rFonts w:hint="eastAsia" w:ascii="宋体" w:hAnsi="宋体" w:eastAsia="宋体" w:cs="宋体"/>
                <w:caps w:val="0"/>
                <w:spacing w:val="0"/>
                <w:sz w:val="20"/>
                <w:szCs w:val="20"/>
              </w:rPr>
              <w:t>151447.86（吨）</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2月出口量:514463.54（吨）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累计进口量:247648.024 (吨）</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累计出口量:876282.649（吨）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当月进口均价:3038.06（元/吨）</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当月出口均价:2872.65（元/吨）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累计进口均价：5962.66（元/吨）</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累计出口均价:5558.14（元/吨）</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进口量环比:57.43%</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出口量环比：42.19%</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进口量同比：-</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出口量同比：-</w:t>
            </w:r>
          </w:p>
        </w:tc>
      </w:tr>
      <w:tr>
        <w:tblPrEx>
          <w:tblCellMar>
            <w:top w:w="0" w:type="dxa"/>
            <w:left w:w="0" w:type="dxa"/>
            <w:bottom w:w="0" w:type="dxa"/>
            <w:right w:w="0" w:type="dxa"/>
          </w:tblCellMar>
        </w:tblPrEx>
        <w:trPr>
          <w:trHeight w:val="390" w:hRule="atLeast"/>
          <w:jc w:val="center"/>
        </w:trPr>
        <w:tc>
          <w:tcPr>
            <w:tcW w:w="4500"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累计进口量比去年同期：-42.21%</w:t>
            </w:r>
          </w:p>
        </w:tc>
        <w:tc>
          <w:tcPr>
            <w:tcW w:w="453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pStyle w:val="2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jc w:val="center"/>
              <w:rPr>
                <w:rFonts w:hint="eastAsia" w:ascii="宋体" w:hAnsi="宋体" w:eastAsia="宋体" w:cs="宋体"/>
                <w:i w:val="0"/>
                <w:color w:val="000000"/>
                <w:sz w:val="20"/>
                <w:szCs w:val="20"/>
                <w:u w:val="none"/>
              </w:rPr>
            </w:pPr>
            <w:r>
              <w:rPr>
                <w:rFonts w:hint="eastAsia" w:ascii="宋体" w:hAnsi="宋体" w:eastAsia="宋体" w:cs="宋体"/>
                <w:caps w:val="0"/>
                <w:spacing w:val="0"/>
                <w:sz w:val="20"/>
                <w:szCs w:val="20"/>
              </w:rPr>
              <w:t>累计出口量比去年同期：-70.12%</w:t>
            </w:r>
          </w:p>
        </w:tc>
      </w:tr>
    </w:tbl>
    <w:p/>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06709E88"/>
    <w:multiLevelType w:val="singleLevel"/>
    <w:tmpl w:val="06709E8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2A7B"/>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54C8"/>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0570E4"/>
    <w:rsid w:val="01533173"/>
    <w:rsid w:val="0174199B"/>
    <w:rsid w:val="018C042F"/>
    <w:rsid w:val="019139BB"/>
    <w:rsid w:val="01A95B6A"/>
    <w:rsid w:val="01BD1D63"/>
    <w:rsid w:val="01ED4894"/>
    <w:rsid w:val="01F27845"/>
    <w:rsid w:val="01FE2CFE"/>
    <w:rsid w:val="02353D60"/>
    <w:rsid w:val="02526173"/>
    <w:rsid w:val="029A6142"/>
    <w:rsid w:val="029A6633"/>
    <w:rsid w:val="029F2908"/>
    <w:rsid w:val="02AC60AA"/>
    <w:rsid w:val="02B87E06"/>
    <w:rsid w:val="02CC135E"/>
    <w:rsid w:val="02CD4EB7"/>
    <w:rsid w:val="02D71373"/>
    <w:rsid w:val="02D85611"/>
    <w:rsid w:val="02E90170"/>
    <w:rsid w:val="02FE589D"/>
    <w:rsid w:val="031824AB"/>
    <w:rsid w:val="031B1C80"/>
    <w:rsid w:val="03211A1D"/>
    <w:rsid w:val="0324523D"/>
    <w:rsid w:val="03331E75"/>
    <w:rsid w:val="034407FB"/>
    <w:rsid w:val="034F6246"/>
    <w:rsid w:val="03562125"/>
    <w:rsid w:val="035F2635"/>
    <w:rsid w:val="036D5E24"/>
    <w:rsid w:val="037413B6"/>
    <w:rsid w:val="03A57F11"/>
    <w:rsid w:val="03A93E53"/>
    <w:rsid w:val="03C71B14"/>
    <w:rsid w:val="03C968EE"/>
    <w:rsid w:val="03EC30D3"/>
    <w:rsid w:val="04063827"/>
    <w:rsid w:val="040707FC"/>
    <w:rsid w:val="042972F1"/>
    <w:rsid w:val="042B4FB5"/>
    <w:rsid w:val="04331F6D"/>
    <w:rsid w:val="044D6C9D"/>
    <w:rsid w:val="044E5434"/>
    <w:rsid w:val="045E1E00"/>
    <w:rsid w:val="04684ED7"/>
    <w:rsid w:val="047A62BA"/>
    <w:rsid w:val="048101D3"/>
    <w:rsid w:val="048C7CAA"/>
    <w:rsid w:val="04987F00"/>
    <w:rsid w:val="04A45D71"/>
    <w:rsid w:val="04B04E89"/>
    <w:rsid w:val="04BF7371"/>
    <w:rsid w:val="04C829A7"/>
    <w:rsid w:val="04E22C17"/>
    <w:rsid w:val="04EE66C3"/>
    <w:rsid w:val="04F36106"/>
    <w:rsid w:val="04F4133B"/>
    <w:rsid w:val="05021B01"/>
    <w:rsid w:val="051E18E1"/>
    <w:rsid w:val="05292B71"/>
    <w:rsid w:val="052C0D66"/>
    <w:rsid w:val="052F18F0"/>
    <w:rsid w:val="05314FD7"/>
    <w:rsid w:val="0538191C"/>
    <w:rsid w:val="053B1A3D"/>
    <w:rsid w:val="05500555"/>
    <w:rsid w:val="0558720E"/>
    <w:rsid w:val="057F2A2A"/>
    <w:rsid w:val="05894C8A"/>
    <w:rsid w:val="05920A6B"/>
    <w:rsid w:val="05993019"/>
    <w:rsid w:val="05A63D05"/>
    <w:rsid w:val="05AA3E69"/>
    <w:rsid w:val="05C01E8E"/>
    <w:rsid w:val="05D0127E"/>
    <w:rsid w:val="05D36477"/>
    <w:rsid w:val="05D708A6"/>
    <w:rsid w:val="05F5542B"/>
    <w:rsid w:val="06002DF6"/>
    <w:rsid w:val="06153E6E"/>
    <w:rsid w:val="0618444D"/>
    <w:rsid w:val="06254A25"/>
    <w:rsid w:val="062A6CB4"/>
    <w:rsid w:val="06300679"/>
    <w:rsid w:val="063E0E8C"/>
    <w:rsid w:val="06464EAF"/>
    <w:rsid w:val="06471306"/>
    <w:rsid w:val="06762765"/>
    <w:rsid w:val="067746D4"/>
    <w:rsid w:val="067D4056"/>
    <w:rsid w:val="069C6A8D"/>
    <w:rsid w:val="069D265D"/>
    <w:rsid w:val="06AC42A7"/>
    <w:rsid w:val="06B474E1"/>
    <w:rsid w:val="06B9287B"/>
    <w:rsid w:val="06DA3028"/>
    <w:rsid w:val="06E3294D"/>
    <w:rsid w:val="06F31CB3"/>
    <w:rsid w:val="06F93008"/>
    <w:rsid w:val="0718687A"/>
    <w:rsid w:val="071A60E7"/>
    <w:rsid w:val="071C4EDC"/>
    <w:rsid w:val="071D082B"/>
    <w:rsid w:val="07243E5A"/>
    <w:rsid w:val="07252677"/>
    <w:rsid w:val="07272AF3"/>
    <w:rsid w:val="0759111C"/>
    <w:rsid w:val="07594F06"/>
    <w:rsid w:val="076C6634"/>
    <w:rsid w:val="07743510"/>
    <w:rsid w:val="07820AB4"/>
    <w:rsid w:val="07836EEE"/>
    <w:rsid w:val="07906BB7"/>
    <w:rsid w:val="079B346A"/>
    <w:rsid w:val="079D7717"/>
    <w:rsid w:val="07B872E0"/>
    <w:rsid w:val="07B939E0"/>
    <w:rsid w:val="07CC2D78"/>
    <w:rsid w:val="07CC4016"/>
    <w:rsid w:val="07D15C8A"/>
    <w:rsid w:val="07E05AA3"/>
    <w:rsid w:val="07E76A1F"/>
    <w:rsid w:val="07F17792"/>
    <w:rsid w:val="080158C0"/>
    <w:rsid w:val="0809715C"/>
    <w:rsid w:val="080A4814"/>
    <w:rsid w:val="0817293A"/>
    <w:rsid w:val="0820276D"/>
    <w:rsid w:val="082F1BCD"/>
    <w:rsid w:val="084E29A7"/>
    <w:rsid w:val="08573B5A"/>
    <w:rsid w:val="086F6B65"/>
    <w:rsid w:val="08A4401C"/>
    <w:rsid w:val="08A55AD2"/>
    <w:rsid w:val="08CA207E"/>
    <w:rsid w:val="08CD17C0"/>
    <w:rsid w:val="08DE60ED"/>
    <w:rsid w:val="08E21688"/>
    <w:rsid w:val="08E35E15"/>
    <w:rsid w:val="08EE777D"/>
    <w:rsid w:val="0918731F"/>
    <w:rsid w:val="091D1431"/>
    <w:rsid w:val="09223CDC"/>
    <w:rsid w:val="09371EEF"/>
    <w:rsid w:val="093F6B95"/>
    <w:rsid w:val="09524755"/>
    <w:rsid w:val="095B63CA"/>
    <w:rsid w:val="09701692"/>
    <w:rsid w:val="09717916"/>
    <w:rsid w:val="09816B1A"/>
    <w:rsid w:val="098251C0"/>
    <w:rsid w:val="0984738F"/>
    <w:rsid w:val="09853CE2"/>
    <w:rsid w:val="098C4592"/>
    <w:rsid w:val="098C467A"/>
    <w:rsid w:val="09915D75"/>
    <w:rsid w:val="0996332C"/>
    <w:rsid w:val="09BE1AF4"/>
    <w:rsid w:val="09C26D2C"/>
    <w:rsid w:val="09E0028A"/>
    <w:rsid w:val="09E31010"/>
    <w:rsid w:val="09ED009F"/>
    <w:rsid w:val="09F11ACB"/>
    <w:rsid w:val="09FB6243"/>
    <w:rsid w:val="0A047BEC"/>
    <w:rsid w:val="0A06506B"/>
    <w:rsid w:val="0A0A6618"/>
    <w:rsid w:val="0A1527C8"/>
    <w:rsid w:val="0A207C84"/>
    <w:rsid w:val="0A29795D"/>
    <w:rsid w:val="0A2A7E86"/>
    <w:rsid w:val="0A2D68BE"/>
    <w:rsid w:val="0A3C22BA"/>
    <w:rsid w:val="0A3D34F3"/>
    <w:rsid w:val="0A3F54A5"/>
    <w:rsid w:val="0A557C07"/>
    <w:rsid w:val="0A5B4AF5"/>
    <w:rsid w:val="0A75433E"/>
    <w:rsid w:val="0A796F7C"/>
    <w:rsid w:val="0A7B7455"/>
    <w:rsid w:val="0A951C4F"/>
    <w:rsid w:val="0AA33DAF"/>
    <w:rsid w:val="0AB608CB"/>
    <w:rsid w:val="0AC60296"/>
    <w:rsid w:val="0AD32487"/>
    <w:rsid w:val="0AD50553"/>
    <w:rsid w:val="0ADB26A0"/>
    <w:rsid w:val="0AE31AD5"/>
    <w:rsid w:val="0B017D09"/>
    <w:rsid w:val="0B0715B1"/>
    <w:rsid w:val="0B0F0B26"/>
    <w:rsid w:val="0B2C39A7"/>
    <w:rsid w:val="0B400CB2"/>
    <w:rsid w:val="0B421176"/>
    <w:rsid w:val="0B4B49C1"/>
    <w:rsid w:val="0B5D43F5"/>
    <w:rsid w:val="0B721C38"/>
    <w:rsid w:val="0B860805"/>
    <w:rsid w:val="0B945C54"/>
    <w:rsid w:val="0BA91AA1"/>
    <w:rsid w:val="0BB16187"/>
    <w:rsid w:val="0BCB6AF2"/>
    <w:rsid w:val="0BCE6861"/>
    <w:rsid w:val="0BDC4FBC"/>
    <w:rsid w:val="0BDF0A5F"/>
    <w:rsid w:val="0C08318F"/>
    <w:rsid w:val="0C1C163D"/>
    <w:rsid w:val="0C1E7ABD"/>
    <w:rsid w:val="0C206584"/>
    <w:rsid w:val="0C212EC8"/>
    <w:rsid w:val="0C2444B3"/>
    <w:rsid w:val="0C270CC3"/>
    <w:rsid w:val="0C3E0441"/>
    <w:rsid w:val="0C586B50"/>
    <w:rsid w:val="0C586E44"/>
    <w:rsid w:val="0C7F402D"/>
    <w:rsid w:val="0C822A19"/>
    <w:rsid w:val="0C930A24"/>
    <w:rsid w:val="0C9F5640"/>
    <w:rsid w:val="0CAA3B04"/>
    <w:rsid w:val="0CB81916"/>
    <w:rsid w:val="0CD123E3"/>
    <w:rsid w:val="0CE32FB8"/>
    <w:rsid w:val="0CE44838"/>
    <w:rsid w:val="0CEA48B8"/>
    <w:rsid w:val="0D206C21"/>
    <w:rsid w:val="0D731CA1"/>
    <w:rsid w:val="0D735A75"/>
    <w:rsid w:val="0D775B07"/>
    <w:rsid w:val="0D8323A4"/>
    <w:rsid w:val="0D893BAC"/>
    <w:rsid w:val="0D952410"/>
    <w:rsid w:val="0D9F3354"/>
    <w:rsid w:val="0DA370DA"/>
    <w:rsid w:val="0DA7099A"/>
    <w:rsid w:val="0DB01CE1"/>
    <w:rsid w:val="0DBA1705"/>
    <w:rsid w:val="0DC46B30"/>
    <w:rsid w:val="0DC9706D"/>
    <w:rsid w:val="0DD115AA"/>
    <w:rsid w:val="0DD27705"/>
    <w:rsid w:val="0DEA06F6"/>
    <w:rsid w:val="0DEA1ECA"/>
    <w:rsid w:val="0E01030B"/>
    <w:rsid w:val="0E04318C"/>
    <w:rsid w:val="0E222066"/>
    <w:rsid w:val="0E274301"/>
    <w:rsid w:val="0E31785B"/>
    <w:rsid w:val="0E357D47"/>
    <w:rsid w:val="0E5C0982"/>
    <w:rsid w:val="0E730195"/>
    <w:rsid w:val="0E7675E6"/>
    <w:rsid w:val="0E803657"/>
    <w:rsid w:val="0E8B35C9"/>
    <w:rsid w:val="0E9742FB"/>
    <w:rsid w:val="0E9E354A"/>
    <w:rsid w:val="0EAF107B"/>
    <w:rsid w:val="0EB4347F"/>
    <w:rsid w:val="0EBE27AA"/>
    <w:rsid w:val="0EC1627E"/>
    <w:rsid w:val="0ED36950"/>
    <w:rsid w:val="0EE30B65"/>
    <w:rsid w:val="0EED0FC5"/>
    <w:rsid w:val="0EF07619"/>
    <w:rsid w:val="0EF248CA"/>
    <w:rsid w:val="0EFB4176"/>
    <w:rsid w:val="0F034AA6"/>
    <w:rsid w:val="0F08360E"/>
    <w:rsid w:val="0F125E7D"/>
    <w:rsid w:val="0F1F0D30"/>
    <w:rsid w:val="0F26373F"/>
    <w:rsid w:val="0F446A41"/>
    <w:rsid w:val="0F4A18F4"/>
    <w:rsid w:val="0F5808CC"/>
    <w:rsid w:val="0F666559"/>
    <w:rsid w:val="0F6B3E79"/>
    <w:rsid w:val="0F790BDF"/>
    <w:rsid w:val="0F7D42FE"/>
    <w:rsid w:val="0F820E85"/>
    <w:rsid w:val="0F895A00"/>
    <w:rsid w:val="0F8A41FA"/>
    <w:rsid w:val="0F962DED"/>
    <w:rsid w:val="0F9B4E2A"/>
    <w:rsid w:val="0FA45D17"/>
    <w:rsid w:val="0FB045CC"/>
    <w:rsid w:val="0FC910AB"/>
    <w:rsid w:val="0FCA36AC"/>
    <w:rsid w:val="0FD23F99"/>
    <w:rsid w:val="0FE34C1B"/>
    <w:rsid w:val="0FE35E2C"/>
    <w:rsid w:val="0FEF79AA"/>
    <w:rsid w:val="101B677C"/>
    <w:rsid w:val="101C7D06"/>
    <w:rsid w:val="101F6270"/>
    <w:rsid w:val="1024515A"/>
    <w:rsid w:val="1037062C"/>
    <w:rsid w:val="1046198D"/>
    <w:rsid w:val="104E6FC1"/>
    <w:rsid w:val="105F3A71"/>
    <w:rsid w:val="106D475B"/>
    <w:rsid w:val="108362B8"/>
    <w:rsid w:val="108C4660"/>
    <w:rsid w:val="10957382"/>
    <w:rsid w:val="10BA0A0E"/>
    <w:rsid w:val="10CE39DE"/>
    <w:rsid w:val="10FA6B68"/>
    <w:rsid w:val="10FF5E5F"/>
    <w:rsid w:val="11190B98"/>
    <w:rsid w:val="11230D2F"/>
    <w:rsid w:val="11247901"/>
    <w:rsid w:val="11365062"/>
    <w:rsid w:val="11422692"/>
    <w:rsid w:val="11590029"/>
    <w:rsid w:val="117F7F48"/>
    <w:rsid w:val="11CA3B0B"/>
    <w:rsid w:val="11F843DE"/>
    <w:rsid w:val="121446A8"/>
    <w:rsid w:val="122D7A8C"/>
    <w:rsid w:val="12320E5B"/>
    <w:rsid w:val="124E5846"/>
    <w:rsid w:val="1265739D"/>
    <w:rsid w:val="12662947"/>
    <w:rsid w:val="126A28BA"/>
    <w:rsid w:val="127E2138"/>
    <w:rsid w:val="128771AE"/>
    <w:rsid w:val="12A84E60"/>
    <w:rsid w:val="12B66FEE"/>
    <w:rsid w:val="12BE2ADE"/>
    <w:rsid w:val="12D52D83"/>
    <w:rsid w:val="12D61BB4"/>
    <w:rsid w:val="12D8263D"/>
    <w:rsid w:val="12F6517F"/>
    <w:rsid w:val="13086577"/>
    <w:rsid w:val="130B16E4"/>
    <w:rsid w:val="13267B35"/>
    <w:rsid w:val="134A6D86"/>
    <w:rsid w:val="13594CF7"/>
    <w:rsid w:val="135A728A"/>
    <w:rsid w:val="1367698A"/>
    <w:rsid w:val="13772D89"/>
    <w:rsid w:val="138744BB"/>
    <w:rsid w:val="13AA18EC"/>
    <w:rsid w:val="13B45FC3"/>
    <w:rsid w:val="13C924DB"/>
    <w:rsid w:val="13D07AB0"/>
    <w:rsid w:val="13DB164D"/>
    <w:rsid w:val="13E7373B"/>
    <w:rsid w:val="13EC16FF"/>
    <w:rsid w:val="13F712B9"/>
    <w:rsid w:val="13FE142E"/>
    <w:rsid w:val="14176463"/>
    <w:rsid w:val="144B6D3F"/>
    <w:rsid w:val="14522844"/>
    <w:rsid w:val="14546EAA"/>
    <w:rsid w:val="147759A4"/>
    <w:rsid w:val="147A75E5"/>
    <w:rsid w:val="14997CF1"/>
    <w:rsid w:val="149C7CF0"/>
    <w:rsid w:val="14BC21CE"/>
    <w:rsid w:val="14BE2339"/>
    <w:rsid w:val="14BF4DCE"/>
    <w:rsid w:val="14CD3607"/>
    <w:rsid w:val="14D14395"/>
    <w:rsid w:val="14D56BF6"/>
    <w:rsid w:val="14E36C24"/>
    <w:rsid w:val="14F32D76"/>
    <w:rsid w:val="14F4153D"/>
    <w:rsid w:val="14F5216B"/>
    <w:rsid w:val="14FE7778"/>
    <w:rsid w:val="15060A70"/>
    <w:rsid w:val="151733B8"/>
    <w:rsid w:val="151A00D9"/>
    <w:rsid w:val="151B73F8"/>
    <w:rsid w:val="15211EFF"/>
    <w:rsid w:val="152D4EB7"/>
    <w:rsid w:val="15353F74"/>
    <w:rsid w:val="153A274D"/>
    <w:rsid w:val="154B5C10"/>
    <w:rsid w:val="154F205D"/>
    <w:rsid w:val="15615E0F"/>
    <w:rsid w:val="156D2843"/>
    <w:rsid w:val="15701AB8"/>
    <w:rsid w:val="15786279"/>
    <w:rsid w:val="15892652"/>
    <w:rsid w:val="159001BC"/>
    <w:rsid w:val="15965FE2"/>
    <w:rsid w:val="15AA23F1"/>
    <w:rsid w:val="15B1437C"/>
    <w:rsid w:val="15B939D5"/>
    <w:rsid w:val="15D83B2E"/>
    <w:rsid w:val="15DD70EA"/>
    <w:rsid w:val="15E11AB3"/>
    <w:rsid w:val="15E25134"/>
    <w:rsid w:val="15E8785D"/>
    <w:rsid w:val="160025BB"/>
    <w:rsid w:val="16113EF1"/>
    <w:rsid w:val="16116F4B"/>
    <w:rsid w:val="161D05B7"/>
    <w:rsid w:val="162E280E"/>
    <w:rsid w:val="16357D2B"/>
    <w:rsid w:val="164206BE"/>
    <w:rsid w:val="16446BD7"/>
    <w:rsid w:val="16600954"/>
    <w:rsid w:val="166969D8"/>
    <w:rsid w:val="16734EEE"/>
    <w:rsid w:val="1691331C"/>
    <w:rsid w:val="169572E4"/>
    <w:rsid w:val="16B0271F"/>
    <w:rsid w:val="16CB2046"/>
    <w:rsid w:val="16D82413"/>
    <w:rsid w:val="16DC7206"/>
    <w:rsid w:val="16E22B33"/>
    <w:rsid w:val="16EF1899"/>
    <w:rsid w:val="16F85570"/>
    <w:rsid w:val="16FA58EE"/>
    <w:rsid w:val="17116BE2"/>
    <w:rsid w:val="171311C9"/>
    <w:rsid w:val="17194D7A"/>
    <w:rsid w:val="172078E9"/>
    <w:rsid w:val="172D12A6"/>
    <w:rsid w:val="17350283"/>
    <w:rsid w:val="173C1948"/>
    <w:rsid w:val="173F54B5"/>
    <w:rsid w:val="17464B66"/>
    <w:rsid w:val="175B5D81"/>
    <w:rsid w:val="17652D76"/>
    <w:rsid w:val="177742FF"/>
    <w:rsid w:val="177778D5"/>
    <w:rsid w:val="177C4324"/>
    <w:rsid w:val="179E41EC"/>
    <w:rsid w:val="17BD7A6D"/>
    <w:rsid w:val="17FE3268"/>
    <w:rsid w:val="18296936"/>
    <w:rsid w:val="182A5943"/>
    <w:rsid w:val="186022DC"/>
    <w:rsid w:val="186453BA"/>
    <w:rsid w:val="18704C74"/>
    <w:rsid w:val="187F1331"/>
    <w:rsid w:val="18AD026B"/>
    <w:rsid w:val="18B70A2B"/>
    <w:rsid w:val="18CA2202"/>
    <w:rsid w:val="18CA4E8D"/>
    <w:rsid w:val="18FC46F8"/>
    <w:rsid w:val="190E26FF"/>
    <w:rsid w:val="191B1724"/>
    <w:rsid w:val="19254E9B"/>
    <w:rsid w:val="19383C89"/>
    <w:rsid w:val="194573ED"/>
    <w:rsid w:val="195D29F2"/>
    <w:rsid w:val="196272D4"/>
    <w:rsid w:val="196465FF"/>
    <w:rsid w:val="196B6E10"/>
    <w:rsid w:val="198154A5"/>
    <w:rsid w:val="19850C75"/>
    <w:rsid w:val="19856830"/>
    <w:rsid w:val="198A3D94"/>
    <w:rsid w:val="198F27F8"/>
    <w:rsid w:val="199C5ECD"/>
    <w:rsid w:val="19B1121F"/>
    <w:rsid w:val="19E14ABD"/>
    <w:rsid w:val="19F07148"/>
    <w:rsid w:val="1A031971"/>
    <w:rsid w:val="1A051BC1"/>
    <w:rsid w:val="1A055302"/>
    <w:rsid w:val="1A11011E"/>
    <w:rsid w:val="1A110D84"/>
    <w:rsid w:val="1A2B0F11"/>
    <w:rsid w:val="1A2C43DF"/>
    <w:rsid w:val="1A372CD4"/>
    <w:rsid w:val="1A555BDB"/>
    <w:rsid w:val="1A660755"/>
    <w:rsid w:val="1A703BC4"/>
    <w:rsid w:val="1A7262E8"/>
    <w:rsid w:val="1A882B3D"/>
    <w:rsid w:val="1A896854"/>
    <w:rsid w:val="1A964171"/>
    <w:rsid w:val="1AB162F9"/>
    <w:rsid w:val="1ABE2D20"/>
    <w:rsid w:val="1ACC4B7F"/>
    <w:rsid w:val="1AD34CD1"/>
    <w:rsid w:val="1AD417D6"/>
    <w:rsid w:val="1AE72378"/>
    <w:rsid w:val="1AE7665A"/>
    <w:rsid w:val="1AF74A59"/>
    <w:rsid w:val="1B111CB0"/>
    <w:rsid w:val="1B393D9E"/>
    <w:rsid w:val="1B3F0566"/>
    <w:rsid w:val="1B5A0EC6"/>
    <w:rsid w:val="1B5C3BD7"/>
    <w:rsid w:val="1B5F0C8F"/>
    <w:rsid w:val="1B743284"/>
    <w:rsid w:val="1B816F9A"/>
    <w:rsid w:val="1B8175D6"/>
    <w:rsid w:val="1B9C1B61"/>
    <w:rsid w:val="1BB46A20"/>
    <w:rsid w:val="1BB93222"/>
    <w:rsid w:val="1BBD6973"/>
    <w:rsid w:val="1BE24098"/>
    <w:rsid w:val="1BE81B85"/>
    <w:rsid w:val="1BF27AE1"/>
    <w:rsid w:val="1BFE2971"/>
    <w:rsid w:val="1C01336C"/>
    <w:rsid w:val="1C021382"/>
    <w:rsid w:val="1C081DD0"/>
    <w:rsid w:val="1C1669BA"/>
    <w:rsid w:val="1C1C3102"/>
    <w:rsid w:val="1C2230E8"/>
    <w:rsid w:val="1C251540"/>
    <w:rsid w:val="1C2E2C8D"/>
    <w:rsid w:val="1C6973CC"/>
    <w:rsid w:val="1C6C7614"/>
    <w:rsid w:val="1C795B0B"/>
    <w:rsid w:val="1CB31F52"/>
    <w:rsid w:val="1CC609D9"/>
    <w:rsid w:val="1CDC7753"/>
    <w:rsid w:val="1CE6684D"/>
    <w:rsid w:val="1CEC4A0D"/>
    <w:rsid w:val="1D1712A0"/>
    <w:rsid w:val="1D2B7B9F"/>
    <w:rsid w:val="1D305274"/>
    <w:rsid w:val="1D3F5714"/>
    <w:rsid w:val="1D466011"/>
    <w:rsid w:val="1D487015"/>
    <w:rsid w:val="1D5133E5"/>
    <w:rsid w:val="1D547E28"/>
    <w:rsid w:val="1D5B57EE"/>
    <w:rsid w:val="1D606070"/>
    <w:rsid w:val="1D655DB6"/>
    <w:rsid w:val="1D980258"/>
    <w:rsid w:val="1D9C1F14"/>
    <w:rsid w:val="1DB113DA"/>
    <w:rsid w:val="1DFB4E0B"/>
    <w:rsid w:val="1E196DA1"/>
    <w:rsid w:val="1E2278F4"/>
    <w:rsid w:val="1E4062B7"/>
    <w:rsid w:val="1E450B99"/>
    <w:rsid w:val="1E4D2825"/>
    <w:rsid w:val="1E5542CC"/>
    <w:rsid w:val="1E64791C"/>
    <w:rsid w:val="1E6D6ABE"/>
    <w:rsid w:val="1E755624"/>
    <w:rsid w:val="1E8C73FA"/>
    <w:rsid w:val="1E9E3D33"/>
    <w:rsid w:val="1EAA616E"/>
    <w:rsid w:val="1EB15364"/>
    <w:rsid w:val="1EB20356"/>
    <w:rsid w:val="1EBE2AB5"/>
    <w:rsid w:val="1EC81089"/>
    <w:rsid w:val="1EDD523F"/>
    <w:rsid w:val="1EDD703F"/>
    <w:rsid w:val="1F092A2D"/>
    <w:rsid w:val="1F1162FE"/>
    <w:rsid w:val="1F1C0B32"/>
    <w:rsid w:val="1F352B32"/>
    <w:rsid w:val="1F4A096C"/>
    <w:rsid w:val="1F5A5945"/>
    <w:rsid w:val="1F6B3A34"/>
    <w:rsid w:val="1F751CBE"/>
    <w:rsid w:val="1F7D6B10"/>
    <w:rsid w:val="1F963D6D"/>
    <w:rsid w:val="1F98363F"/>
    <w:rsid w:val="1FA70F8C"/>
    <w:rsid w:val="1FBD1356"/>
    <w:rsid w:val="1FBF488C"/>
    <w:rsid w:val="1FC55B54"/>
    <w:rsid w:val="1FCD7450"/>
    <w:rsid w:val="1FCD7675"/>
    <w:rsid w:val="1FD377B1"/>
    <w:rsid w:val="1FDC18BC"/>
    <w:rsid w:val="1FEB4C55"/>
    <w:rsid w:val="1FEF77E1"/>
    <w:rsid w:val="1FFC155B"/>
    <w:rsid w:val="20010BD0"/>
    <w:rsid w:val="200B266C"/>
    <w:rsid w:val="20137C9A"/>
    <w:rsid w:val="20261774"/>
    <w:rsid w:val="202A3AEF"/>
    <w:rsid w:val="203A4D2E"/>
    <w:rsid w:val="204030A0"/>
    <w:rsid w:val="205B78B2"/>
    <w:rsid w:val="205C4184"/>
    <w:rsid w:val="206558CE"/>
    <w:rsid w:val="206901B1"/>
    <w:rsid w:val="206B1575"/>
    <w:rsid w:val="2078018B"/>
    <w:rsid w:val="209323D8"/>
    <w:rsid w:val="209327AA"/>
    <w:rsid w:val="20AD55FF"/>
    <w:rsid w:val="20C12FDC"/>
    <w:rsid w:val="20C55A62"/>
    <w:rsid w:val="20EA7590"/>
    <w:rsid w:val="211001E9"/>
    <w:rsid w:val="21147D43"/>
    <w:rsid w:val="2119067D"/>
    <w:rsid w:val="211F5020"/>
    <w:rsid w:val="21216F1B"/>
    <w:rsid w:val="2123407B"/>
    <w:rsid w:val="21320B64"/>
    <w:rsid w:val="21370E12"/>
    <w:rsid w:val="21432F9F"/>
    <w:rsid w:val="214F55E4"/>
    <w:rsid w:val="215A4604"/>
    <w:rsid w:val="217C7ED4"/>
    <w:rsid w:val="21862B07"/>
    <w:rsid w:val="218A1EF5"/>
    <w:rsid w:val="21973788"/>
    <w:rsid w:val="219A3406"/>
    <w:rsid w:val="21A70D61"/>
    <w:rsid w:val="21B2244C"/>
    <w:rsid w:val="21C30EF9"/>
    <w:rsid w:val="21CB7C2D"/>
    <w:rsid w:val="21D956E3"/>
    <w:rsid w:val="21E74352"/>
    <w:rsid w:val="21EF7C0A"/>
    <w:rsid w:val="221551D8"/>
    <w:rsid w:val="224441F7"/>
    <w:rsid w:val="224E7428"/>
    <w:rsid w:val="2261560B"/>
    <w:rsid w:val="227918A6"/>
    <w:rsid w:val="22944164"/>
    <w:rsid w:val="229674ED"/>
    <w:rsid w:val="22AC485D"/>
    <w:rsid w:val="22BB509A"/>
    <w:rsid w:val="22D174A6"/>
    <w:rsid w:val="22D2551D"/>
    <w:rsid w:val="22E67532"/>
    <w:rsid w:val="230F16FC"/>
    <w:rsid w:val="231C2E7E"/>
    <w:rsid w:val="232A4048"/>
    <w:rsid w:val="233344E4"/>
    <w:rsid w:val="2337735C"/>
    <w:rsid w:val="23384D61"/>
    <w:rsid w:val="23392A7A"/>
    <w:rsid w:val="235336A2"/>
    <w:rsid w:val="236765E1"/>
    <w:rsid w:val="23817C48"/>
    <w:rsid w:val="23850BE5"/>
    <w:rsid w:val="238E2690"/>
    <w:rsid w:val="239015CD"/>
    <w:rsid w:val="23B946BE"/>
    <w:rsid w:val="23C01773"/>
    <w:rsid w:val="23EF13A7"/>
    <w:rsid w:val="23F7720B"/>
    <w:rsid w:val="24086432"/>
    <w:rsid w:val="240F1052"/>
    <w:rsid w:val="242A187D"/>
    <w:rsid w:val="24310987"/>
    <w:rsid w:val="24322A62"/>
    <w:rsid w:val="244A14DB"/>
    <w:rsid w:val="24554136"/>
    <w:rsid w:val="245C2B3F"/>
    <w:rsid w:val="24692AC4"/>
    <w:rsid w:val="24836E94"/>
    <w:rsid w:val="24867974"/>
    <w:rsid w:val="248945E2"/>
    <w:rsid w:val="24974A9D"/>
    <w:rsid w:val="24990AB6"/>
    <w:rsid w:val="24A21A55"/>
    <w:rsid w:val="24BC74B9"/>
    <w:rsid w:val="24BE33B8"/>
    <w:rsid w:val="24CA200A"/>
    <w:rsid w:val="24E234FE"/>
    <w:rsid w:val="24F86BA3"/>
    <w:rsid w:val="250D3E66"/>
    <w:rsid w:val="252754C5"/>
    <w:rsid w:val="252D0E2C"/>
    <w:rsid w:val="252D3F69"/>
    <w:rsid w:val="253C0FBD"/>
    <w:rsid w:val="2547370A"/>
    <w:rsid w:val="25585795"/>
    <w:rsid w:val="25740BBD"/>
    <w:rsid w:val="25955E96"/>
    <w:rsid w:val="259B6E31"/>
    <w:rsid w:val="259E33E1"/>
    <w:rsid w:val="25A07C39"/>
    <w:rsid w:val="25AF1FA5"/>
    <w:rsid w:val="25B677AD"/>
    <w:rsid w:val="25B904A8"/>
    <w:rsid w:val="25D93662"/>
    <w:rsid w:val="25E06259"/>
    <w:rsid w:val="25FD0304"/>
    <w:rsid w:val="2606044C"/>
    <w:rsid w:val="26090E12"/>
    <w:rsid w:val="261447E7"/>
    <w:rsid w:val="26162D47"/>
    <w:rsid w:val="26313BB1"/>
    <w:rsid w:val="26417898"/>
    <w:rsid w:val="26442276"/>
    <w:rsid w:val="26444B63"/>
    <w:rsid w:val="264D7096"/>
    <w:rsid w:val="26552532"/>
    <w:rsid w:val="26671EE8"/>
    <w:rsid w:val="2692422E"/>
    <w:rsid w:val="269F6889"/>
    <w:rsid w:val="26AD0D8B"/>
    <w:rsid w:val="26C17431"/>
    <w:rsid w:val="26C27EC9"/>
    <w:rsid w:val="26C545A4"/>
    <w:rsid w:val="26C94300"/>
    <w:rsid w:val="26DF7D7C"/>
    <w:rsid w:val="26EE1723"/>
    <w:rsid w:val="26F154C7"/>
    <w:rsid w:val="26FD7030"/>
    <w:rsid w:val="27007370"/>
    <w:rsid w:val="27080E2E"/>
    <w:rsid w:val="270D21C6"/>
    <w:rsid w:val="270D2595"/>
    <w:rsid w:val="27251F41"/>
    <w:rsid w:val="273301A4"/>
    <w:rsid w:val="277F5A23"/>
    <w:rsid w:val="279E36DD"/>
    <w:rsid w:val="27A7464B"/>
    <w:rsid w:val="27EA2797"/>
    <w:rsid w:val="28011EB5"/>
    <w:rsid w:val="28092464"/>
    <w:rsid w:val="2810409B"/>
    <w:rsid w:val="282013B4"/>
    <w:rsid w:val="282B47A7"/>
    <w:rsid w:val="282C5A3A"/>
    <w:rsid w:val="283F32F7"/>
    <w:rsid w:val="2855423F"/>
    <w:rsid w:val="285E5BE3"/>
    <w:rsid w:val="28611CC2"/>
    <w:rsid w:val="286D2B55"/>
    <w:rsid w:val="28721E59"/>
    <w:rsid w:val="28892109"/>
    <w:rsid w:val="289430A0"/>
    <w:rsid w:val="289A1AAA"/>
    <w:rsid w:val="28A325B7"/>
    <w:rsid w:val="28AB052C"/>
    <w:rsid w:val="28B71571"/>
    <w:rsid w:val="28BA104F"/>
    <w:rsid w:val="28C132F2"/>
    <w:rsid w:val="28D133DE"/>
    <w:rsid w:val="28D37B64"/>
    <w:rsid w:val="28EF11D1"/>
    <w:rsid w:val="290566C3"/>
    <w:rsid w:val="295C2D51"/>
    <w:rsid w:val="29A81CD2"/>
    <w:rsid w:val="29A90232"/>
    <w:rsid w:val="29A92B3A"/>
    <w:rsid w:val="29C804D1"/>
    <w:rsid w:val="29CB1410"/>
    <w:rsid w:val="29D617AC"/>
    <w:rsid w:val="29D84ABC"/>
    <w:rsid w:val="29F5410D"/>
    <w:rsid w:val="2A091D0A"/>
    <w:rsid w:val="2A0D39C3"/>
    <w:rsid w:val="2A1503FE"/>
    <w:rsid w:val="2A194990"/>
    <w:rsid w:val="2A215E5E"/>
    <w:rsid w:val="2A252C4C"/>
    <w:rsid w:val="2A305C24"/>
    <w:rsid w:val="2A3E7B5A"/>
    <w:rsid w:val="2A516BAC"/>
    <w:rsid w:val="2A6B55C6"/>
    <w:rsid w:val="2A8475EE"/>
    <w:rsid w:val="2A951C8C"/>
    <w:rsid w:val="2A953E86"/>
    <w:rsid w:val="2A9B26F1"/>
    <w:rsid w:val="2AA81E53"/>
    <w:rsid w:val="2AA82B74"/>
    <w:rsid w:val="2AB25451"/>
    <w:rsid w:val="2AC063B7"/>
    <w:rsid w:val="2ACB5B48"/>
    <w:rsid w:val="2ACD0874"/>
    <w:rsid w:val="2AD267B8"/>
    <w:rsid w:val="2AD8059C"/>
    <w:rsid w:val="2B0A5818"/>
    <w:rsid w:val="2B0D737C"/>
    <w:rsid w:val="2B0F004D"/>
    <w:rsid w:val="2B154A20"/>
    <w:rsid w:val="2B1B5BFD"/>
    <w:rsid w:val="2B380E7B"/>
    <w:rsid w:val="2B574357"/>
    <w:rsid w:val="2B5F5BE1"/>
    <w:rsid w:val="2B6638DE"/>
    <w:rsid w:val="2B7B4586"/>
    <w:rsid w:val="2B843D59"/>
    <w:rsid w:val="2B84406F"/>
    <w:rsid w:val="2B8B518F"/>
    <w:rsid w:val="2B8F58E2"/>
    <w:rsid w:val="2BA07FAD"/>
    <w:rsid w:val="2BBF0DDA"/>
    <w:rsid w:val="2BE5055C"/>
    <w:rsid w:val="2BED5A7C"/>
    <w:rsid w:val="2BF858F4"/>
    <w:rsid w:val="2BFC3C2B"/>
    <w:rsid w:val="2BFC6315"/>
    <w:rsid w:val="2BFD5564"/>
    <w:rsid w:val="2C054251"/>
    <w:rsid w:val="2C2E0403"/>
    <w:rsid w:val="2C4C1107"/>
    <w:rsid w:val="2C7C5CC5"/>
    <w:rsid w:val="2C811341"/>
    <w:rsid w:val="2C823F4E"/>
    <w:rsid w:val="2C9D3080"/>
    <w:rsid w:val="2CAD067B"/>
    <w:rsid w:val="2CBD69A8"/>
    <w:rsid w:val="2CFD0FC0"/>
    <w:rsid w:val="2D050EBF"/>
    <w:rsid w:val="2D2009C3"/>
    <w:rsid w:val="2D2A25A1"/>
    <w:rsid w:val="2D2A51E4"/>
    <w:rsid w:val="2D3059BC"/>
    <w:rsid w:val="2D4D17E5"/>
    <w:rsid w:val="2D6F58D8"/>
    <w:rsid w:val="2D892B5C"/>
    <w:rsid w:val="2DAF27D1"/>
    <w:rsid w:val="2DB328B9"/>
    <w:rsid w:val="2DC6450C"/>
    <w:rsid w:val="2DD85082"/>
    <w:rsid w:val="2DE11692"/>
    <w:rsid w:val="2DF24F64"/>
    <w:rsid w:val="2DF5641D"/>
    <w:rsid w:val="2DF644E3"/>
    <w:rsid w:val="2DFC4355"/>
    <w:rsid w:val="2E0D40F5"/>
    <w:rsid w:val="2E2F56E6"/>
    <w:rsid w:val="2E4A7323"/>
    <w:rsid w:val="2E682AAC"/>
    <w:rsid w:val="2E6D230F"/>
    <w:rsid w:val="2E7017CC"/>
    <w:rsid w:val="2E7D543E"/>
    <w:rsid w:val="2E8C2DE3"/>
    <w:rsid w:val="2E942C46"/>
    <w:rsid w:val="2E98229F"/>
    <w:rsid w:val="2EA56E95"/>
    <w:rsid w:val="2EA673C9"/>
    <w:rsid w:val="2EAF1D1D"/>
    <w:rsid w:val="2EC0096E"/>
    <w:rsid w:val="2ECA710C"/>
    <w:rsid w:val="2ED4404D"/>
    <w:rsid w:val="2ED50475"/>
    <w:rsid w:val="2EE365C8"/>
    <w:rsid w:val="2EED6D43"/>
    <w:rsid w:val="2F090AB4"/>
    <w:rsid w:val="2F13732E"/>
    <w:rsid w:val="2F2F2D16"/>
    <w:rsid w:val="2F336BA3"/>
    <w:rsid w:val="2F5621A6"/>
    <w:rsid w:val="2F66411F"/>
    <w:rsid w:val="2F9E2267"/>
    <w:rsid w:val="2FA5716E"/>
    <w:rsid w:val="2FB44AC5"/>
    <w:rsid w:val="2FB91769"/>
    <w:rsid w:val="2FBE7D06"/>
    <w:rsid w:val="2FCD4219"/>
    <w:rsid w:val="2FD85581"/>
    <w:rsid w:val="2FE37EAB"/>
    <w:rsid w:val="2FE513F6"/>
    <w:rsid w:val="2FE91ED2"/>
    <w:rsid w:val="2FEC28E9"/>
    <w:rsid w:val="2FF22D62"/>
    <w:rsid w:val="30037E76"/>
    <w:rsid w:val="300B0CEC"/>
    <w:rsid w:val="30173C95"/>
    <w:rsid w:val="301B31E2"/>
    <w:rsid w:val="302909D7"/>
    <w:rsid w:val="30320AA9"/>
    <w:rsid w:val="30427218"/>
    <w:rsid w:val="3055125A"/>
    <w:rsid w:val="30664FDE"/>
    <w:rsid w:val="309D4A0F"/>
    <w:rsid w:val="309E4811"/>
    <w:rsid w:val="30A00CB5"/>
    <w:rsid w:val="30AF5F22"/>
    <w:rsid w:val="30C14186"/>
    <w:rsid w:val="30D71496"/>
    <w:rsid w:val="30DC0703"/>
    <w:rsid w:val="30E73B0D"/>
    <w:rsid w:val="30F74C53"/>
    <w:rsid w:val="30FC61C2"/>
    <w:rsid w:val="30FD55E0"/>
    <w:rsid w:val="31030DD2"/>
    <w:rsid w:val="310F6F60"/>
    <w:rsid w:val="311333E6"/>
    <w:rsid w:val="311467EF"/>
    <w:rsid w:val="31162712"/>
    <w:rsid w:val="311A24D7"/>
    <w:rsid w:val="31363ABC"/>
    <w:rsid w:val="314614BA"/>
    <w:rsid w:val="31490B7D"/>
    <w:rsid w:val="3153679E"/>
    <w:rsid w:val="315F2471"/>
    <w:rsid w:val="3177458F"/>
    <w:rsid w:val="3189708E"/>
    <w:rsid w:val="318B1F3D"/>
    <w:rsid w:val="3193741E"/>
    <w:rsid w:val="319434F7"/>
    <w:rsid w:val="31994D00"/>
    <w:rsid w:val="31A65E57"/>
    <w:rsid w:val="31AD16EF"/>
    <w:rsid w:val="31AE660C"/>
    <w:rsid w:val="31B05A1F"/>
    <w:rsid w:val="31B17EF2"/>
    <w:rsid w:val="31D54984"/>
    <w:rsid w:val="31E155AC"/>
    <w:rsid w:val="31E361FB"/>
    <w:rsid w:val="31FC35FB"/>
    <w:rsid w:val="32010D04"/>
    <w:rsid w:val="3202665F"/>
    <w:rsid w:val="320A7836"/>
    <w:rsid w:val="323C3FDE"/>
    <w:rsid w:val="324163CA"/>
    <w:rsid w:val="32574FD8"/>
    <w:rsid w:val="325C547C"/>
    <w:rsid w:val="32646DB1"/>
    <w:rsid w:val="326C29F6"/>
    <w:rsid w:val="327C3888"/>
    <w:rsid w:val="329338D7"/>
    <w:rsid w:val="32945DAC"/>
    <w:rsid w:val="329B3155"/>
    <w:rsid w:val="329C631F"/>
    <w:rsid w:val="32A24DE0"/>
    <w:rsid w:val="32AB0897"/>
    <w:rsid w:val="32AE266E"/>
    <w:rsid w:val="32CB3A84"/>
    <w:rsid w:val="32CD7010"/>
    <w:rsid w:val="32CE45BC"/>
    <w:rsid w:val="32D9201A"/>
    <w:rsid w:val="32E42D0F"/>
    <w:rsid w:val="32E779A4"/>
    <w:rsid w:val="330D4D94"/>
    <w:rsid w:val="33435E16"/>
    <w:rsid w:val="335F11B3"/>
    <w:rsid w:val="337B12FB"/>
    <w:rsid w:val="33846435"/>
    <w:rsid w:val="339C5454"/>
    <w:rsid w:val="33A258FF"/>
    <w:rsid w:val="33BA507F"/>
    <w:rsid w:val="33D354DF"/>
    <w:rsid w:val="33DD1D83"/>
    <w:rsid w:val="33FC5F9C"/>
    <w:rsid w:val="34005D95"/>
    <w:rsid w:val="340370F4"/>
    <w:rsid w:val="34173060"/>
    <w:rsid w:val="342451AA"/>
    <w:rsid w:val="3425323C"/>
    <w:rsid w:val="342E5EA7"/>
    <w:rsid w:val="343E0BAC"/>
    <w:rsid w:val="34474FF1"/>
    <w:rsid w:val="344B3651"/>
    <w:rsid w:val="34555269"/>
    <w:rsid w:val="346B6657"/>
    <w:rsid w:val="34827541"/>
    <w:rsid w:val="34B63281"/>
    <w:rsid w:val="34C105B0"/>
    <w:rsid w:val="34CA39B2"/>
    <w:rsid w:val="34D564C3"/>
    <w:rsid w:val="34DC79C0"/>
    <w:rsid w:val="34E32E56"/>
    <w:rsid w:val="34EC4B86"/>
    <w:rsid w:val="351321CB"/>
    <w:rsid w:val="35367A72"/>
    <w:rsid w:val="355171EC"/>
    <w:rsid w:val="355E299F"/>
    <w:rsid w:val="355E6D49"/>
    <w:rsid w:val="35671EE7"/>
    <w:rsid w:val="3572663B"/>
    <w:rsid w:val="357D4C50"/>
    <w:rsid w:val="3591419B"/>
    <w:rsid w:val="35925B04"/>
    <w:rsid w:val="35963717"/>
    <w:rsid w:val="35AF3549"/>
    <w:rsid w:val="35CA49CB"/>
    <w:rsid w:val="35DA5213"/>
    <w:rsid w:val="35EE7B1B"/>
    <w:rsid w:val="35F65FAD"/>
    <w:rsid w:val="36202050"/>
    <w:rsid w:val="364A7C84"/>
    <w:rsid w:val="36605016"/>
    <w:rsid w:val="366B7A53"/>
    <w:rsid w:val="366D649A"/>
    <w:rsid w:val="368259EE"/>
    <w:rsid w:val="3689301E"/>
    <w:rsid w:val="369C7E5C"/>
    <w:rsid w:val="36A22949"/>
    <w:rsid w:val="36B523AB"/>
    <w:rsid w:val="36C76D40"/>
    <w:rsid w:val="36F44E23"/>
    <w:rsid w:val="371D2966"/>
    <w:rsid w:val="373062E8"/>
    <w:rsid w:val="375C1AC9"/>
    <w:rsid w:val="37770231"/>
    <w:rsid w:val="37785098"/>
    <w:rsid w:val="377E7331"/>
    <w:rsid w:val="379038C8"/>
    <w:rsid w:val="379B1E6C"/>
    <w:rsid w:val="379D002A"/>
    <w:rsid w:val="37A6234C"/>
    <w:rsid w:val="37A907BA"/>
    <w:rsid w:val="37AF1535"/>
    <w:rsid w:val="37CA63F2"/>
    <w:rsid w:val="37CB57CA"/>
    <w:rsid w:val="37D337D1"/>
    <w:rsid w:val="37DD56C2"/>
    <w:rsid w:val="37DE20F8"/>
    <w:rsid w:val="37F16302"/>
    <w:rsid w:val="38253136"/>
    <w:rsid w:val="38372548"/>
    <w:rsid w:val="384570A4"/>
    <w:rsid w:val="38467A04"/>
    <w:rsid w:val="38781C56"/>
    <w:rsid w:val="38A140CE"/>
    <w:rsid w:val="38B54C1A"/>
    <w:rsid w:val="38C30240"/>
    <w:rsid w:val="38CF65F7"/>
    <w:rsid w:val="38D113BF"/>
    <w:rsid w:val="38D30895"/>
    <w:rsid w:val="38D5511D"/>
    <w:rsid w:val="38DB4DD5"/>
    <w:rsid w:val="38E95212"/>
    <w:rsid w:val="38F3691D"/>
    <w:rsid w:val="3909408E"/>
    <w:rsid w:val="391C1C7A"/>
    <w:rsid w:val="39465968"/>
    <w:rsid w:val="394D1A3B"/>
    <w:rsid w:val="394F4D33"/>
    <w:rsid w:val="39600E80"/>
    <w:rsid w:val="39803383"/>
    <w:rsid w:val="399A429F"/>
    <w:rsid w:val="399B72BC"/>
    <w:rsid w:val="39A73391"/>
    <w:rsid w:val="39A95A0D"/>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7431F4"/>
    <w:rsid w:val="3A90237F"/>
    <w:rsid w:val="3B002E8F"/>
    <w:rsid w:val="3B0A7991"/>
    <w:rsid w:val="3B100A85"/>
    <w:rsid w:val="3B107BEE"/>
    <w:rsid w:val="3B18283A"/>
    <w:rsid w:val="3B336F2F"/>
    <w:rsid w:val="3B567019"/>
    <w:rsid w:val="3B5C777B"/>
    <w:rsid w:val="3B691338"/>
    <w:rsid w:val="3B6B36CF"/>
    <w:rsid w:val="3B96787F"/>
    <w:rsid w:val="3BA60160"/>
    <w:rsid w:val="3BB46CD1"/>
    <w:rsid w:val="3BB6128D"/>
    <w:rsid w:val="3BD11411"/>
    <w:rsid w:val="3BD837A5"/>
    <w:rsid w:val="3BE05196"/>
    <w:rsid w:val="3BED4242"/>
    <w:rsid w:val="3C173EBE"/>
    <w:rsid w:val="3C317DDD"/>
    <w:rsid w:val="3C336F35"/>
    <w:rsid w:val="3C3D3F09"/>
    <w:rsid w:val="3C457CDF"/>
    <w:rsid w:val="3C61573F"/>
    <w:rsid w:val="3C742BEB"/>
    <w:rsid w:val="3C744F7F"/>
    <w:rsid w:val="3C857740"/>
    <w:rsid w:val="3C8E02B7"/>
    <w:rsid w:val="3CA732CA"/>
    <w:rsid w:val="3CB004C5"/>
    <w:rsid w:val="3CB35047"/>
    <w:rsid w:val="3CB47F7E"/>
    <w:rsid w:val="3CB603EF"/>
    <w:rsid w:val="3CD82621"/>
    <w:rsid w:val="3CDD69B2"/>
    <w:rsid w:val="3CEA693F"/>
    <w:rsid w:val="3CEF1648"/>
    <w:rsid w:val="3D0D0F5F"/>
    <w:rsid w:val="3D0D55A5"/>
    <w:rsid w:val="3D187CD8"/>
    <w:rsid w:val="3D324998"/>
    <w:rsid w:val="3D354C10"/>
    <w:rsid w:val="3D475AFB"/>
    <w:rsid w:val="3D4C43AF"/>
    <w:rsid w:val="3D502422"/>
    <w:rsid w:val="3D5275CE"/>
    <w:rsid w:val="3D5404DD"/>
    <w:rsid w:val="3D5941EB"/>
    <w:rsid w:val="3D6341E4"/>
    <w:rsid w:val="3D6A48AA"/>
    <w:rsid w:val="3D6D23E3"/>
    <w:rsid w:val="3D7C1281"/>
    <w:rsid w:val="3D8D1DDC"/>
    <w:rsid w:val="3D995C7E"/>
    <w:rsid w:val="3DCE2E82"/>
    <w:rsid w:val="3DD2333F"/>
    <w:rsid w:val="3DEC316F"/>
    <w:rsid w:val="3E000E38"/>
    <w:rsid w:val="3E037731"/>
    <w:rsid w:val="3E0F09D9"/>
    <w:rsid w:val="3E1646C1"/>
    <w:rsid w:val="3E247488"/>
    <w:rsid w:val="3E305EE4"/>
    <w:rsid w:val="3E360DF6"/>
    <w:rsid w:val="3E3D25F5"/>
    <w:rsid w:val="3E4E6762"/>
    <w:rsid w:val="3E5F5CBB"/>
    <w:rsid w:val="3E70166E"/>
    <w:rsid w:val="3E752011"/>
    <w:rsid w:val="3E8270FA"/>
    <w:rsid w:val="3E8E2505"/>
    <w:rsid w:val="3E8F0C9A"/>
    <w:rsid w:val="3E9953AC"/>
    <w:rsid w:val="3E9D3F84"/>
    <w:rsid w:val="3E9F3605"/>
    <w:rsid w:val="3EAF142E"/>
    <w:rsid w:val="3EB41061"/>
    <w:rsid w:val="3EEC1C8D"/>
    <w:rsid w:val="3EF15A07"/>
    <w:rsid w:val="3EFC4AE4"/>
    <w:rsid w:val="3F0C0C5D"/>
    <w:rsid w:val="3F310E2B"/>
    <w:rsid w:val="3F3E5B85"/>
    <w:rsid w:val="3F4D19AF"/>
    <w:rsid w:val="3F691A99"/>
    <w:rsid w:val="3F837DDF"/>
    <w:rsid w:val="3F901403"/>
    <w:rsid w:val="3FA21405"/>
    <w:rsid w:val="3FA96E5D"/>
    <w:rsid w:val="3FC04528"/>
    <w:rsid w:val="3FCB012B"/>
    <w:rsid w:val="3FD27B2E"/>
    <w:rsid w:val="3FEE1DE8"/>
    <w:rsid w:val="3FFE5EFF"/>
    <w:rsid w:val="40171145"/>
    <w:rsid w:val="402104DC"/>
    <w:rsid w:val="402D3537"/>
    <w:rsid w:val="40480E8F"/>
    <w:rsid w:val="40662C29"/>
    <w:rsid w:val="40742438"/>
    <w:rsid w:val="40791098"/>
    <w:rsid w:val="40932E75"/>
    <w:rsid w:val="40A70377"/>
    <w:rsid w:val="40BC5D67"/>
    <w:rsid w:val="40CC7CA3"/>
    <w:rsid w:val="40D775A2"/>
    <w:rsid w:val="40DC23A0"/>
    <w:rsid w:val="40EE33BE"/>
    <w:rsid w:val="40F61783"/>
    <w:rsid w:val="4100601D"/>
    <w:rsid w:val="410D75D5"/>
    <w:rsid w:val="411A76EB"/>
    <w:rsid w:val="411E3000"/>
    <w:rsid w:val="41402C24"/>
    <w:rsid w:val="414E7345"/>
    <w:rsid w:val="41546D3E"/>
    <w:rsid w:val="41591FEE"/>
    <w:rsid w:val="41696F7F"/>
    <w:rsid w:val="417240B9"/>
    <w:rsid w:val="417C0D06"/>
    <w:rsid w:val="418B25AA"/>
    <w:rsid w:val="418D33B3"/>
    <w:rsid w:val="418E56CE"/>
    <w:rsid w:val="41925E9B"/>
    <w:rsid w:val="419B0F19"/>
    <w:rsid w:val="419B1BC4"/>
    <w:rsid w:val="419D5169"/>
    <w:rsid w:val="419D7C05"/>
    <w:rsid w:val="41A33A51"/>
    <w:rsid w:val="41A46863"/>
    <w:rsid w:val="41A739EA"/>
    <w:rsid w:val="41B3371C"/>
    <w:rsid w:val="41B4302C"/>
    <w:rsid w:val="41CC67E1"/>
    <w:rsid w:val="41DA3C01"/>
    <w:rsid w:val="41E3266D"/>
    <w:rsid w:val="41E5665C"/>
    <w:rsid w:val="41E70FD1"/>
    <w:rsid w:val="41F604FA"/>
    <w:rsid w:val="41FE6085"/>
    <w:rsid w:val="42013C9E"/>
    <w:rsid w:val="420F24CA"/>
    <w:rsid w:val="421C0994"/>
    <w:rsid w:val="424F02B6"/>
    <w:rsid w:val="42523372"/>
    <w:rsid w:val="42672C44"/>
    <w:rsid w:val="42683145"/>
    <w:rsid w:val="427133C0"/>
    <w:rsid w:val="42715180"/>
    <w:rsid w:val="4277762F"/>
    <w:rsid w:val="429D7D7D"/>
    <w:rsid w:val="42B06FDD"/>
    <w:rsid w:val="42B23DF0"/>
    <w:rsid w:val="42B45768"/>
    <w:rsid w:val="42DD7341"/>
    <w:rsid w:val="42E637C3"/>
    <w:rsid w:val="42FD1410"/>
    <w:rsid w:val="430C488E"/>
    <w:rsid w:val="43184FA0"/>
    <w:rsid w:val="431F563A"/>
    <w:rsid w:val="432151DF"/>
    <w:rsid w:val="432A3E0D"/>
    <w:rsid w:val="432D0CD2"/>
    <w:rsid w:val="4338356A"/>
    <w:rsid w:val="433E24EE"/>
    <w:rsid w:val="43412F21"/>
    <w:rsid w:val="4348259E"/>
    <w:rsid w:val="434C0977"/>
    <w:rsid w:val="434D5EB2"/>
    <w:rsid w:val="43604502"/>
    <w:rsid w:val="43705840"/>
    <w:rsid w:val="437E6752"/>
    <w:rsid w:val="43803823"/>
    <w:rsid w:val="438D2FF7"/>
    <w:rsid w:val="43AF6845"/>
    <w:rsid w:val="43CC31B4"/>
    <w:rsid w:val="43CC79E5"/>
    <w:rsid w:val="43D44FF8"/>
    <w:rsid w:val="441557E3"/>
    <w:rsid w:val="44226F3F"/>
    <w:rsid w:val="4425659D"/>
    <w:rsid w:val="44286453"/>
    <w:rsid w:val="44371554"/>
    <w:rsid w:val="444B4817"/>
    <w:rsid w:val="444C54FC"/>
    <w:rsid w:val="44615639"/>
    <w:rsid w:val="44762FC6"/>
    <w:rsid w:val="44807EEA"/>
    <w:rsid w:val="4488431A"/>
    <w:rsid w:val="448F5706"/>
    <w:rsid w:val="44944331"/>
    <w:rsid w:val="449A539D"/>
    <w:rsid w:val="44A538D4"/>
    <w:rsid w:val="44B05905"/>
    <w:rsid w:val="44B67F0B"/>
    <w:rsid w:val="44BB1103"/>
    <w:rsid w:val="44E81308"/>
    <w:rsid w:val="451317C4"/>
    <w:rsid w:val="45146D13"/>
    <w:rsid w:val="45252A65"/>
    <w:rsid w:val="45575AD5"/>
    <w:rsid w:val="455907EE"/>
    <w:rsid w:val="457E0115"/>
    <w:rsid w:val="459B774E"/>
    <w:rsid w:val="45B72AB1"/>
    <w:rsid w:val="45BA079F"/>
    <w:rsid w:val="45CC0EF3"/>
    <w:rsid w:val="45CF5AD4"/>
    <w:rsid w:val="45D61E17"/>
    <w:rsid w:val="45DD06D9"/>
    <w:rsid w:val="460D21F2"/>
    <w:rsid w:val="460E0469"/>
    <w:rsid w:val="460E0A15"/>
    <w:rsid w:val="461909E8"/>
    <w:rsid w:val="462E79C9"/>
    <w:rsid w:val="4635298E"/>
    <w:rsid w:val="46355D58"/>
    <w:rsid w:val="463C04FA"/>
    <w:rsid w:val="464050BB"/>
    <w:rsid w:val="46405C21"/>
    <w:rsid w:val="466B6702"/>
    <w:rsid w:val="466F037A"/>
    <w:rsid w:val="467737E1"/>
    <w:rsid w:val="467C180C"/>
    <w:rsid w:val="468B577B"/>
    <w:rsid w:val="46A075FA"/>
    <w:rsid w:val="46A359DC"/>
    <w:rsid w:val="46A54FB3"/>
    <w:rsid w:val="46D040D1"/>
    <w:rsid w:val="46D47B0B"/>
    <w:rsid w:val="46D7121E"/>
    <w:rsid w:val="46E07671"/>
    <w:rsid w:val="46F84FBA"/>
    <w:rsid w:val="46FF57CE"/>
    <w:rsid w:val="47154F60"/>
    <w:rsid w:val="47162E3C"/>
    <w:rsid w:val="47476572"/>
    <w:rsid w:val="47700BCB"/>
    <w:rsid w:val="47732DB6"/>
    <w:rsid w:val="47B41393"/>
    <w:rsid w:val="47B94CE5"/>
    <w:rsid w:val="47C254B8"/>
    <w:rsid w:val="47DF082A"/>
    <w:rsid w:val="47EB5003"/>
    <w:rsid w:val="48081128"/>
    <w:rsid w:val="480D3EC3"/>
    <w:rsid w:val="48144FED"/>
    <w:rsid w:val="482B26B0"/>
    <w:rsid w:val="483A31DC"/>
    <w:rsid w:val="48440530"/>
    <w:rsid w:val="484715CC"/>
    <w:rsid w:val="485D616F"/>
    <w:rsid w:val="4873370F"/>
    <w:rsid w:val="48942C25"/>
    <w:rsid w:val="4898666C"/>
    <w:rsid w:val="489B75DE"/>
    <w:rsid w:val="489F44D2"/>
    <w:rsid w:val="48A82C22"/>
    <w:rsid w:val="48AB4379"/>
    <w:rsid w:val="48B5305A"/>
    <w:rsid w:val="48B63FE7"/>
    <w:rsid w:val="48C71061"/>
    <w:rsid w:val="48CC7D6E"/>
    <w:rsid w:val="48DD5408"/>
    <w:rsid w:val="48EB5A5C"/>
    <w:rsid w:val="490B579F"/>
    <w:rsid w:val="491F0291"/>
    <w:rsid w:val="4920208E"/>
    <w:rsid w:val="492A1C6E"/>
    <w:rsid w:val="492C7D33"/>
    <w:rsid w:val="493A79B5"/>
    <w:rsid w:val="49575C03"/>
    <w:rsid w:val="495E78EB"/>
    <w:rsid w:val="4969605D"/>
    <w:rsid w:val="496D1F2A"/>
    <w:rsid w:val="4974087A"/>
    <w:rsid w:val="497A3E68"/>
    <w:rsid w:val="497C7394"/>
    <w:rsid w:val="498A3B85"/>
    <w:rsid w:val="498B65AB"/>
    <w:rsid w:val="49AE3287"/>
    <w:rsid w:val="49C65C46"/>
    <w:rsid w:val="49D021B0"/>
    <w:rsid w:val="49D61F4B"/>
    <w:rsid w:val="49D7375C"/>
    <w:rsid w:val="49E81BC9"/>
    <w:rsid w:val="49EC64E1"/>
    <w:rsid w:val="4A11668C"/>
    <w:rsid w:val="4A3546EB"/>
    <w:rsid w:val="4A443774"/>
    <w:rsid w:val="4A4A48A6"/>
    <w:rsid w:val="4A506B41"/>
    <w:rsid w:val="4A524812"/>
    <w:rsid w:val="4A526073"/>
    <w:rsid w:val="4A56215E"/>
    <w:rsid w:val="4A5D4A40"/>
    <w:rsid w:val="4A63534F"/>
    <w:rsid w:val="4A6C1B50"/>
    <w:rsid w:val="4A7E40F2"/>
    <w:rsid w:val="4A8561F1"/>
    <w:rsid w:val="4A943BC6"/>
    <w:rsid w:val="4A977A4A"/>
    <w:rsid w:val="4AA30352"/>
    <w:rsid w:val="4AAF17A9"/>
    <w:rsid w:val="4ABA7840"/>
    <w:rsid w:val="4AE623A4"/>
    <w:rsid w:val="4AE74F60"/>
    <w:rsid w:val="4AFF5CC6"/>
    <w:rsid w:val="4B1D3A51"/>
    <w:rsid w:val="4B280F1E"/>
    <w:rsid w:val="4B2B3281"/>
    <w:rsid w:val="4B3D4E30"/>
    <w:rsid w:val="4B411E5A"/>
    <w:rsid w:val="4B413D26"/>
    <w:rsid w:val="4B6B6050"/>
    <w:rsid w:val="4B8B446D"/>
    <w:rsid w:val="4BA324C2"/>
    <w:rsid w:val="4BB317A2"/>
    <w:rsid w:val="4BC27F8D"/>
    <w:rsid w:val="4BC97047"/>
    <w:rsid w:val="4BCC6CCE"/>
    <w:rsid w:val="4BE44E6C"/>
    <w:rsid w:val="4BF446B8"/>
    <w:rsid w:val="4C003E2A"/>
    <w:rsid w:val="4C061338"/>
    <w:rsid w:val="4C061EF7"/>
    <w:rsid w:val="4C497215"/>
    <w:rsid w:val="4C4F5F99"/>
    <w:rsid w:val="4C5474C5"/>
    <w:rsid w:val="4C5D0817"/>
    <w:rsid w:val="4C5E08E0"/>
    <w:rsid w:val="4C7C64A4"/>
    <w:rsid w:val="4CBF4AE9"/>
    <w:rsid w:val="4CCA7CF8"/>
    <w:rsid w:val="4CCC299D"/>
    <w:rsid w:val="4D0A349B"/>
    <w:rsid w:val="4D0D2E78"/>
    <w:rsid w:val="4D0F04ED"/>
    <w:rsid w:val="4D164C7E"/>
    <w:rsid w:val="4D384A7C"/>
    <w:rsid w:val="4D3A0411"/>
    <w:rsid w:val="4D427C91"/>
    <w:rsid w:val="4D7706F2"/>
    <w:rsid w:val="4D845711"/>
    <w:rsid w:val="4D8A02B7"/>
    <w:rsid w:val="4DBE12C2"/>
    <w:rsid w:val="4DCE6ED3"/>
    <w:rsid w:val="4DF46CF3"/>
    <w:rsid w:val="4E095444"/>
    <w:rsid w:val="4E0E40E2"/>
    <w:rsid w:val="4E333BBB"/>
    <w:rsid w:val="4E4E04E5"/>
    <w:rsid w:val="4E665F7B"/>
    <w:rsid w:val="4E6A06E9"/>
    <w:rsid w:val="4E715DB2"/>
    <w:rsid w:val="4E776B87"/>
    <w:rsid w:val="4E8E5857"/>
    <w:rsid w:val="4EC206BE"/>
    <w:rsid w:val="4EC46EFB"/>
    <w:rsid w:val="4EC7194E"/>
    <w:rsid w:val="4EC951FF"/>
    <w:rsid w:val="4ED04B02"/>
    <w:rsid w:val="4ED346CC"/>
    <w:rsid w:val="4EDD6EFA"/>
    <w:rsid w:val="4EE96853"/>
    <w:rsid w:val="4F105F02"/>
    <w:rsid w:val="4F121BEA"/>
    <w:rsid w:val="4F172396"/>
    <w:rsid w:val="4F1D4181"/>
    <w:rsid w:val="4F3F03C1"/>
    <w:rsid w:val="4F4C2971"/>
    <w:rsid w:val="4F566ACF"/>
    <w:rsid w:val="4F704BBC"/>
    <w:rsid w:val="4F8028EE"/>
    <w:rsid w:val="4F8435B4"/>
    <w:rsid w:val="4F8C7DDC"/>
    <w:rsid w:val="4FAD0DF7"/>
    <w:rsid w:val="4FBC1F04"/>
    <w:rsid w:val="4FBD361C"/>
    <w:rsid w:val="4FBE1CEA"/>
    <w:rsid w:val="4FC15F00"/>
    <w:rsid w:val="4FF17370"/>
    <w:rsid w:val="4FF77C61"/>
    <w:rsid w:val="50037C0C"/>
    <w:rsid w:val="500F51F9"/>
    <w:rsid w:val="50200CEA"/>
    <w:rsid w:val="502A7546"/>
    <w:rsid w:val="502E1CFA"/>
    <w:rsid w:val="50371519"/>
    <w:rsid w:val="503D6ACE"/>
    <w:rsid w:val="50447CE3"/>
    <w:rsid w:val="504570EB"/>
    <w:rsid w:val="505A0A75"/>
    <w:rsid w:val="505B05E7"/>
    <w:rsid w:val="507521C1"/>
    <w:rsid w:val="50753DB9"/>
    <w:rsid w:val="509E2BD3"/>
    <w:rsid w:val="50C04426"/>
    <w:rsid w:val="50C7518D"/>
    <w:rsid w:val="50C95413"/>
    <w:rsid w:val="50CA58C9"/>
    <w:rsid w:val="50ED0D36"/>
    <w:rsid w:val="50F462DA"/>
    <w:rsid w:val="510B317F"/>
    <w:rsid w:val="51130AD6"/>
    <w:rsid w:val="51147068"/>
    <w:rsid w:val="511B4097"/>
    <w:rsid w:val="51216FB7"/>
    <w:rsid w:val="512452DA"/>
    <w:rsid w:val="5125611E"/>
    <w:rsid w:val="512E023D"/>
    <w:rsid w:val="513764DE"/>
    <w:rsid w:val="514C3C7B"/>
    <w:rsid w:val="515029F4"/>
    <w:rsid w:val="515B22B5"/>
    <w:rsid w:val="51777BA1"/>
    <w:rsid w:val="517A1ADB"/>
    <w:rsid w:val="517C1302"/>
    <w:rsid w:val="51901189"/>
    <w:rsid w:val="51952A88"/>
    <w:rsid w:val="51B23F17"/>
    <w:rsid w:val="51B661F2"/>
    <w:rsid w:val="51BB2EED"/>
    <w:rsid w:val="51E51BA8"/>
    <w:rsid w:val="51EE27E3"/>
    <w:rsid w:val="52040DD8"/>
    <w:rsid w:val="52101F45"/>
    <w:rsid w:val="52125E5B"/>
    <w:rsid w:val="5213342A"/>
    <w:rsid w:val="52163344"/>
    <w:rsid w:val="52217FFE"/>
    <w:rsid w:val="5234477C"/>
    <w:rsid w:val="52475C9F"/>
    <w:rsid w:val="52515077"/>
    <w:rsid w:val="525A327C"/>
    <w:rsid w:val="52806E8B"/>
    <w:rsid w:val="52A84489"/>
    <w:rsid w:val="52B118DE"/>
    <w:rsid w:val="52B80D5E"/>
    <w:rsid w:val="52BF77E0"/>
    <w:rsid w:val="52C52078"/>
    <w:rsid w:val="52CB6EC0"/>
    <w:rsid w:val="52D061DA"/>
    <w:rsid w:val="52D211F8"/>
    <w:rsid w:val="52F26F28"/>
    <w:rsid w:val="53031E61"/>
    <w:rsid w:val="5315442E"/>
    <w:rsid w:val="533907AA"/>
    <w:rsid w:val="5341530E"/>
    <w:rsid w:val="534326DA"/>
    <w:rsid w:val="53434396"/>
    <w:rsid w:val="534D112E"/>
    <w:rsid w:val="535F15E8"/>
    <w:rsid w:val="53654967"/>
    <w:rsid w:val="53761C93"/>
    <w:rsid w:val="537B0A8C"/>
    <w:rsid w:val="538B1A6A"/>
    <w:rsid w:val="5393301A"/>
    <w:rsid w:val="53971518"/>
    <w:rsid w:val="5399073D"/>
    <w:rsid w:val="539E3677"/>
    <w:rsid w:val="53A84C2D"/>
    <w:rsid w:val="53AB2CD5"/>
    <w:rsid w:val="53AF23D8"/>
    <w:rsid w:val="53B31343"/>
    <w:rsid w:val="53B91D8C"/>
    <w:rsid w:val="53CA7A82"/>
    <w:rsid w:val="53CE2D5A"/>
    <w:rsid w:val="53D82514"/>
    <w:rsid w:val="53E56E6E"/>
    <w:rsid w:val="53EB2495"/>
    <w:rsid w:val="53F17662"/>
    <w:rsid w:val="54010C17"/>
    <w:rsid w:val="540366C1"/>
    <w:rsid w:val="540522B5"/>
    <w:rsid w:val="542406F9"/>
    <w:rsid w:val="542C2C82"/>
    <w:rsid w:val="543F012A"/>
    <w:rsid w:val="546136C7"/>
    <w:rsid w:val="54635F00"/>
    <w:rsid w:val="54661F54"/>
    <w:rsid w:val="546C3F2D"/>
    <w:rsid w:val="547F46DA"/>
    <w:rsid w:val="54944893"/>
    <w:rsid w:val="549F75FE"/>
    <w:rsid w:val="54A51CC5"/>
    <w:rsid w:val="54AF6C60"/>
    <w:rsid w:val="54B52F94"/>
    <w:rsid w:val="54BD36E4"/>
    <w:rsid w:val="54DD78BD"/>
    <w:rsid w:val="54E06144"/>
    <w:rsid w:val="54F52367"/>
    <w:rsid w:val="550A393D"/>
    <w:rsid w:val="555E54FB"/>
    <w:rsid w:val="556D2811"/>
    <w:rsid w:val="55767F46"/>
    <w:rsid w:val="55CE1AD5"/>
    <w:rsid w:val="55ED37B8"/>
    <w:rsid w:val="55F04C52"/>
    <w:rsid w:val="55F35D23"/>
    <w:rsid w:val="56281CBC"/>
    <w:rsid w:val="56333685"/>
    <w:rsid w:val="56540424"/>
    <w:rsid w:val="567466BA"/>
    <w:rsid w:val="567B7B50"/>
    <w:rsid w:val="568F0DF7"/>
    <w:rsid w:val="56A332D5"/>
    <w:rsid w:val="56AD59C6"/>
    <w:rsid w:val="56B85F25"/>
    <w:rsid w:val="56C325A5"/>
    <w:rsid w:val="56C4174F"/>
    <w:rsid w:val="56E326CF"/>
    <w:rsid w:val="56E709F8"/>
    <w:rsid w:val="56F10A56"/>
    <w:rsid w:val="56FB32FA"/>
    <w:rsid w:val="570703AF"/>
    <w:rsid w:val="572D602C"/>
    <w:rsid w:val="573221A2"/>
    <w:rsid w:val="57364D30"/>
    <w:rsid w:val="573D71D1"/>
    <w:rsid w:val="57574216"/>
    <w:rsid w:val="57636B03"/>
    <w:rsid w:val="57A21363"/>
    <w:rsid w:val="57A54C20"/>
    <w:rsid w:val="57A71406"/>
    <w:rsid w:val="57B06D46"/>
    <w:rsid w:val="57B937A9"/>
    <w:rsid w:val="57BB4E50"/>
    <w:rsid w:val="57C34B39"/>
    <w:rsid w:val="57C94F80"/>
    <w:rsid w:val="57DE1F69"/>
    <w:rsid w:val="57E116B4"/>
    <w:rsid w:val="580C0140"/>
    <w:rsid w:val="580F431F"/>
    <w:rsid w:val="587B6F7C"/>
    <w:rsid w:val="588D5412"/>
    <w:rsid w:val="58A22BE9"/>
    <w:rsid w:val="58BD6FD7"/>
    <w:rsid w:val="58C72E10"/>
    <w:rsid w:val="58DB6137"/>
    <w:rsid w:val="58E44026"/>
    <w:rsid w:val="58E67C57"/>
    <w:rsid w:val="58E94F10"/>
    <w:rsid w:val="58F965E6"/>
    <w:rsid w:val="58FA15B8"/>
    <w:rsid w:val="58FF06B6"/>
    <w:rsid w:val="59046596"/>
    <w:rsid w:val="591C3F4A"/>
    <w:rsid w:val="591F1CBF"/>
    <w:rsid w:val="592859C8"/>
    <w:rsid w:val="593E6CC6"/>
    <w:rsid w:val="59404EE0"/>
    <w:rsid w:val="594B0A62"/>
    <w:rsid w:val="594E1B0E"/>
    <w:rsid w:val="594F32F2"/>
    <w:rsid w:val="595461B1"/>
    <w:rsid w:val="59591BB8"/>
    <w:rsid w:val="595C743E"/>
    <w:rsid w:val="595E1551"/>
    <w:rsid w:val="59760077"/>
    <w:rsid w:val="59820786"/>
    <w:rsid w:val="59A774F2"/>
    <w:rsid w:val="59AD15AB"/>
    <w:rsid w:val="59CE313C"/>
    <w:rsid w:val="59E474BD"/>
    <w:rsid w:val="59E869EC"/>
    <w:rsid w:val="59FC6B89"/>
    <w:rsid w:val="5A143012"/>
    <w:rsid w:val="5A261D0E"/>
    <w:rsid w:val="5A2907FC"/>
    <w:rsid w:val="5A2E6A84"/>
    <w:rsid w:val="5A412A61"/>
    <w:rsid w:val="5A4752E2"/>
    <w:rsid w:val="5A527BDD"/>
    <w:rsid w:val="5A7D1253"/>
    <w:rsid w:val="5A905E59"/>
    <w:rsid w:val="5A9311E7"/>
    <w:rsid w:val="5AA72593"/>
    <w:rsid w:val="5AA9358C"/>
    <w:rsid w:val="5AD0373D"/>
    <w:rsid w:val="5AF46A20"/>
    <w:rsid w:val="5AF502E2"/>
    <w:rsid w:val="5AF81B7B"/>
    <w:rsid w:val="5AF86253"/>
    <w:rsid w:val="5AF91E46"/>
    <w:rsid w:val="5AFB1569"/>
    <w:rsid w:val="5B047A73"/>
    <w:rsid w:val="5B081862"/>
    <w:rsid w:val="5B0A0B9B"/>
    <w:rsid w:val="5B1140FC"/>
    <w:rsid w:val="5B1C3DCA"/>
    <w:rsid w:val="5B1F176B"/>
    <w:rsid w:val="5B24355B"/>
    <w:rsid w:val="5B2D01BB"/>
    <w:rsid w:val="5B340596"/>
    <w:rsid w:val="5B3F26B3"/>
    <w:rsid w:val="5B467F94"/>
    <w:rsid w:val="5B491028"/>
    <w:rsid w:val="5B4B70AC"/>
    <w:rsid w:val="5B850F8B"/>
    <w:rsid w:val="5B8A7522"/>
    <w:rsid w:val="5B946B5D"/>
    <w:rsid w:val="5BA53E1C"/>
    <w:rsid w:val="5BA92AAB"/>
    <w:rsid w:val="5BB41290"/>
    <w:rsid w:val="5BC50503"/>
    <w:rsid w:val="5BCC4827"/>
    <w:rsid w:val="5BCD464A"/>
    <w:rsid w:val="5BF50EB6"/>
    <w:rsid w:val="5BF92128"/>
    <w:rsid w:val="5BFA7DB5"/>
    <w:rsid w:val="5BFB1F01"/>
    <w:rsid w:val="5C075DA6"/>
    <w:rsid w:val="5C1D7D30"/>
    <w:rsid w:val="5C275BD4"/>
    <w:rsid w:val="5C491EC9"/>
    <w:rsid w:val="5C5028D7"/>
    <w:rsid w:val="5C6D1904"/>
    <w:rsid w:val="5C703E21"/>
    <w:rsid w:val="5C7370A0"/>
    <w:rsid w:val="5C790A6A"/>
    <w:rsid w:val="5C81109C"/>
    <w:rsid w:val="5C9E10E9"/>
    <w:rsid w:val="5C9E40DE"/>
    <w:rsid w:val="5CA11D7F"/>
    <w:rsid w:val="5CAF4CE5"/>
    <w:rsid w:val="5CB22033"/>
    <w:rsid w:val="5CC927D0"/>
    <w:rsid w:val="5CDA6371"/>
    <w:rsid w:val="5CF30224"/>
    <w:rsid w:val="5CFC64A7"/>
    <w:rsid w:val="5D1516BF"/>
    <w:rsid w:val="5D1569ED"/>
    <w:rsid w:val="5D1A5C10"/>
    <w:rsid w:val="5D1B2A4F"/>
    <w:rsid w:val="5D2E6665"/>
    <w:rsid w:val="5D4F34F7"/>
    <w:rsid w:val="5D521435"/>
    <w:rsid w:val="5D623C65"/>
    <w:rsid w:val="5D7636FE"/>
    <w:rsid w:val="5D7F7A77"/>
    <w:rsid w:val="5D810CA8"/>
    <w:rsid w:val="5D8C1819"/>
    <w:rsid w:val="5DC477E0"/>
    <w:rsid w:val="5DCA3061"/>
    <w:rsid w:val="5DD05318"/>
    <w:rsid w:val="5DE97207"/>
    <w:rsid w:val="5DEF6C2B"/>
    <w:rsid w:val="5DF22741"/>
    <w:rsid w:val="5DFE50F6"/>
    <w:rsid w:val="5E026A9A"/>
    <w:rsid w:val="5E123553"/>
    <w:rsid w:val="5E186B89"/>
    <w:rsid w:val="5E2D7C7A"/>
    <w:rsid w:val="5E4E3F80"/>
    <w:rsid w:val="5E5F4BD4"/>
    <w:rsid w:val="5E852B0D"/>
    <w:rsid w:val="5E8A7777"/>
    <w:rsid w:val="5E932264"/>
    <w:rsid w:val="5EA1268E"/>
    <w:rsid w:val="5ED20F44"/>
    <w:rsid w:val="5EE7073E"/>
    <w:rsid w:val="5EEC61AE"/>
    <w:rsid w:val="5EF67A22"/>
    <w:rsid w:val="5EFB4ED5"/>
    <w:rsid w:val="5F123BC6"/>
    <w:rsid w:val="5F184877"/>
    <w:rsid w:val="5F1A7A37"/>
    <w:rsid w:val="5F2E3F46"/>
    <w:rsid w:val="5F406402"/>
    <w:rsid w:val="5F474C09"/>
    <w:rsid w:val="5F475D4B"/>
    <w:rsid w:val="5F63419E"/>
    <w:rsid w:val="5F6B086B"/>
    <w:rsid w:val="5F736746"/>
    <w:rsid w:val="5F7B52AA"/>
    <w:rsid w:val="5F880842"/>
    <w:rsid w:val="5FC1728F"/>
    <w:rsid w:val="5FD95A66"/>
    <w:rsid w:val="5FDF7A00"/>
    <w:rsid w:val="5FE12AC5"/>
    <w:rsid w:val="5FF309C7"/>
    <w:rsid w:val="5FFC4765"/>
    <w:rsid w:val="60046C0F"/>
    <w:rsid w:val="600E4F7F"/>
    <w:rsid w:val="60131685"/>
    <w:rsid w:val="601327BB"/>
    <w:rsid w:val="60245068"/>
    <w:rsid w:val="60255BE3"/>
    <w:rsid w:val="602717FC"/>
    <w:rsid w:val="602A62F8"/>
    <w:rsid w:val="602C01A9"/>
    <w:rsid w:val="603B1B21"/>
    <w:rsid w:val="603F44BF"/>
    <w:rsid w:val="604270B3"/>
    <w:rsid w:val="60504051"/>
    <w:rsid w:val="607F2EF2"/>
    <w:rsid w:val="60842FF2"/>
    <w:rsid w:val="60AF5E00"/>
    <w:rsid w:val="60B1155A"/>
    <w:rsid w:val="60B54161"/>
    <w:rsid w:val="60D43BFA"/>
    <w:rsid w:val="60E142BE"/>
    <w:rsid w:val="60E16AB6"/>
    <w:rsid w:val="60E40C2C"/>
    <w:rsid w:val="60F32CD5"/>
    <w:rsid w:val="60FB6994"/>
    <w:rsid w:val="610D2A7D"/>
    <w:rsid w:val="61111BF1"/>
    <w:rsid w:val="61175A9A"/>
    <w:rsid w:val="612129FE"/>
    <w:rsid w:val="61375BEC"/>
    <w:rsid w:val="614A2305"/>
    <w:rsid w:val="614E4437"/>
    <w:rsid w:val="615F1F60"/>
    <w:rsid w:val="6182631E"/>
    <w:rsid w:val="61AF5CD6"/>
    <w:rsid w:val="61BC217C"/>
    <w:rsid w:val="61D9772A"/>
    <w:rsid w:val="61DA1B5D"/>
    <w:rsid w:val="61DB33CF"/>
    <w:rsid w:val="61EB4962"/>
    <w:rsid w:val="61EF0933"/>
    <w:rsid w:val="61F2327B"/>
    <w:rsid w:val="61F64176"/>
    <w:rsid w:val="61F6471A"/>
    <w:rsid w:val="62413765"/>
    <w:rsid w:val="625A4915"/>
    <w:rsid w:val="625E2011"/>
    <w:rsid w:val="626E5BD1"/>
    <w:rsid w:val="627803DA"/>
    <w:rsid w:val="627966B2"/>
    <w:rsid w:val="62921FA4"/>
    <w:rsid w:val="62A06349"/>
    <w:rsid w:val="62BF1D8B"/>
    <w:rsid w:val="62C83DFB"/>
    <w:rsid w:val="62CB6DF0"/>
    <w:rsid w:val="62DC2379"/>
    <w:rsid w:val="62EF16C5"/>
    <w:rsid w:val="62FA52C3"/>
    <w:rsid w:val="63077DCD"/>
    <w:rsid w:val="630C3818"/>
    <w:rsid w:val="63196725"/>
    <w:rsid w:val="631F3FB6"/>
    <w:rsid w:val="63307428"/>
    <w:rsid w:val="63356B20"/>
    <w:rsid w:val="633B4FC0"/>
    <w:rsid w:val="6349142A"/>
    <w:rsid w:val="634B7547"/>
    <w:rsid w:val="63647D08"/>
    <w:rsid w:val="637B37CB"/>
    <w:rsid w:val="637E69F6"/>
    <w:rsid w:val="63B47AD6"/>
    <w:rsid w:val="63B55E70"/>
    <w:rsid w:val="63BD1F88"/>
    <w:rsid w:val="63D07482"/>
    <w:rsid w:val="63E85719"/>
    <w:rsid w:val="63F34E27"/>
    <w:rsid w:val="63FD53D7"/>
    <w:rsid w:val="640D3774"/>
    <w:rsid w:val="64190D1A"/>
    <w:rsid w:val="642E2D6E"/>
    <w:rsid w:val="642F141D"/>
    <w:rsid w:val="64387FCB"/>
    <w:rsid w:val="6439179D"/>
    <w:rsid w:val="643A7D3D"/>
    <w:rsid w:val="644845EE"/>
    <w:rsid w:val="64494CF7"/>
    <w:rsid w:val="644C43F2"/>
    <w:rsid w:val="645E071A"/>
    <w:rsid w:val="64611864"/>
    <w:rsid w:val="6465357A"/>
    <w:rsid w:val="64704226"/>
    <w:rsid w:val="64730B58"/>
    <w:rsid w:val="647E3F09"/>
    <w:rsid w:val="64870014"/>
    <w:rsid w:val="64B42AB0"/>
    <w:rsid w:val="64B76AA3"/>
    <w:rsid w:val="64C61C82"/>
    <w:rsid w:val="64D124DB"/>
    <w:rsid w:val="64EB099D"/>
    <w:rsid w:val="65012AAF"/>
    <w:rsid w:val="65233DA8"/>
    <w:rsid w:val="652860EC"/>
    <w:rsid w:val="652A1A84"/>
    <w:rsid w:val="652A5D21"/>
    <w:rsid w:val="65480BBE"/>
    <w:rsid w:val="6550438A"/>
    <w:rsid w:val="6554639C"/>
    <w:rsid w:val="65687D20"/>
    <w:rsid w:val="657B264C"/>
    <w:rsid w:val="657C3759"/>
    <w:rsid w:val="659052F9"/>
    <w:rsid w:val="65933B3C"/>
    <w:rsid w:val="65AE026A"/>
    <w:rsid w:val="65B955CA"/>
    <w:rsid w:val="65BE6C54"/>
    <w:rsid w:val="65CC3546"/>
    <w:rsid w:val="65CE71FF"/>
    <w:rsid w:val="65EE73B7"/>
    <w:rsid w:val="66087C36"/>
    <w:rsid w:val="660A413F"/>
    <w:rsid w:val="661A0E12"/>
    <w:rsid w:val="66214D7C"/>
    <w:rsid w:val="6624580B"/>
    <w:rsid w:val="6625001A"/>
    <w:rsid w:val="662A15EB"/>
    <w:rsid w:val="66356B67"/>
    <w:rsid w:val="665078F8"/>
    <w:rsid w:val="66760042"/>
    <w:rsid w:val="667B6C3F"/>
    <w:rsid w:val="66933BD2"/>
    <w:rsid w:val="66B40E42"/>
    <w:rsid w:val="66B56D61"/>
    <w:rsid w:val="66B56D68"/>
    <w:rsid w:val="66DA6071"/>
    <w:rsid w:val="66E9392A"/>
    <w:rsid w:val="66EA1480"/>
    <w:rsid w:val="67056631"/>
    <w:rsid w:val="67126948"/>
    <w:rsid w:val="6745249B"/>
    <w:rsid w:val="674672D3"/>
    <w:rsid w:val="67622FB4"/>
    <w:rsid w:val="676E6425"/>
    <w:rsid w:val="67770DB9"/>
    <w:rsid w:val="67776ADD"/>
    <w:rsid w:val="6779797F"/>
    <w:rsid w:val="6789047F"/>
    <w:rsid w:val="67A27AF8"/>
    <w:rsid w:val="67A720F6"/>
    <w:rsid w:val="67AC1398"/>
    <w:rsid w:val="67E7540E"/>
    <w:rsid w:val="67EA1736"/>
    <w:rsid w:val="67F509D9"/>
    <w:rsid w:val="67FC02AC"/>
    <w:rsid w:val="68006207"/>
    <w:rsid w:val="68070E08"/>
    <w:rsid w:val="680E4CA4"/>
    <w:rsid w:val="682D2C3F"/>
    <w:rsid w:val="682D432C"/>
    <w:rsid w:val="68382592"/>
    <w:rsid w:val="684159B8"/>
    <w:rsid w:val="684A32DA"/>
    <w:rsid w:val="684F053A"/>
    <w:rsid w:val="68524FFC"/>
    <w:rsid w:val="686541B5"/>
    <w:rsid w:val="68777EDD"/>
    <w:rsid w:val="68784674"/>
    <w:rsid w:val="687C00C8"/>
    <w:rsid w:val="687C4042"/>
    <w:rsid w:val="68A742AD"/>
    <w:rsid w:val="68B71B00"/>
    <w:rsid w:val="68B87F12"/>
    <w:rsid w:val="68C25CFA"/>
    <w:rsid w:val="68C731B8"/>
    <w:rsid w:val="68D536DE"/>
    <w:rsid w:val="68E62895"/>
    <w:rsid w:val="69044A5D"/>
    <w:rsid w:val="691052CA"/>
    <w:rsid w:val="69194464"/>
    <w:rsid w:val="691D05F7"/>
    <w:rsid w:val="69256624"/>
    <w:rsid w:val="69312B59"/>
    <w:rsid w:val="69446209"/>
    <w:rsid w:val="694E271E"/>
    <w:rsid w:val="69534859"/>
    <w:rsid w:val="69726337"/>
    <w:rsid w:val="69787B08"/>
    <w:rsid w:val="698B1B24"/>
    <w:rsid w:val="6994580C"/>
    <w:rsid w:val="69A66C99"/>
    <w:rsid w:val="69B75241"/>
    <w:rsid w:val="69BB0755"/>
    <w:rsid w:val="69CD6D6F"/>
    <w:rsid w:val="69FB0A5B"/>
    <w:rsid w:val="6A0D79AA"/>
    <w:rsid w:val="6A115C81"/>
    <w:rsid w:val="6A162FAD"/>
    <w:rsid w:val="6A165F97"/>
    <w:rsid w:val="6A22015C"/>
    <w:rsid w:val="6A6E45DE"/>
    <w:rsid w:val="6A7A60F7"/>
    <w:rsid w:val="6A7E417E"/>
    <w:rsid w:val="6A9C36E2"/>
    <w:rsid w:val="6AAC2E76"/>
    <w:rsid w:val="6AB90DA9"/>
    <w:rsid w:val="6AD73CE6"/>
    <w:rsid w:val="6AE03E44"/>
    <w:rsid w:val="6AEE1969"/>
    <w:rsid w:val="6AF4494F"/>
    <w:rsid w:val="6B0A125F"/>
    <w:rsid w:val="6B1834FD"/>
    <w:rsid w:val="6B23484A"/>
    <w:rsid w:val="6B30457A"/>
    <w:rsid w:val="6B3B1CB3"/>
    <w:rsid w:val="6B43702A"/>
    <w:rsid w:val="6B446AE6"/>
    <w:rsid w:val="6B524C27"/>
    <w:rsid w:val="6B5A1EC9"/>
    <w:rsid w:val="6B7308B4"/>
    <w:rsid w:val="6B744505"/>
    <w:rsid w:val="6B7B26EC"/>
    <w:rsid w:val="6B990784"/>
    <w:rsid w:val="6BA2498F"/>
    <w:rsid w:val="6BB93C93"/>
    <w:rsid w:val="6BBC51E6"/>
    <w:rsid w:val="6BBF609A"/>
    <w:rsid w:val="6BC012E3"/>
    <w:rsid w:val="6BCA0F7D"/>
    <w:rsid w:val="6BDE4DDD"/>
    <w:rsid w:val="6BE07242"/>
    <w:rsid w:val="6BE5514A"/>
    <w:rsid w:val="6BE82C3E"/>
    <w:rsid w:val="6BE972DB"/>
    <w:rsid w:val="6BFE0452"/>
    <w:rsid w:val="6C0F2440"/>
    <w:rsid w:val="6C176418"/>
    <w:rsid w:val="6C247F63"/>
    <w:rsid w:val="6C392A9F"/>
    <w:rsid w:val="6C452784"/>
    <w:rsid w:val="6C4D097B"/>
    <w:rsid w:val="6C524744"/>
    <w:rsid w:val="6C531367"/>
    <w:rsid w:val="6C5973BD"/>
    <w:rsid w:val="6C5F452A"/>
    <w:rsid w:val="6C762792"/>
    <w:rsid w:val="6C7D1213"/>
    <w:rsid w:val="6C801375"/>
    <w:rsid w:val="6C822E35"/>
    <w:rsid w:val="6CA31B9D"/>
    <w:rsid w:val="6CA714E6"/>
    <w:rsid w:val="6CEF6EBD"/>
    <w:rsid w:val="6CF01C95"/>
    <w:rsid w:val="6CF542B7"/>
    <w:rsid w:val="6CFA3A07"/>
    <w:rsid w:val="6D0071CD"/>
    <w:rsid w:val="6D18295E"/>
    <w:rsid w:val="6D1A13F6"/>
    <w:rsid w:val="6D1F12FA"/>
    <w:rsid w:val="6D206AE2"/>
    <w:rsid w:val="6D497025"/>
    <w:rsid w:val="6D5941BB"/>
    <w:rsid w:val="6D5B0CBD"/>
    <w:rsid w:val="6D6D33F8"/>
    <w:rsid w:val="6D6F3AB1"/>
    <w:rsid w:val="6D73256C"/>
    <w:rsid w:val="6D760430"/>
    <w:rsid w:val="6D76784D"/>
    <w:rsid w:val="6D8A08D8"/>
    <w:rsid w:val="6D9541F5"/>
    <w:rsid w:val="6D961017"/>
    <w:rsid w:val="6DBF3CF2"/>
    <w:rsid w:val="6DCD4F84"/>
    <w:rsid w:val="6DCE3EDB"/>
    <w:rsid w:val="6DD23F1E"/>
    <w:rsid w:val="6DD4500A"/>
    <w:rsid w:val="6DDB4275"/>
    <w:rsid w:val="6DEE2081"/>
    <w:rsid w:val="6E0135EB"/>
    <w:rsid w:val="6E0A26D3"/>
    <w:rsid w:val="6E1B7D7D"/>
    <w:rsid w:val="6E210E7D"/>
    <w:rsid w:val="6E336938"/>
    <w:rsid w:val="6E360304"/>
    <w:rsid w:val="6E4C0EF4"/>
    <w:rsid w:val="6E4E028C"/>
    <w:rsid w:val="6E565A56"/>
    <w:rsid w:val="6E5C1E9E"/>
    <w:rsid w:val="6E5D68D3"/>
    <w:rsid w:val="6E682450"/>
    <w:rsid w:val="6E6A511F"/>
    <w:rsid w:val="6E720DA7"/>
    <w:rsid w:val="6E7251F0"/>
    <w:rsid w:val="6E757524"/>
    <w:rsid w:val="6E7934F3"/>
    <w:rsid w:val="6E9C5623"/>
    <w:rsid w:val="6E9E05A5"/>
    <w:rsid w:val="6EAD6286"/>
    <w:rsid w:val="6EB24C59"/>
    <w:rsid w:val="6EBD3CCD"/>
    <w:rsid w:val="6EC9468F"/>
    <w:rsid w:val="6ECD60E1"/>
    <w:rsid w:val="6EDB6C60"/>
    <w:rsid w:val="6EE64158"/>
    <w:rsid w:val="6F0F28B8"/>
    <w:rsid w:val="6F2428C0"/>
    <w:rsid w:val="6F350CF1"/>
    <w:rsid w:val="6F3A17D7"/>
    <w:rsid w:val="6F433285"/>
    <w:rsid w:val="6F5437E3"/>
    <w:rsid w:val="6F591B5D"/>
    <w:rsid w:val="6F7E65DB"/>
    <w:rsid w:val="6F7F6D3A"/>
    <w:rsid w:val="6F8D476D"/>
    <w:rsid w:val="6F9016E6"/>
    <w:rsid w:val="6F981073"/>
    <w:rsid w:val="6FA172A4"/>
    <w:rsid w:val="6FE07DD0"/>
    <w:rsid w:val="6FEC6F26"/>
    <w:rsid w:val="6FF72D78"/>
    <w:rsid w:val="6FFF65EB"/>
    <w:rsid w:val="702D3A00"/>
    <w:rsid w:val="70341230"/>
    <w:rsid w:val="70342FAD"/>
    <w:rsid w:val="7034472B"/>
    <w:rsid w:val="705A14E5"/>
    <w:rsid w:val="705A4D1B"/>
    <w:rsid w:val="705F37D3"/>
    <w:rsid w:val="708B108A"/>
    <w:rsid w:val="709143C4"/>
    <w:rsid w:val="70930271"/>
    <w:rsid w:val="70DB5146"/>
    <w:rsid w:val="70E51B6F"/>
    <w:rsid w:val="70E561EA"/>
    <w:rsid w:val="70FA4092"/>
    <w:rsid w:val="70FC3C7A"/>
    <w:rsid w:val="71075B1A"/>
    <w:rsid w:val="710E7F44"/>
    <w:rsid w:val="71193089"/>
    <w:rsid w:val="71211292"/>
    <w:rsid w:val="71243B68"/>
    <w:rsid w:val="712776C4"/>
    <w:rsid w:val="714344B4"/>
    <w:rsid w:val="71654226"/>
    <w:rsid w:val="7181738B"/>
    <w:rsid w:val="71820038"/>
    <w:rsid w:val="71860B86"/>
    <w:rsid w:val="718B1478"/>
    <w:rsid w:val="71990145"/>
    <w:rsid w:val="719E164B"/>
    <w:rsid w:val="71A6693A"/>
    <w:rsid w:val="71AD6080"/>
    <w:rsid w:val="71BB33A2"/>
    <w:rsid w:val="71C01671"/>
    <w:rsid w:val="71C12788"/>
    <w:rsid w:val="71C90ED8"/>
    <w:rsid w:val="71D72430"/>
    <w:rsid w:val="71E12038"/>
    <w:rsid w:val="720A6753"/>
    <w:rsid w:val="720F4AFB"/>
    <w:rsid w:val="72112B83"/>
    <w:rsid w:val="72143F3C"/>
    <w:rsid w:val="721F61D9"/>
    <w:rsid w:val="72356373"/>
    <w:rsid w:val="723D42BE"/>
    <w:rsid w:val="72412901"/>
    <w:rsid w:val="72553DBC"/>
    <w:rsid w:val="72777556"/>
    <w:rsid w:val="72887B37"/>
    <w:rsid w:val="72910320"/>
    <w:rsid w:val="72A53302"/>
    <w:rsid w:val="72B3410C"/>
    <w:rsid w:val="72BD6DA9"/>
    <w:rsid w:val="72CB01B8"/>
    <w:rsid w:val="72CB5E1F"/>
    <w:rsid w:val="72D95B00"/>
    <w:rsid w:val="72F66709"/>
    <w:rsid w:val="730554B3"/>
    <w:rsid w:val="73092FAA"/>
    <w:rsid w:val="73272012"/>
    <w:rsid w:val="732C3102"/>
    <w:rsid w:val="73413694"/>
    <w:rsid w:val="734608F5"/>
    <w:rsid w:val="7365663A"/>
    <w:rsid w:val="736D4BAC"/>
    <w:rsid w:val="736F1AFC"/>
    <w:rsid w:val="739B5B15"/>
    <w:rsid w:val="73A37548"/>
    <w:rsid w:val="73B36872"/>
    <w:rsid w:val="73BA58B5"/>
    <w:rsid w:val="73C76141"/>
    <w:rsid w:val="73CA3FB8"/>
    <w:rsid w:val="73E63732"/>
    <w:rsid w:val="73EC345F"/>
    <w:rsid w:val="73F34510"/>
    <w:rsid w:val="73FD1118"/>
    <w:rsid w:val="74090510"/>
    <w:rsid w:val="740E2D2D"/>
    <w:rsid w:val="7410282D"/>
    <w:rsid w:val="741752A2"/>
    <w:rsid w:val="74223A5C"/>
    <w:rsid w:val="742661E9"/>
    <w:rsid w:val="746075B0"/>
    <w:rsid w:val="746B6757"/>
    <w:rsid w:val="74780C44"/>
    <w:rsid w:val="7479294A"/>
    <w:rsid w:val="747B5C9D"/>
    <w:rsid w:val="747F1177"/>
    <w:rsid w:val="748028C0"/>
    <w:rsid w:val="748431AE"/>
    <w:rsid w:val="74A471EE"/>
    <w:rsid w:val="74AB58BC"/>
    <w:rsid w:val="74C111AB"/>
    <w:rsid w:val="74C768EE"/>
    <w:rsid w:val="74CA493F"/>
    <w:rsid w:val="74E97F38"/>
    <w:rsid w:val="74ED6920"/>
    <w:rsid w:val="74F13E40"/>
    <w:rsid w:val="750B1697"/>
    <w:rsid w:val="7525120A"/>
    <w:rsid w:val="752A3F7B"/>
    <w:rsid w:val="7533655A"/>
    <w:rsid w:val="754222FC"/>
    <w:rsid w:val="75444F15"/>
    <w:rsid w:val="75485488"/>
    <w:rsid w:val="75692896"/>
    <w:rsid w:val="75733C39"/>
    <w:rsid w:val="758516A2"/>
    <w:rsid w:val="759A2104"/>
    <w:rsid w:val="75B35E00"/>
    <w:rsid w:val="75CD1343"/>
    <w:rsid w:val="75EB2F64"/>
    <w:rsid w:val="75F04A64"/>
    <w:rsid w:val="7609404D"/>
    <w:rsid w:val="760F1847"/>
    <w:rsid w:val="76192C32"/>
    <w:rsid w:val="761D1573"/>
    <w:rsid w:val="761F64EF"/>
    <w:rsid w:val="76281DF8"/>
    <w:rsid w:val="763929C4"/>
    <w:rsid w:val="765B6CE9"/>
    <w:rsid w:val="765D3DA8"/>
    <w:rsid w:val="766740C2"/>
    <w:rsid w:val="766852F0"/>
    <w:rsid w:val="766A6521"/>
    <w:rsid w:val="766C7968"/>
    <w:rsid w:val="766E7DAC"/>
    <w:rsid w:val="7675564C"/>
    <w:rsid w:val="76936F16"/>
    <w:rsid w:val="76993FC0"/>
    <w:rsid w:val="76A10D28"/>
    <w:rsid w:val="76A64EB2"/>
    <w:rsid w:val="76BC1014"/>
    <w:rsid w:val="77025DC3"/>
    <w:rsid w:val="772354E1"/>
    <w:rsid w:val="77276E30"/>
    <w:rsid w:val="772C68C6"/>
    <w:rsid w:val="773E0DC5"/>
    <w:rsid w:val="77594BC8"/>
    <w:rsid w:val="77652DD1"/>
    <w:rsid w:val="776C53FF"/>
    <w:rsid w:val="776E3681"/>
    <w:rsid w:val="777E5705"/>
    <w:rsid w:val="7781654E"/>
    <w:rsid w:val="77881C4F"/>
    <w:rsid w:val="779231D8"/>
    <w:rsid w:val="77A618BC"/>
    <w:rsid w:val="77B92312"/>
    <w:rsid w:val="77CC68FE"/>
    <w:rsid w:val="77DE5CDB"/>
    <w:rsid w:val="77F67883"/>
    <w:rsid w:val="7827423F"/>
    <w:rsid w:val="78341E10"/>
    <w:rsid w:val="783719D4"/>
    <w:rsid w:val="78386307"/>
    <w:rsid w:val="783A63BE"/>
    <w:rsid w:val="78493B6B"/>
    <w:rsid w:val="7850391E"/>
    <w:rsid w:val="78586B5B"/>
    <w:rsid w:val="78597E32"/>
    <w:rsid w:val="78703EBE"/>
    <w:rsid w:val="78805A36"/>
    <w:rsid w:val="78830880"/>
    <w:rsid w:val="78970F49"/>
    <w:rsid w:val="78A51D8F"/>
    <w:rsid w:val="78AE0946"/>
    <w:rsid w:val="78D02D1A"/>
    <w:rsid w:val="78D1727E"/>
    <w:rsid w:val="78D17516"/>
    <w:rsid w:val="78D96E40"/>
    <w:rsid w:val="78FE038B"/>
    <w:rsid w:val="7911644D"/>
    <w:rsid w:val="791E0B4D"/>
    <w:rsid w:val="792078D7"/>
    <w:rsid w:val="79331EC1"/>
    <w:rsid w:val="79404911"/>
    <w:rsid w:val="794D0D3C"/>
    <w:rsid w:val="7967360B"/>
    <w:rsid w:val="79781473"/>
    <w:rsid w:val="7986601A"/>
    <w:rsid w:val="79905EB8"/>
    <w:rsid w:val="7993616D"/>
    <w:rsid w:val="799D69BF"/>
    <w:rsid w:val="799F3A31"/>
    <w:rsid w:val="79AE14B2"/>
    <w:rsid w:val="79B1687C"/>
    <w:rsid w:val="79B22738"/>
    <w:rsid w:val="79CE4B72"/>
    <w:rsid w:val="79FE0269"/>
    <w:rsid w:val="7A055366"/>
    <w:rsid w:val="7A292C38"/>
    <w:rsid w:val="7A49541C"/>
    <w:rsid w:val="7A5E6715"/>
    <w:rsid w:val="7A5F22B4"/>
    <w:rsid w:val="7A680094"/>
    <w:rsid w:val="7A7508D5"/>
    <w:rsid w:val="7A80455C"/>
    <w:rsid w:val="7A81102C"/>
    <w:rsid w:val="7A8D6BBC"/>
    <w:rsid w:val="7AA37ECA"/>
    <w:rsid w:val="7AB16073"/>
    <w:rsid w:val="7ABB5514"/>
    <w:rsid w:val="7AC2458A"/>
    <w:rsid w:val="7ADE3222"/>
    <w:rsid w:val="7AF037CB"/>
    <w:rsid w:val="7AF04DB0"/>
    <w:rsid w:val="7AFA759D"/>
    <w:rsid w:val="7B0D28AD"/>
    <w:rsid w:val="7B133363"/>
    <w:rsid w:val="7B1C1737"/>
    <w:rsid w:val="7B2F5379"/>
    <w:rsid w:val="7B322761"/>
    <w:rsid w:val="7B3C2640"/>
    <w:rsid w:val="7B41164E"/>
    <w:rsid w:val="7B4443D1"/>
    <w:rsid w:val="7B875C60"/>
    <w:rsid w:val="7BA76397"/>
    <w:rsid w:val="7BB151FD"/>
    <w:rsid w:val="7BB43296"/>
    <w:rsid w:val="7BBE12F2"/>
    <w:rsid w:val="7BDE6C84"/>
    <w:rsid w:val="7BE07A81"/>
    <w:rsid w:val="7BE81B8B"/>
    <w:rsid w:val="7BE97D38"/>
    <w:rsid w:val="7BED162A"/>
    <w:rsid w:val="7BF01170"/>
    <w:rsid w:val="7C272B3E"/>
    <w:rsid w:val="7C471D4F"/>
    <w:rsid w:val="7C573A0C"/>
    <w:rsid w:val="7C5A71C2"/>
    <w:rsid w:val="7C615DCB"/>
    <w:rsid w:val="7C7A6596"/>
    <w:rsid w:val="7CA76A22"/>
    <w:rsid w:val="7CB167D6"/>
    <w:rsid w:val="7CCC4E54"/>
    <w:rsid w:val="7CEB2ACD"/>
    <w:rsid w:val="7CEF6F65"/>
    <w:rsid w:val="7CF41D8D"/>
    <w:rsid w:val="7D0E7370"/>
    <w:rsid w:val="7D2745EF"/>
    <w:rsid w:val="7D2D2CA0"/>
    <w:rsid w:val="7D5607A5"/>
    <w:rsid w:val="7D5C29E8"/>
    <w:rsid w:val="7D6C69AF"/>
    <w:rsid w:val="7D7A7BC6"/>
    <w:rsid w:val="7D995EB0"/>
    <w:rsid w:val="7DBB08B6"/>
    <w:rsid w:val="7DBC7173"/>
    <w:rsid w:val="7DC815C9"/>
    <w:rsid w:val="7DD90B59"/>
    <w:rsid w:val="7DEF15A6"/>
    <w:rsid w:val="7DFC511B"/>
    <w:rsid w:val="7E0565F6"/>
    <w:rsid w:val="7E221AFC"/>
    <w:rsid w:val="7E2A514E"/>
    <w:rsid w:val="7E2C4E20"/>
    <w:rsid w:val="7E2D20BE"/>
    <w:rsid w:val="7E35355F"/>
    <w:rsid w:val="7E4306A6"/>
    <w:rsid w:val="7E5733E1"/>
    <w:rsid w:val="7E660C33"/>
    <w:rsid w:val="7E6637F7"/>
    <w:rsid w:val="7E707801"/>
    <w:rsid w:val="7E733B66"/>
    <w:rsid w:val="7E8A121F"/>
    <w:rsid w:val="7EA36680"/>
    <w:rsid w:val="7EAA0237"/>
    <w:rsid w:val="7EC12AAE"/>
    <w:rsid w:val="7EC52141"/>
    <w:rsid w:val="7EC73D34"/>
    <w:rsid w:val="7ED12FEE"/>
    <w:rsid w:val="7EFD03F7"/>
    <w:rsid w:val="7F1648D6"/>
    <w:rsid w:val="7F1A7CDF"/>
    <w:rsid w:val="7F21639D"/>
    <w:rsid w:val="7F23784E"/>
    <w:rsid w:val="7F3A0E31"/>
    <w:rsid w:val="7F442E56"/>
    <w:rsid w:val="7F457080"/>
    <w:rsid w:val="7F4734EB"/>
    <w:rsid w:val="7F486BDC"/>
    <w:rsid w:val="7F493BBB"/>
    <w:rsid w:val="7F4C71A0"/>
    <w:rsid w:val="7F5124CE"/>
    <w:rsid w:val="7F5653E5"/>
    <w:rsid w:val="7F6347A3"/>
    <w:rsid w:val="7F6F44D4"/>
    <w:rsid w:val="7F7B4335"/>
    <w:rsid w:val="7F8805ED"/>
    <w:rsid w:val="7FA3192C"/>
    <w:rsid w:val="7FAB42E7"/>
    <w:rsid w:val="7FB745D2"/>
    <w:rsid w:val="7FC4182D"/>
    <w:rsid w:val="7FC44AE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39</TotalTime>
  <ScaleCrop>false</ScaleCrop>
  <LinksUpToDate>false</LinksUpToDate>
  <CharactersWithSpaces>26786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2021-04-01T08:16:06Z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2052-11.1.0.9208</vt:lpwstr>
  </property>
  <property fmtid="{D5CDD505-2E9C-101B-9397-08002B2CF9AE}" pid="4" name="ICV">
    <vt:lpwstr>D366F8CEF0B34B9A839F473A36DCA92E</vt:lpwstr>
  </property>
</Properties>
</file>