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375F29" w:rsidP="005622FD">
      <w:pPr>
        <w:ind w:firstLine="420"/>
        <w:rPr>
          <w:rFonts w:cs="Times New Roman"/>
        </w:rPr>
      </w:pPr>
      <w:bookmarkStart w:id="0" w:name="_Toc485828985"/>
      <w:r w:rsidRPr="00375F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375F29" w:rsidP="005622FD">
      <w:pPr>
        <w:ind w:firstLine="420"/>
        <w:rPr>
          <w:rFonts w:cs="Times New Roman"/>
        </w:rPr>
      </w:pPr>
      <w:r w:rsidRPr="00375F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972CDC">
                    <w:rPr>
                      <w:rFonts w:hint="eastAsia"/>
                      <w:kern w:val="2"/>
                    </w:rPr>
                    <w:t>4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274A48">
                    <w:rPr>
                      <w:rFonts w:hint="eastAsia"/>
                      <w:kern w:val="2"/>
                    </w:rPr>
                    <w:t>30</w:t>
                  </w:r>
                </w:p>
              </w:txbxContent>
            </v:textbox>
          </v:shape>
        </w:pict>
      </w:r>
      <w:r w:rsidRPr="00375F29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375F29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375F29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375F29">
                    <w:fldChar w:fldCharType="begin"/>
                  </w:r>
                  <w:r w:rsidR="00890D02">
                    <w:instrText xml:space="preserve"> TOC \o "1-3" \h \z \u </w:instrText>
                  </w:r>
                  <w:r w:rsidRPr="00375F29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2F772D">
                      <w:rPr>
                        <w:rStyle w:val="aa"/>
                        <w:noProof/>
                      </w:rPr>
                      <w:t>.</w:t>
                    </w:r>
                    <w:r w:rsidR="00972CDC">
                      <w:rPr>
                        <w:rStyle w:val="aa"/>
                        <w:rFonts w:hint="eastAsia"/>
                        <w:noProof/>
                      </w:rPr>
                      <w:t>4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274A48">
                      <w:rPr>
                        <w:rStyle w:val="aa"/>
                        <w:rFonts w:hint="eastAsia"/>
                        <w:noProof/>
                      </w:rPr>
                      <w:t>30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375F29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375F29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274A48" w:rsidRPr="00274A48" w:rsidRDefault="00274A48" w:rsidP="00274A48">
      <w:pPr>
        <w:widowControl/>
        <w:ind w:left="720"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274A48">
        <w:rPr>
          <w:rFonts w:ascii="仿宋" w:eastAsia="仿宋" w:hAnsi="仿宋" w:cs="仿宋"/>
          <w:sz w:val="28"/>
          <w:szCs w:val="28"/>
        </w:rPr>
        <w:t>本周国内纯碱市场整体走势以稳为主，市场成交一般,表现轻弱重强格局。周内纯碱开工率相对稳定，总开工84.40%;产量波动小，总量59.85万吨，从目前看短期暂无检修计划。周内纯碱库存表现增加趋势，总量90.36万吨。供应端，纯碱供应相对稳定，部分企业产销趋向平衡，执行完本月计划，个别企业出货近期有所放缓，新单跟进缓慢。从目前了解看，5月下旬后部分企业有计划检修，对于供应端预计会有所下降。需求端，下游整体表现不温不火，轻质下游按需为主，低库节前补货，高库存保持观望态势。重质纯碱刚需支撑，维持正常库存，对于38%的产能玻璃的企业库存统计平均库存49天，略有增加。贸易商，新订单一般，保持谨慎态度，部分贸易继续</w:t>
      </w:r>
      <w:r w:rsidRPr="00274A48">
        <w:rPr>
          <w:rFonts w:ascii="仿宋" w:eastAsia="仿宋" w:hAnsi="仿宋" w:cs="仿宋"/>
          <w:sz w:val="28"/>
          <w:szCs w:val="28"/>
        </w:rPr>
        <w:lastRenderedPageBreak/>
        <w:t>出售前期货源。情绪端，对于下月市场表现弱，尤其是轻质纯碱，市场反馈个别企业价格成交灵活，多数企业目前保持稳定态势。整体看，短期纯碱价格难有太大波动，重质纯碱或参考近期各区域招标价格，轻质因地制宜，各家根据自身情况调整为主。</w:t>
      </w:r>
    </w:p>
    <w:p w:rsidR="006941E2" w:rsidRPr="006941E2" w:rsidRDefault="006941E2" w:rsidP="006941E2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E2304" w:rsidRPr="00EE2304" w:rsidRDefault="00EE2304" w:rsidP="00EE2304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4E3A3B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972CD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  <w:r w:rsidR="00AE20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274A4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AB61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="00972CD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  <w:r w:rsidR="00687E6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198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274A48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972CDC">
            <w:pPr>
              <w:ind w:firstLineChars="291" w:firstLine="611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274A4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274A4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274A48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274A4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4E3A3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</w:tr>
      <w:tr w:rsidR="00274A48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9F190E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9F190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274A48" w:rsidRDefault="00274A48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</w:tr>
    </w:tbl>
    <w:p w:rsidR="00581D0F" w:rsidRDefault="005622FD" w:rsidP="00A40B63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274A48" w:rsidRPr="00274A48" w:rsidRDefault="00274A48" w:rsidP="00274A48">
      <w:pPr>
        <w:widowControl/>
        <w:ind w:left="420" w:firstLine="560"/>
        <w:jc w:val="left"/>
        <w:rPr>
          <w:rFonts w:ascii="仿宋" w:eastAsia="仿宋" w:hAnsi="仿宋" w:cs="仿宋"/>
          <w:sz w:val="28"/>
          <w:szCs w:val="28"/>
        </w:rPr>
      </w:pPr>
      <w:r w:rsidRPr="00274A48">
        <w:rPr>
          <w:rFonts w:ascii="仿宋" w:eastAsia="仿宋" w:hAnsi="仿宋" w:cs="仿宋"/>
          <w:sz w:val="28"/>
          <w:szCs w:val="28"/>
        </w:rPr>
        <w:t>本周华东地区液碱大幅上调，河北、山东个别企业价格32、50碱价格下调。4月7日安徽一碱厂意外停车后，为华东业者心态上带来较好的支撑，加上月初各厂长协订单基本签订，库存均处于低位的利好支撑下，江苏南部、安徽地区等碱厂封盘不报价，静待涨价，自从，液碱价格开启大涨模式，周内涨幅达到了80-160元/吨不等。截至稿前，江苏北部32%离子膜碱主力工厂价格上调</w:t>
      </w:r>
      <w:r w:rsidRPr="00274A48">
        <w:rPr>
          <w:rFonts w:ascii="仿宋" w:eastAsia="仿宋" w:hAnsi="仿宋" w:cs="仿宋"/>
          <w:sz w:val="28"/>
          <w:szCs w:val="28"/>
        </w:rPr>
        <w:lastRenderedPageBreak/>
        <w:t>至560元/吨，50碱价格上调至820元/吨出厂，其他工厂32碱主流成交价格在550-620元/吨不等;江苏南部企业低度碱汽运价格涨至700-730元/吨，高度碱受到出货价格较好支撑，汽运涨至1100-1160元/吨;安徽液碱汽运价格涨至700-720元/吨，液氯执行1900-2200元/吨;浙江送到萧绍一带成交价格680-700元/吨，受到江苏价格大涨支撑，周五起浙江市场普涨30元/吨出货。近期出口订单较好，听闻部分订单已涨至278美元/吨(CFR)，出口订单量同比较大，也将是支撑华东市场向好的一个因素。安徽碱厂恢复时间不会太快，这将是支撑未来华东液碱市场的最直接的因素。山东北部地区由于主力工厂装置的恢复，高度碱价格降价销售，周内下调30元/吨至730元/吨，山东北部32碱主流成交价格稳定在420-440元/吨，鲁西南个别企业受到自身库存上升影响，价格周内下调幅度在40元/吨，魏桥采购价尚未变动，32碱在390元/吨，50碱644元/吨。短期内华东地区液碱行情将持续高位，山东地区行情整体以稳为主，个别企业根据自身库存调整价格。</w:t>
      </w:r>
    </w:p>
    <w:p w:rsidR="00EE2304" w:rsidRPr="00EE2304" w:rsidRDefault="00EE2304" w:rsidP="00274A48">
      <w:pPr>
        <w:widowControl/>
        <w:ind w:left="42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D90CA5" w:rsidRDefault="001C0884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9300" w:type="dxa"/>
        <w:jc w:val="center"/>
        <w:tblInd w:w="93" w:type="dxa"/>
        <w:tblLook w:val="04A0"/>
      </w:tblPr>
      <w:tblGrid>
        <w:gridCol w:w="1121"/>
        <w:gridCol w:w="559"/>
        <w:gridCol w:w="599"/>
        <w:gridCol w:w="878"/>
        <w:gridCol w:w="898"/>
        <w:gridCol w:w="819"/>
        <w:gridCol w:w="819"/>
        <w:gridCol w:w="616"/>
        <w:gridCol w:w="1017"/>
        <w:gridCol w:w="1017"/>
        <w:gridCol w:w="957"/>
      </w:tblGrid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40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9" w:name="_Toc527705003"/>
            <w:bookmarkStart w:id="260" w:name="_Toc233795930"/>
            <w:bookmarkStart w:id="261" w:name="_Toc295403452"/>
            <w:bookmarkStart w:id="262" w:name="_Toc525289549"/>
            <w:bookmarkStart w:id="263" w:name="_Toc516234900"/>
            <w:bookmarkStart w:id="264" w:name="_Toc1394103"/>
            <w:bookmarkStart w:id="265" w:name="_Toc521057604"/>
            <w:bookmarkStart w:id="266" w:name="_Toc250731929"/>
            <w:bookmarkStart w:id="267" w:name="_Toc4139109"/>
            <w:bookmarkStart w:id="268" w:name="_Toc4596902"/>
            <w:bookmarkStart w:id="269" w:name="_Toc300238851"/>
            <w:bookmarkStart w:id="270" w:name="_Toc518638262"/>
            <w:bookmarkStart w:id="271" w:name="_Toc515610376"/>
            <w:bookmarkStart w:id="272" w:name="_Toc528930996"/>
            <w:bookmarkStart w:id="273" w:name="_Toc525912529"/>
            <w:bookmarkStart w:id="274" w:name="_Toc518032002"/>
            <w:bookmarkStart w:id="275" w:name="_Toc516234894"/>
            <w:bookmarkStart w:id="276" w:name="_Toc522870763"/>
            <w:bookmarkStart w:id="277" w:name="_Toc527101793"/>
            <w:bookmarkStart w:id="278" w:name="_Toc511390008"/>
            <w:bookmarkStart w:id="279" w:name="_Toc517425041"/>
            <w:bookmarkStart w:id="280" w:name="_Toc528329959"/>
            <w:bookmarkStart w:id="281" w:name="_Toc9597669"/>
            <w:bookmarkStart w:id="282" w:name="_Toc12609913"/>
            <w:bookmarkStart w:id="283" w:name="_Toc532564066"/>
            <w:bookmarkStart w:id="284" w:name="_Toc13217641"/>
            <w:bookmarkStart w:id="285" w:name="_Toc530128352"/>
            <w:bookmarkStart w:id="286" w:name="_Toc532564040"/>
            <w:bookmarkStart w:id="287" w:name="_Toc528919989"/>
            <w:bookmarkStart w:id="288" w:name="_Toc520465079"/>
            <w:bookmarkStart w:id="289" w:name="_Toc10202318"/>
            <w:bookmarkStart w:id="290" w:name="_Toc534378403"/>
            <w:bookmarkStart w:id="291" w:name="_Toc524701467"/>
            <w:bookmarkStart w:id="292" w:name="_Toc532564263"/>
            <w:bookmarkStart w:id="293" w:name="_Toc525306466"/>
            <w:bookmarkStart w:id="294" w:name="_Toc535588711"/>
            <w:bookmarkStart w:id="295" w:name="_Toc534915168"/>
            <w:bookmarkStart w:id="296" w:name="_Toc536198170"/>
            <w:bookmarkStart w:id="297" w:name="_Toc536540310"/>
            <w:bookmarkStart w:id="298" w:name="_Toc1739297"/>
            <w:bookmarkStart w:id="299" w:name="_Toc533149333"/>
            <w:bookmarkStart w:id="300" w:name="_Toc1139288"/>
            <w:bookmarkStart w:id="301" w:name="_Toc8991663"/>
            <w:bookmarkStart w:id="302" w:name="_Toc9583962"/>
            <w:bookmarkStart w:id="303" w:name="_Toc4654039"/>
            <w:bookmarkStart w:id="304" w:name="_Toc392240282"/>
            <w:bookmarkStart w:id="305" w:name="_Toc8378825"/>
            <w:bookmarkStart w:id="306" w:name="_Toc8313143"/>
            <w:bookmarkStart w:id="307" w:name="_Toc4767074"/>
            <w:bookmarkStart w:id="308" w:name="_Toc522870748"/>
            <w:bookmarkStart w:id="309" w:name="_Toc524091684"/>
            <w:bookmarkStart w:id="310" w:name="_Toc513127193"/>
            <w:bookmarkStart w:id="311" w:name="_Toc522870772"/>
            <w:bookmarkStart w:id="312" w:name="_Toc536541140"/>
            <w:bookmarkStart w:id="313" w:name="_Toc1035933"/>
            <w:bookmarkStart w:id="314" w:name="_Toc530750142"/>
            <w:bookmarkStart w:id="315" w:name="_Toc252539758"/>
            <w:bookmarkStart w:id="316" w:name="_Toc531954275"/>
            <w:bookmarkStart w:id="317" w:name="_Toc485981325"/>
            <w:bookmarkStart w:id="318" w:name="_Toc536789788"/>
            <w:bookmarkStart w:id="319" w:name="_Toc529526328"/>
            <w:bookmarkStart w:id="320" w:name="_Toc522259767"/>
            <w:bookmarkStart w:id="321" w:name="_Toc522280057"/>
            <w:bookmarkStart w:id="322" w:name="_Toc521660550"/>
            <w:bookmarkStart w:id="323" w:name="_Toc525306477"/>
            <w:bookmarkStart w:id="324" w:name="_Toc522870754"/>
            <w:bookmarkStart w:id="325" w:name="_Toc516839087"/>
            <w:bookmarkStart w:id="326" w:name="_Toc519848560"/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暂无报价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市场价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A48" w:rsidRPr="00274A48" w:rsidTr="00274A48">
        <w:trPr>
          <w:trHeight w:val="499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4A48" w:rsidRPr="00274A48" w:rsidRDefault="00274A48" w:rsidP="00274A48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74A4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274A48" w:rsidRPr="00274A48" w:rsidRDefault="00274A48" w:rsidP="00274A48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274A48">
        <w:rPr>
          <w:rFonts w:ascii="仿宋" w:eastAsia="仿宋" w:hAnsi="仿宋" w:cs="仿宋"/>
          <w:sz w:val="28"/>
          <w:szCs w:val="28"/>
        </w:rPr>
        <w:t>本周国内液氯市场波动频繁，除东北区域市场下行外，其他区域市场较上周表现上行。截至4月15日，山东槽车主流出厂成交环比上调150-250元/吨至1600-1800元/吨;河北槽车主流出厂成交环比</w:t>
      </w:r>
      <w:r w:rsidRPr="00274A48">
        <w:rPr>
          <w:rFonts w:ascii="仿宋" w:eastAsia="仿宋" w:hAnsi="仿宋" w:cs="仿宋"/>
          <w:sz w:val="28"/>
          <w:szCs w:val="28"/>
        </w:rPr>
        <w:lastRenderedPageBreak/>
        <w:t>上调150元/吨至1700-1800元/吨;江苏槽车主流出厂成交环比上调350-900元/吨至1550-2400元/吨;安徽槽车主流出场成交环比上调400-500元/吨至1900-2100元/吨;河南槽车主流出厂成交环比上调500元/吨至1900-2000元/吨;东北区域市场槽车主流出厂成交环比下调100元/吨至1400-1500元/吨;其他区域维持相对稳定。</w:t>
      </w:r>
    </w:p>
    <w:p w:rsidR="00274A48" w:rsidRPr="00274A48" w:rsidRDefault="00274A48" w:rsidP="00274A48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274A48">
        <w:rPr>
          <w:rFonts w:ascii="仿宋" w:eastAsia="仿宋" w:hAnsi="仿宋" w:cs="仿宋"/>
          <w:sz w:val="28"/>
          <w:szCs w:val="28"/>
        </w:rPr>
        <w:t>周内华北区域市场波动最为频繁及显著，上周末受山东中东部主力工厂装置检修支撑，加之鲁西部主力工厂装置低负，商品量整体供应紧张，市场持续冲高，周内高价达2400元/吨，再次刷新高价记录。受持续高价影响，部分下游接货乏力，纷纷降负减量，市场需求量减少，成交氛围转淡。在鲁西部主力工厂计划提负影响下，华北市场开始高位俯冲。华东市场周内上行为主，主要受前期山东高价支撑，且部分装置停车，供应量减少，但苏北部分市场受其量大及位置影响，受鲁西南影响较大，近日随之宽幅下行。华中区域整体波动相对较小，河南市场整体表现上行，主要受前期山东高价支撑。东北区域市场周内先涨后跌，受山东高位影响周内上调至2000元/吨左右，但高价影响下，部分下游受制于原料高价降负减量，且部分配套下游降负供应量增加，供需端利空影响下市场宽幅下跌。目前市场整体出货情况较</w:t>
      </w:r>
      <w:r w:rsidRPr="00274A48">
        <w:rPr>
          <w:rFonts w:ascii="仿宋" w:eastAsia="仿宋" w:hAnsi="仿宋" w:cs="仿宋"/>
          <w:sz w:val="28"/>
          <w:szCs w:val="28"/>
        </w:rPr>
        <w:lastRenderedPageBreak/>
        <w:t>前期放缓，山东主力工厂陆续提负，供应量存增加预期，预计下周华北市场依然有下行空间。</w:t>
      </w:r>
    </w:p>
    <w:p w:rsidR="00761A35" w:rsidRPr="00761A35" w:rsidRDefault="00761A35" w:rsidP="007B3BE3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2F772D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539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539" w:rsidRDefault="00A53539" w:rsidP="005D1745">
            <w:pPr>
              <w:ind w:firstLine="420"/>
            </w:pP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3C7FF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274A4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 w:rsidR="00E55D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D2C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74A4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 w:rsidR="00274A4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 w:rsidR="00274A4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274A4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274A48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274A4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4A48" w:rsidRDefault="00274A48" w:rsidP="00274A48">
            <w:pPr>
              <w:ind w:firstLine="420"/>
            </w:pP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F4E96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4F4E96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4/30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A48" w:rsidRDefault="00274A48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lastRenderedPageBreak/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872" w:rsidRDefault="00A34872" w:rsidP="00935B31">
      <w:pPr>
        <w:ind w:firstLine="420"/>
      </w:pPr>
      <w:r>
        <w:separator/>
      </w:r>
    </w:p>
  </w:endnote>
  <w:endnote w:type="continuationSeparator" w:id="1">
    <w:p w:rsidR="00A34872" w:rsidRDefault="00A34872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375F29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274A48">
      <w:rPr>
        <w:b/>
        <w:bCs/>
        <w:noProof/>
      </w:rPr>
      <w:t>10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274A48">
      <w:rPr>
        <w:b/>
        <w:bCs/>
        <w:noProof/>
      </w:rPr>
      <w:t>11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872" w:rsidRDefault="00A34872" w:rsidP="00935B31">
      <w:pPr>
        <w:ind w:firstLine="420"/>
      </w:pPr>
      <w:r>
        <w:separator/>
      </w:r>
    </w:p>
  </w:footnote>
  <w:footnote w:type="continuationSeparator" w:id="1">
    <w:p w:rsidR="00A34872" w:rsidRDefault="00A34872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375F29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C147DB"/>
    <w:multiLevelType w:val="hybridMultilevel"/>
    <w:tmpl w:val="D18C887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64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6A36"/>
    <w:rsid w:val="00034D9D"/>
    <w:rsid w:val="00040E93"/>
    <w:rsid w:val="00041E0E"/>
    <w:rsid w:val="0004320C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4A48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5F29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4872"/>
    <w:rsid w:val="00A36214"/>
    <w:rsid w:val="00A40B63"/>
    <w:rsid w:val="00A424D6"/>
    <w:rsid w:val="00A4587B"/>
    <w:rsid w:val="00A52C76"/>
    <w:rsid w:val="00A52EE9"/>
    <w:rsid w:val="00A5353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5BE44B8A-F4B2-4EA8-843B-C83AB8A4A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11</Pages>
  <Words>463</Words>
  <Characters>2644</Characters>
  <Application>Microsoft Office Word</Application>
  <DocSecurity>0</DocSecurity>
  <Lines>22</Lines>
  <Paragraphs>6</Paragraphs>
  <ScaleCrop>false</ScaleCrop>
  <Company>china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763</cp:revision>
  <dcterms:created xsi:type="dcterms:W3CDTF">2018-07-12T05:18:00Z</dcterms:created>
  <dcterms:modified xsi:type="dcterms:W3CDTF">2021-04-30T02:59:00Z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