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kern w:val="2"/>
                                <w:lang w:val="en-US" w:eastAsia="zh-CN"/>
                              </w:rPr>
                            </w:pPr>
                            <w:bookmarkStart w:id="22" w:name="_Toc507769000"/>
                            <w:bookmarkStart w:id="23" w:name="_Toc528332594"/>
                            <w:bookmarkStart w:id="24" w:name="_Toc532566849"/>
                            <w:bookmarkStart w:id="25" w:name="_Toc513118842"/>
                            <w:bookmarkStart w:id="26" w:name="_Toc513728611"/>
                            <w:bookmarkStart w:id="27" w:name="_Toc517965461"/>
                            <w:bookmarkStart w:id="28" w:name="_Toc529541800"/>
                            <w:bookmarkStart w:id="29" w:name="_Toc528936986"/>
                            <w:bookmarkStart w:id="30" w:name="_Toc520381693"/>
                            <w:bookmarkStart w:id="31" w:name="_Toc507665368"/>
                            <w:bookmarkStart w:id="32" w:name="_Toc528913994"/>
                            <w:bookmarkStart w:id="33" w:name="_Toc512606000"/>
                            <w:bookmarkStart w:id="34" w:name="_Toc505947794"/>
                            <w:bookmarkStart w:id="35" w:name="_Toc533083465"/>
                            <w:bookmarkStart w:id="36" w:name="_Toc521075423"/>
                            <w:bookmarkStart w:id="37" w:name="_Toc510190825"/>
                            <w:bookmarkStart w:id="38" w:name="_Toc511290048"/>
                            <w:bookmarkStart w:id="39" w:name="_Toc515612471"/>
                            <w:bookmarkStart w:id="40" w:name="_Toc513728505"/>
                            <w:bookmarkStart w:id="41" w:name="_Toc519842315"/>
                            <w:bookmarkStart w:id="42" w:name="_Toc533674480"/>
                            <w:bookmarkStart w:id="43" w:name="_Toc530057359"/>
                            <w:bookmarkStart w:id="44" w:name="_Toc533777202"/>
                            <w:bookmarkStart w:id="45" w:name="_Toc534383436"/>
                            <w:bookmarkStart w:id="46" w:name="_Toc522890290"/>
                            <w:bookmarkStart w:id="47" w:name="_Toc504744209"/>
                            <w:bookmarkStart w:id="48" w:name="_Toc514921969"/>
                            <w:bookmarkStart w:id="49" w:name="_Toc512521225"/>
                            <w:bookmarkStart w:id="50" w:name="_Toc515027608"/>
                            <w:bookmarkStart w:id="51" w:name="_Toc519865236"/>
                            <w:bookmarkStart w:id="52" w:name="_Toc510190043"/>
                            <w:bookmarkStart w:id="53" w:name="_Toc509582478"/>
                            <w:bookmarkStart w:id="54" w:name="_Toc525913129"/>
                            <w:bookmarkStart w:id="55" w:name="_Toc521679472"/>
                            <w:bookmarkStart w:id="56" w:name="_Toc504123327"/>
                            <w:bookmarkStart w:id="57" w:name="_Toc527035872"/>
                            <w:bookmarkStart w:id="58" w:name="_Toc508960595"/>
                            <w:bookmarkStart w:id="59" w:name="_Toc508975637"/>
                            <w:bookmarkStart w:id="60" w:name="_Toc520366056"/>
                            <w:bookmarkStart w:id="61" w:name="_Toc520452528"/>
                            <w:bookmarkStart w:id="62" w:name="_Toc517448405"/>
                            <w:bookmarkStart w:id="63" w:name="_Toc533168359"/>
                            <w:bookmarkStart w:id="64" w:name="_Toc511397199"/>
                            <w:bookmarkStart w:id="65" w:name="_Toc523991798"/>
                            <w:bookmarkStart w:id="66" w:name="_Toc521053860"/>
                            <w:bookmarkStart w:id="67" w:name="_Toc530728485"/>
                            <w:bookmarkStart w:id="68" w:name="_Toc522285450"/>
                            <w:bookmarkStart w:id="69" w:name="_Toc522179796"/>
                            <w:bookmarkStart w:id="70" w:name="_Toc528222492"/>
                            <w:bookmarkStart w:id="71" w:name="_Toc510166278"/>
                            <w:bookmarkStart w:id="72" w:name="_Toc513816736"/>
                            <w:bookmarkStart w:id="73" w:name="_Toc516237036"/>
                            <w:bookmarkStart w:id="74" w:name="_Toc515611913"/>
                            <w:bookmarkStart w:id="75" w:name="_Toc530149342"/>
                            <w:bookmarkStart w:id="76" w:name="_Toc519258206"/>
                            <w:bookmarkStart w:id="77" w:name="_Toc524334722"/>
                            <w:bookmarkStart w:id="78" w:name="_Toc527640818"/>
                            <w:bookmarkStart w:id="79" w:name="_Toc521586415"/>
                            <w:bookmarkStart w:id="80" w:name="_Toc511375612"/>
                            <w:bookmarkStart w:id="81" w:name="_Toc533167784"/>
                            <w:bookmarkStart w:id="82" w:name="_Toc523381108"/>
                            <w:bookmarkStart w:id="83" w:name="_Toc530751847"/>
                            <w:bookmarkStart w:id="84" w:name="_Toc519147013"/>
                            <w:bookmarkStart w:id="85" w:name="_Toc508369676"/>
                            <w:bookmarkStart w:id="86" w:name="_Toc523494890"/>
                            <w:bookmarkStart w:id="87" w:name="_Toc531358358"/>
                            <w:bookmarkStart w:id="88" w:name="_Toc530147840"/>
                            <w:bookmarkStart w:id="89" w:name="_Toc518650435"/>
                            <w:bookmarkStart w:id="90" w:name="_Toc531943255"/>
                            <w:bookmarkStart w:id="91" w:name="_Toc527123553"/>
                            <w:bookmarkStart w:id="92" w:name="_Toc531854138"/>
                            <w:bookmarkStart w:id="93" w:name="_Toc504140101"/>
                            <w:bookmarkStart w:id="94" w:name="_Toc517427833"/>
                            <w:bookmarkStart w:id="95" w:name="_Toc513211123"/>
                            <w:bookmarkStart w:id="96" w:name="_Toc518651973"/>
                            <w:bookmarkStart w:id="97" w:name="_Toc527037029"/>
                            <w:bookmarkStart w:id="98" w:name="_Toc514422624"/>
                            <w:bookmarkStart w:id="99" w:name="_Toc509574325"/>
                            <w:bookmarkStart w:id="100" w:name="_Toc1132017"/>
                            <w:bookmarkStart w:id="101" w:name="_Toc508267081"/>
                            <w:bookmarkStart w:id="102" w:name="_Toc504057445"/>
                            <w:bookmarkStart w:id="103" w:name="_Toc485828984"/>
                            <w:bookmarkStart w:id="104" w:name="_Toc529455508"/>
                            <w:bookmarkStart w:id="105" w:name="_Toc527728174"/>
                            <w:bookmarkStart w:id="106" w:name="_Toc514329181"/>
                            <w:bookmarkStart w:id="107" w:name="_Toc516841874"/>
                            <w:bookmarkStart w:id="108" w:name="_Toc518548545"/>
                            <w:bookmarkStart w:id="109" w:name="_Toc512001762"/>
                            <w:bookmarkStart w:id="110" w:name="_Toc516819989"/>
                            <w:bookmarkStart w:id="111" w:name="_Toc505347182"/>
                            <w:bookmarkStart w:id="112" w:name="_Toc518051249"/>
                            <w:bookmarkStart w:id="113" w:name="_Toc511898980"/>
                            <w:bookmarkStart w:id="114" w:name="_Toc504651767"/>
                            <w:bookmarkStart w:id="115" w:name="_Toc525309223"/>
                            <w:bookmarkStart w:id="116" w:name="_Toc505261402"/>
                            <w:bookmarkStart w:id="117" w:name="_Toc524704217"/>
                            <w:bookmarkStart w:id="118" w:name="_Toc512520694"/>
                            <w:bookmarkStart w:id="119" w:name="_Toc515633934"/>
                            <w:bookmarkStart w:id="120" w:name="_Toc531271720"/>
                            <w:bookmarkStart w:id="121" w:name="_Toc521051959"/>
                            <w:bookmarkStart w:id="122" w:name="_Toc51312388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1.5.28</w:t>
                            </w:r>
                          </w:p>
                          <w:p>
                            <w:pPr>
                              <w:rPr>
                                <w:rFonts w:hint="default"/>
                                <w:lang w:val="en-US" w:eastAsia="zh-C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kern w:val="2"/>
                          <w:lang w:val="en-US" w:eastAsia="zh-CN"/>
                        </w:rPr>
                      </w:pPr>
                      <w:bookmarkStart w:id="22" w:name="_Toc507769000"/>
                      <w:bookmarkStart w:id="23" w:name="_Toc528332594"/>
                      <w:bookmarkStart w:id="24" w:name="_Toc532566849"/>
                      <w:bookmarkStart w:id="25" w:name="_Toc513118842"/>
                      <w:bookmarkStart w:id="26" w:name="_Toc513728611"/>
                      <w:bookmarkStart w:id="27" w:name="_Toc517965461"/>
                      <w:bookmarkStart w:id="28" w:name="_Toc529541800"/>
                      <w:bookmarkStart w:id="29" w:name="_Toc528936986"/>
                      <w:bookmarkStart w:id="30" w:name="_Toc520381693"/>
                      <w:bookmarkStart w:id="31" w:name="_Toc507665368"/>
                      <w:bookmarkStart w:id="32" w:name="_Toc528913994"/>
                      <w:bookmarkStart w:id="33" w:name="_Toc512606000"/>
                      <w:bookmarkStart w:id="34" w:name="_Toc505947794"/>
                      <w:bookmarkStart w:id="35" w:name="_Toc533083465"/>
                      <w:bookmarkStart w:id="36" w:name="_Toc521075423"/>
                      <w:bookmarkStart w:id="37" w:name="_Toc510190825"/>
                      <w:bookmarkStart w:id="38" w:name="_Toc511290048"/>
                      <w:bookmarkStart w:id="39" w:name="_Toc515612471"/>
                      <w:bookmarkStart w:id="40" w:name="_Toc513728505"/>
                      <w:bookmarkStart w:id="41" w:name="_Toc519842315"/>
                      <w:bookmarkStart w:id="42" w:name="_Toc533674480"/>
                      <w:bookmarkStart w:id="43" w:name="_Toc530057359"/>
                      <w:bookmarkStart w:id="44" w:name="_Toc533777202"/>
                      <w:bookmarkStart w:id="45" w:name="_Toc534383436"/>
                      <w:bookmarkStart w:id="46" w:name="_Toc522890290"/>
                      <w:bookmarkStart w:id="47" w:name="_Toc504744209"/>
                      <w:bookmarkStart w:id="48" w:name="_Toc514921969"/>
                      <w:bookmarkStart w:id="49" w:name="_Toc512521225"/>
                      <w:bookmarkStart w:id="50" w:name="_Toc515027608"/>
                      <w:bookmarkStart w:id="51" w:name="_Toc519865236"/>
                      <w:bookmarkStart w:id="52" w:name="_Toc510190043"/>
                      <w:bookmarkStart w:id="53" w:name="_Toc509582478"/>
                      <w:bookmarkStart w:id="54" w:name="_Toc525913129"/>
                      <w:bookmarkStart w:id="55" w:name="_Toc521679472"/>
                      <w:bookmarkStart w:id="56" w:name="_Toc504123327"/>
                      <w:bookmarkStart w:id="57" w:name="_Toc527035872"/>
                      <w:bookmarkStart w:id="58" w:name="_Toc508960595"/>
                      <w:bookmarkStart w:id="59" w:name="_Toc508975637"/>
                      <w:bookmarkStart w:id="60" w:name="_Toc520366056"/>
                      <w:bookmarkStart w:id="61" w:name="_Toc520452528"/>
                      <w:bookmarkStart w:id="62" w:name="_Toc517448405"/>
                      <w:bookmarkStart w:id="63" w:name="_Toc533168359"/>
                      <w:bookmarkStart w:id="64" w:name="_Toc511397199"/>
                      <w:bookmarkStart w:id="65" w:name="_Toc523991798"/>
                      <w:bookmarkStart w:id="66" w:name="_Toc521053860"/>
                      <w:bookmarkStart w:id="67" w:name="_Toc530728485"/>
                      <w:bookmarkStart w:id="68" w:name="_Toc522285450"/>
                      <w:bookmarkStart w:id="69" w:name="_Toc522179796"/>
                      <w:bookmarkStart w:id="70" w:name="_Toc528222492"/>
                      <w:bookmarkStart w:id="71" w:name="_Toc510166278"/>
                      <w:bookmarkStart w:id="72" w:name="_Toc513816736"/>
                      <w:bookmarkStart w:id="73" w:name="_Toc516237036"/>
                      <w:bookmarkStart w:id="74" w:name="_Toc515611913"/>
                      <w:bookmarkStart w:id="75" w:name="_Toc530149342"/>
                      <w:bookmarkStart w:id="76" w:name="_Toc519258206"/>
                      <w:bookmarkStart w:id="77" w:name="_Toc524334722"/>
                      <w:bookmarkStart w:id="78" w:name="_Toc527640818"/>
                      <w:bookmarkStart w:id="79" w:name="_Toc521586415"/>
                      <w:bookmarkStart w:id="80" w:name="_Toc511375612"/>
                      <w:bookmarkStart w:id="81" w:name="_Toc533167784"/>
                      <w:bookmarkStart w:id="82" w:name="_Toc523381108"/>
                      <w:bookmarkStart w:id="83" w:name="_Toc530751847"/>
                      <w:bookmarkStart w:id="84" w:name="_Toc519147013"/>
                      <w:bookmarkStart w:id="85" w:name="_Toc508369676"/>
                      <w:bookmarkStart w:id="86" w:name="_Toc523494890"/>
                      <w:bookmarkStart w:id="87" w:name="_Toc531358358"/>
                      <w:bookmarkStart w:id="88" w:name="_Toc530147840"/>
                      <w:bookmarkStart w:id="89" w:name="_Toc518650435"/>
                      <w:bookmarkStart w:id="90" w:name="_Toc531943255"/>
                      <w:bookmarkStart w:id="91" w:name="_Toc527123553"/>
                      <w:bookmarkStart w:id="92" w:name="_Toc531854138"/>
                      <w:bookmarkStart w:id="93" w:name="_Toc504140101"/>
                      <w:bookmarkStart w:id="94" w:name="_Toc517427833"/>
                      <w:bookmarkStart w:id="95" w:name="_Toc513211123"/>
                      <w:bookmarkStart w:id="96" w:name="_Toc518651973"/>
                      <w:bookmarkStart w:id="97" w:name="_Toc527037029"/>
                      <w:bookmarkStart w:id="98" w:name="_Toc514422624"/>
                      <w:bookmarkStart w:id="99" w:name="_Toc509574325"/>
                      <w:bookmarkStart w:id="100" w:name="_Toc1132017"/>
                      <w:bookmarkStart w:id="101" w:name="_Toc508267081"/>
                      <w:bookmarkStart w:id="102" w:name="_Toc504057445"/>
                      <w:bookmarkStart w:id="103" w:name="_Toc485828984"/>
                      <w:bookmarkStart w:id="104" w:name="_Toc529455508"/>
                      <w:bookmarkStart w:id="105" w:name="_Toc527728174"/>
                      <w:bookmarkStart w:id="106" w:name="_Toc514329181"/>
                      <w:bookmarkStart w:id="107" w:name="_Toc516841874"/>
                      <w:bookmarkStart w:id="108" w:name="_Toc518548545"/>
                      <w:bookmarkStart w:id="109" w:name="_Toc512001762"/>
                      <w:bookmarkStart w:id="110" w:name="_Toc516819989"/>
                      <w:bookmarkStart w:id="111" w:name="_Toc505347182"/>
                      <w:bookmarkStart w:id="112" w:name="_Toc518051249"/>
                      <w:bookmarkStart w:id="113" w:name="_Toc511898980"/>
                      <w:bookmarkStart w:id="114" w:name="_Toc504651767"/>
                      <w:bookmarkStart w:id="115" w:name="_Toc525309223"/>
                      <w:bookmarkStart w:id="116" w:name="_Toc505261402"/>
                      <w:bookmarkStart w:id="117" w:name="_Toc524704217"/>
                      <w:bookmarkStart w:id="118" w:name="_Toc512520694"/>
                      <w:bookmarkStart w:id="119" w:name="_Toc515633934"/>
                      <w:bookmarkStart w:id="120" w:name="_Toc531271720"/>
                      <w:bookmarkStart w:id="121" w:name="_Toc521051959"/>
                      <w:bookmarkStart w:id="122" w:name="_Toc51312388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1.5.28</w:t>
                      </w:r>
                    </w:p>
                    <w:p>
                      <w:pPr>
                        <w:rPr>
                          <w:rFonts w:hint="default"/>
                          <w:lang w:val="en-US" w:eastAsia="zh-CN"/>
                        </w:rPr>
                      </w:pP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bookmarkStart w:id="123" w:name="_GoBack"/>
      <w:bookmarkEnd w:id="123"/>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_Toc25011 </w:instrText>
      </w:r>
      <w:r>
        <w:rPr>
          <w:kern w:val="0"/>
          <w:szCs w:val="30"/>
        </w:rPr>
        <w:fldChar w:fldCharType="separate"/>
      </w:r>
      <w:r>
        <w:rPr>
          <w:rFonts w:hint="eastAsia" w:cs="黑体"/>
        </w:rPr>
        <w:t>一、小金属一周评述</w:t>
      </w:r>
      <w:r>
        <w:tab/>
      </w:r>
      <w:r>
        <w:fldChar w:fldCharType="begin"/>
      </w:r>
      <w:r>
        <w:instrText xml:space="preserve"> PAGEREF _Toc25011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_Toc13286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电解锰价格续涨 二硒价格挺价为主</w:t>
      </w:r>
      <w:r>
        <w:tab/>
      </w:r>
      <w:r>
        <w:fldChar w:fldCharType="begin"/>
      </w:r>
      <w:r>
        <w:instrText xml:space="preserve"> PAGEREF _Toc13286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_Toc22679 </w:instrText>
      </w:r>
      <w:r>
        <w:fldChar w:fldCharType="separate"/>
      </w:r>
      <w:r>
        <w:rPr>
          <w:rFonts w:hint="default" w:asciiTheme="minorEastAsia" w:hAnsiTheme="minorEastAsia" w:eastAsiaTheme="minorEastAsia" w:cstheme="minorEastAsia"/>
          <w:kern w:val="0"/>
          <w:szCs w:val="28"/>
          <w:lang w:val="en-US" w:eastAsia="zh-CN"/>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铋锭市场价格疲软</w:t>
      </w:r>
      <w:r>
        <w:tab/>
      </w:r>
      <w:r>
        <w:fldChar w:fldCharType="begin"/>
      </w:r>
      <w:r>
        <w:instrText xml:space="preserve"> PAGEREF _Toc22679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_Toc472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铟锭市场价格持续弱势</w:t>
      </w:r>
      <w:r>
        <w:tab/>
      </w:r>
      <w:r>
        <w:fldChar w:fldCharType="begin"/>
      </w:r>
      <w:r>
        <w:instrText xml:space="preserve"> PAGEREF _Toc472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_Toc17538 </w:instrText>
      </w:r>
      <w:r>
        <w:fldChar w:fldCharType="separate"/>
      </w:r>
      <w:r>
        <w:rPr>
          <w:kern w:val="0"/>
        </w:rPr>
        <w:t>4</w:t>
      </w:r>
      <w:r>
        <w:rPr>
          <w:rFonts w:hint="eastAsia" w:cs="宋体"/>
          <w:kern w:val="0"/>
        </w:rPr>
        <w:t>、碲评论：</w:t>
      </w:r>
      <w:r>
        <w:rPr>
          <w:rFonts w:hint="default" w:cs="宋体"/>
          <w:kern w:val="0"/>
          <w:lang w:val="en-US" w:eastAsia="zh-CN"/>
        </w:rPr>
        <w:t>国内碲锭市场</w:t>
      </w:r>
      <w:r>
        <w:rPr>
          <w:rFonts w:hint="eastAsia" w:cs="宋体"/>
          <w:kern w:val="0"/>
          <w:lang w:val="en-US" w:eastAsia="zh-CN"/>
        </w:rPr>
        <w:t>维稳</w:t>
      </w:r>
      <w:r>
        <w:rPr>
          <w:rFonts w:hint="default" w:cs="宋体"/>
          <w:kern w:val="0"/>
          <w:lang w:val="en-US" w:eastAsia="zh-CN"/>
        </w:rPr>
        <w:t>运行</w:t>
      </w:r>
      <w:r>
        <w:tab/>
      </w:r>
      <w:r>
        <w:fldChar w:fldCharType="begin"/>
      </w:r>
      <w:r>
        <w:instrText xml:space="preserve"> PAGEREF _Toc17538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_Toc29678 </w:instrText>
      </w:r>
      <w:r>
        <w:fldChar w:fldCharType="separate"/>
      </w:r>
      <w:r>
        <w:rPr>
          <w:rFonts w:hint="eastAsia" w:cs="黑体"/>
        </w:rPr>
        <w:t>二、价格行情</w:t>
      </w:r>
      <w:r>
        <w:tab/>
      </w:r>
      <w:r>
        <w:fldChar w:fldCharType="begin"/>
      </w:r>
      <w:r>
        <w:instrText xml:space="preserve"> PAGEREF _Toc29678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_Toc10080 </w:instrText>
      </w:r>
      <w:r>
        <w:fldChar w:fldCharType="separate"/>
      </w:r>
      <w:r>
        <w:rPr>
          <w:kern w:val="0"/>
        </w:rPr>
        <w:t>1</w:t>
      </w:r>
      <w:r>
        <w:rPr>
          <w:rFonts w:hint="eastAsia"/>
          <w:kern w:val="0"/>
        </w:rPr>
        <w:t>、国际价格</w:t>
      </w:r>
      <w:r>
        <w:tab/>
      </w:r>
      <w:r>
        <w:fldChar w:fldCharType="begin"/>
      </w:r>
      <w:r>
        <w:instrText xml:space="preserve"> PAGEREF _Toc10080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_Toc4125 </w:instrText>
      </w:r>
      <w:r>
        <w:fldChar w:fldCharType="separate"/>
      </w:r>
      <w:r>
        <w:rPr>
          <w:kern w:val="0"/>
        </w:rPr>
        <w:t>2</w:t>
      </w:r>
      <w:r>
        <w:rPr>
          <w:rFonts w:hint="eastAsia" w:cs="宋体"/>
          <w:kern w:val="0"/>
        </w:rPr>
        <w:t>、欧洲鹿特丹小金属价格</w:t>
      </w:r>
      <w:r>
        <w:tab/>
      </w:r>
      <w:r>
        <w:fldChar w:fldCharType="begin"/>
      </w:r>
      <w:r>
        <w:instrText xml:space="preserve"> PAGEREF _Toc4125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_Toc13341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_Toc13341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_Toc14121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_Toc14121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_Toc977 </w:instrText>
      </w:r>
      <w:r>
        <w:fldChar w:fldCharType="separate"/>
      </w:r>
      <w:r>
        <w:rPr>
          <w:rFonts w:hint="eastAsia" w:ascii="宋体" w:hAnsi="宋体" w:cs="宋体"/>
          <w:bCs/>
          <w:kern w:val="0"/>
          <w:szCs w:val="30"/>
        </w:rPr>
        <w:t>云南铜业一季度营业收入同比增长56.90%</w:t>
      </w:r>
      <w:r>
        <w:tab/>
      </w:r>
      <w:r>
        <w:fldChar w:fldCharType="begin"/>
      </w:r>
      <w:r>
        <w:instrText xml:space="preserve"> PAGEREF _Toc977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_Toc29605 </w:instrText>
      </w:r>
      <w:r>
        <w:fldChar w:fldCharType="separate"/>
      </w:r>
      <w:r>
        <w:rPr>
          <w:rFonts w:hint="eastAsia" w:ascii="宋体" w:hAnsi="宋体" w:cs="宋体"/>
          <w:bCs/>
          <w:kern w:val="0"/>
          <w:szCs w:val="30"/>
        </w:rPr>
        <w:t>中国恩菲研制的管涵智能清淤机器人完成清淤试验</w:t>
      </w:r>
      <w:r>
        <w:tab/>
      </w:r>
      <w:r>
        <w:fldChar w:fldCharType="begin"/>
      </w:r>
      <w:r>
        <w:instrText xml:space="preserve"> PAGEREF _Toc29605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_Toc23861 </w:instrText>
      </w:r>
      <w:r>
        <w:fldChar w:fldCharType="separate"/>
      </w:r>
      <w:r>
        <w:rPr>
          <w:rFonts w:hint="default" w:ascii="宋体" w:hAnsi="宋体" w:cs="宋体"/>
          <w:bCs/>
          <w:kern w:val="0"/>
          <w:szCs w:val="30"/>
          <w:lang w:val="en-US" w:eastAsia="zh-CN"/>
        </w:rPr>
        <w:t>全球铜矿新发现创30年来新低</w:t>
      </w:r>
      <w:r>
        <w:tab/>
      </w:r>
      <w:r>
        <w:fldChar w:fldCharType="begin"/>
      </w:r>
      <w:r>
        <w:instrText xml:space="preserve"> PAGEREF _Toc23861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_Toc1551 </w:instrText>
      </w:r>
      <w:r>
        <w:fldChar w:fldCharType="separate"/>
      </w:r>
      <w:r>
        <w:rPr>
          <w:rFonts w:hint="eastAsia" w:ascii="宋体" w:hAnsi="宋体" w:cs="宋体"/>
          <w:bCs/>
          <w:kern w:val="0"/>
          <w:szCs w:val="30"/>
          <w:lang w:eastAsia="zh-CN"/>
        </w:rPr>
        <w:t>中金岭南凡口矿14项成果获实用新型专利授权</w:t>
      </w:r>
      <w:r>
        <w:tab/>
      </w:r>
      <w:r>
        <w:fldChar w:fldCharType="begin"/>
      </w:r>
      <w:r>
        <w:instrText xml:space="preserve"> PAGEREF _Toc1551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_Toc26831 </w:instrText>
      </w:r>
      <w:r>
        <w:fldChar w:fldCharType="separate"/>
      </w:r>
      <w:r>
        <w:rPr>
          <w:rFonts w:hint="eastAsia" w:ascii="宋体" w:hAnsi="宋体" w:cs="宋体"/>
          <w:bCs/>
          <w:kern w:val="0"/>
          <w:szCs w:val="30"/>
          <w:lang w:eastAsia="zh-CN"/>
        </w:rPr>
        <w:t>陕西有色前4个月利润同比增长2.6倍</w:t>
      </w:r>
      <w:r>
        <w:tab/>
      </w:r>
      <w:r>
        <w:fldChar w:fldCharType="begin"/>
      </w:r>
      <w:r>
        <w:instrText xml:space="preserve"> PAGEREF _Toc26831 </w:instrText>
      </w:r>
      <w:r>
        <w:fldChar w:fldCharType="separate"/>
      </w:r>
      <w:r>
        <w:t>15</w:t>
      </w:r>
      <w:r>
        <w:fldChar w:fldCharType="end"/>
      </w:r>
      <w:r>
        <w:fldChar w:fldCharType="end"/>
      </w:r>
    </w:p>
    <w:p>
      <w:pPr>
        <w:pStyle w:val="17"/>
        <w:tabs>
          <w:tab w:val="right" w:leader="dot" w:pos="9124"/>
          <w:tab w:val="clear" w:pos="9170"/>
        </w:tabs>
      </w:pPr>
      <w:r>
        <w:fldChar w:fldCharType="begin"/>
      </w:r>
      <w:r>
        <w:instrText xml:space="preserve"> HYPERLINK \l _Toc16080 </w:instrText>
      </w:r>
      <w:r>
        <w:fldChar w:fldCharType="separate"/>
      </w:r>
      <w:r>
        <w:rPr>
          <w:rFonts w:hint="eastAsia" w:ascii="宋体" w:hAnsi="宋体" w:cs="宋体"/>
          <w:bCs/>
          <w:kern w:val="0"/>
          <w:szCs w:val="30"/>
        </w:rPr>
        <w:t>铜陵有色：助力5G 对标一流</w:t>
      </w:r>
      <w:r>
        <w:tab/>
      </w:r>
      <w:r>
        <w:fldChar w:fldCharType="begin"/>
      </w:r>
      <w:r>
        <w:instrText xml:space="preserve"> PAGEREF _Toc16080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_Toc16252 </w:instrText>
      </w:r>
      <w:r>
        <w:fldChar w:fldCharType="separate"/>
      </w:r>
      <w:r>
        <w:rPr>
          <w:rFonts w:hint="eastAsia" w:ascii="宋体" w:hAnsi="宋体" w:cs="宋体"/>
          <w:bCs/>
          <w:kern w:val="0"/>
          <w:szCs w:val="30"/>
        </w:rPr>
        <w:t>华虹半导体：12寸无锡厂产能爬坡加速</w:t>
      </w:r>
      <w:r>
        <w:tab/>
      </w:r>
      <w:r>
        <w:fldChar w:fldCharType="begin"/>
      </w:r>
      <w:r>
        <w:instrText xml:space="preserve"> PAGEREF _Toc16252 </w:instrText>
      </w:r>
      <w:r>
        <w:fldChar w:fldCharType="separate"/>
      </w:r>
      <w:r>
        <w:t>18</w:t>
      </w:r>
      <w:r>
        <w:fldChar w:fldCharType="end"/>
      </w:r>
      <w:r>
        <w:fldChar w:fldCharType="end"/>
      </w:r>
    </w:p>
    <w:p>
      <w:pPr>
        <w:pStyle w:val="17"/>
        <w:tabs>
          <w:tab w:val="right" w:leader="dot" w:pos="9124"/>
          <w:tab w:val="clear" w:pos="9170"/>
        </w:tabs>
      </w:pPr>
      <w:r>
        <w:fldChar w:fldCharType="begin"/>
      </w:r>
      <w:r>
        <w:instrText xml:space="preserve"> HYPERLINK \l _Toc32029 </w:instrText>
      </w:r>
      <w:r>
        <w:fldChar w:fldCharType="separate"/>
      </w:r>
      <w:r>
        <w:rPr>
          <w:rFonts w:hint="eastAsia" w:ascii="宋体" w:hAnsi="宋体" w:cs="宋体"/>
          <w:bCs/>
          <w:kern w:val="0"/>
          <w:szCs w:val="30"/>
        </w:rPr>
        <w:t>容量5万吨的现代化标准大型冷库在湖南开建</w:t>
      </w:r>
      <w:r>
        <w:tab/>
      </w:r>
      <w:r>
        <w:fldChar w:fldCharType="begin"/>
      </w:r>
      <w:r>
        <w:instrText xml:space="preserve"> PAGEREF _Toc32029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_Toc28219 </w:instrText>
      </w:r>
      <w:r>
        <w:fldChar w:fldCharType="separate"/>
      </w:r>
      <w:r>
        <w:rPr>
          <w:rFonts w:hint="eastAsia" w:ascii="宋体" w:hAnsi="宋体" w:cs="宋体"/>
          <w:bCs/>
          <w:kern w:val="0"/>
          <w:szCs w:val="30"/>
        </w:rPr>
        <w:t>中国电建河北工程公司首次中标全储能光伏发电项目</w:t>
      </w:r>
      <w:r>
        <w:tab/>
      </w:r>
      <w:r>
        <w:fldChar w:fldCharType="begin"/>
      </w:r>
      <w:r>
        <w:instrText xml:space="preserve"> PAGEREF _Toc28219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_Toc8722 </w:instrText>
      </w:r>
      <w:r>
        <w:fldChar w:fldCharType="separate"/>
      </w:r>
      <w:r>
        <w:rPr>
          <w:rFonts w:hint="eastAsia" w:ascii="宋体" w:hAnsi="宋体" w:cs="宋体"/>
          <w:bCs/>
          <w:kern w:val="0"/>
          <w:szCs w:val="30"/>
        </w:rPr>
        <w:t>中国能建承建的迪拜光热700MW光热和250MW光伏项目完成关键节点</w:t>
      </w:r>
      <w:r>
        <w:tab/>
      </w:r>
      <w:r>
        <w:fldChar w:fldCharType="begin"/>
      </w:r>
      <w:r>
        <w:instrText xml:space="preserve"> PAGEREF _Toc8722 </w:instrText>
      </w:r>
      <w:r>
        <w:fldChar w:fldCharType="separate"/>
      </w:r>
      <w:r>
        <w:t>21</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25011"/>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3286"/>
      <w:r>
        <w:rPr>
          <w:rFonts w:hint="eastAsia"/>
          <w:kern w:val="0"/>
        </w:rPr>
        <w:t>硒评论</w:t>
      </w:r>
      <w:r>
        <w:rPr>
          <w:rFonts w:hint="eastAsia"/>
          <w:kern w:val="0"/>
          <w:lang w:eastAsia="zh-CN"/>
        </w:rPr>
        <w:t>：</w:t>
      </w:r>
      <w:r>
        <w:rPr>
          <w:rFonts w:hint="eastAsia"/>
          <w:kern w:val="0"/>
        </w:rPr>
        <w:t>电解锰价格续涨 二硒价格挺价为主</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16100-16300元/吨，均价较上周五上涨100元/吨。本周国内电解锰市场价格持续小幅上涨。鉴于目前电解锰市场成交气氛活跃，预计未来一周国内电解锰市场价格可能稳定为主或有小幅上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8.2-9.2美元/磅，最低价较上周五上涨0.3美元/磅，最高价较上周上涨0.2美元/磅。欧洲鹿特丹市场硒粉报价为8.25美元/磅，均价较上周五上涨0.5美元/磅。本周国内硒粉市场价格为165-180元/公斤，均价较上周五保持不变。本周粗硒市场价格为130-135元/公斤，均价较上周五保持不变。鉴于国内市场价格运行平稳，市场表现安静。预计未来一周国内硒市价格走势坚挺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110-120元/公斤，均价较上周五保持不变。本周二氧化硒市场价格整体稳定。现阶段国内二氧化硒市场报价弱稳，近期市场整体成交气氛冷清。预计未来一周国内二氧化硒市场需求一般，多稳定运行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分析评述：本周硒市整体报价持续稳定，电解锰市场价格续涨，粗硒市场价格整体稳定，二氧化硒市场价格挺价为主。鉴于目前国内硒市整体运行趋于平稳，预计未来一周硒市价格将延续稳定趋势。</w:t>
      </w: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22679"/>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铋锭市场价格疲软</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中商网讯：本周国内铋锭市场价格弱势运行。目前国内铋锭市场整体运行缓慢，消费商多观望后市为主，鉴于短时间内国内铋锭市场成交清淡，预计未来一周国内铋锭市场价格维持弱势态势。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本周国际市场铋锭报价为3.75-3.95美元/磅，均价较上周五保持不变。欧洲鹿特丹市场最新报价在3.9美元/磅，价格较上周五保持不变。出口市场价格为3.4-3.5美元/磅，均价较上周五保持不变。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45500-46500元/吨，均价较上周五下跌1000元/吨。现阶国内铋锭市场成交信心不足，消费急于采购。目前国内铋锭价格继续下跌至45500-46500元/吨，较上周末下跌了1000元/吨。有生产商表示，目前国内铋锭市场成交困难，买方多持观望态度。目前国内氧化铋的市场价格为48000-49000元/吨，均价较上周五下跌500元/吨。现阶段国内铋锭现货市场需求整体疲软。考虑到目前铋锭的价格跌势为主，预计未来一周氧化铋的市场价格也将出现小幅下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分析评述：本周国内铋锭市场价格持续弱势。有消费商表示，现阶段国内铋锭市场成交不温不火，整体需求一般。预计未来一周国内铋锭市场价格疲软。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472"/>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铟锭市场价格持续弱势</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中商网讯：今日国内铟锭主流价格为1160-1190元/公斤，均价较上一周下调40元/公斤。目前国内铟锭市场成交不活跃，生产商报价下滑，大多数消费商拒绝采购，预计未来一周国内铟锭市场价格将维持疲软态势。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月以来铟市场持续低迷，买卖双方均保持平和心态。有生产商表示，个别企业为促成订单开始下调报价，主流价格在市场悲观的情绪主导下缺乏有力支撑，而且下游多持观望态度。预计未来一周国内铟锭市场价格整体持续弱势。</w:t>
      </w:r>
    </w:p>
    <w:p>
      <w:pPr>
        <w:pStyle w:val="4"/>
        <w:spacing w:line="400" w:lineRule="exact"/>
        <w:rPr>
          <w:rFonts w:hint="default" w:eastAsia="宋体" w:cs="宋体"/>
          <w:kern w:val="0"/>
          <w:lang w:val="en-US" w:eastAsia="zh-CN"/>
        </w:rPr>
      </w:pPr>
      <w:bookmarkStart w:id="6" w:name="_Toc17538"/>
      <w:r>
        <w:rPr>
          <w:kern w:val="0"/>
        </w:rPr>
        <w:t>4</w:t>
      </w:r>
      <w:r>
        <w:rPr>
          <w:rFonts w:hint="eastAsia" w:cs="宋体"/>
          <w:kern w:val="0"/>
        </w:rPr>
        <w:t>、碲评论：</w:t>
      </w:r>
      <w:r>
        <w:rPr>
          <w:rFonts w:hint="default" w:cs="宋体"/>
          <w:kern w:val="0"/>
          <w:lang w:val="en-US" w:eastAsia="zh-CN"/>
        </w:rPr>
        <w:t>国内碲锭市场</w:t>
      </w:r>
      <w:r>
        <w:rPr>
          <w:rFonts w:hint="eastAsia" w:cs="宋体"/>
          <w:kern w:val="0"/>
          <w:lang w:val="en-US" w:eastAsia="zh-CN"/>
        </w:rPr>
        <w:t>维稳</w:t>
      </w:r>
      <w:r>
        <w:rPr>
          <w:rFonts w:hint="default" w:cs="宋体"/>
          <w:kern w:val="0"/>
          <w:lang w:val="en-US" w:eastAsia="zh-CN"/>
        </w:rPr>
        <w:t>运行</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580-590元/公斤，均价较上一交易日保持不变。目前金属碲市场维持前期报价，成交气氛冷清，考虑到供应商目前无意降价销售。预计未来一周国内金属碲市场价格维持坚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目前市场延续挺价状态，市场成交维稳，下游也按需采购为主。消费商也表示现在需求一般近期无大量采购计划。他们预计未来一周国内金属碲市场价格多维稳运行。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29678"/>
      <w:r>
        <w:rPr>
          <w:rFonts w:hint="eastAsia" w:cs="黑体"/>
        </w:rPr>
        <w:t>二、价格行情</w:t>
      </w:r>
      <w:bookmarkEnd w:id="7"/>
    </w:p>
    <w:p>
      <w:pPr>
        <w:pStyle w:val="4"/>
        <w:spacing w:line="400" w:lineRule="exact"/>
        <w:rPr>
          <w:rFonts w:hint="eastAsia"/>
          <w:kern w:val="0"/>
        </w:rPr>
      </w:pPr>
      <w:bookmarkStart w:id="8" w:name="_Toc10080"/>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9.2</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130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73</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83</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4125"/>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27</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8.25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1.36</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bl>
    <w:p/>
    <w:p>
      <w:pPr>
        <w:rPr>
          <w:rFonts w:cs="Times New Roman"/>
        </w:rPr>
      </w:pPr>
    </w:p>
    <w:p>
      <w:pPr>
        <w:rPr>
          <w:rFonts w:cs="Times New Roman"/>
        </w:rPr>
      </w:pPr>
    </w:p>
    <w:p>
      <w:pPr>
        <w:rPr>
          <w:rFonts w:cs="Times New Roman"/>
        </w:rPr>
      </w:pPr>
    </w:p>
    <w:p>
      <w:pPr>
        <w:pStyle w:val="4"/>
        <w:numPr>
          <w:ilvl w:val="0"/>
          <w:numId w:val="3"/>
        </w:numPr>
        <w:spacing w:line="400" w:lineRule="exact"/>
        <w:rPr>
          <w:rFonts w:cs="宋体"/>
          <w:kern w:val="0"/>
        </w:rPr>
      </w:pPr>
      <w:bookmarkStart w:id="10" w:name="_Toc13341"/>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1190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7600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27</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1190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7600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1190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7600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27</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16700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17200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
    <w:p/>
    <w:p/>
    <w:p>
      <w:pPr>
        <w:pStyle w:val="2"/>
        <w:numPr>
          <w:ilvl w:val="0"/>
          <w:numId w:val="4"/>
        </w:numPr>
        <w:spacing w:line="400" w:lineRule="exact"/>
      </w:pPr>
      <w:bookmarkStart w:id="11" w:name="_Toc14121"/>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977"/>
      <w:r>
        <w:rPr>
          <w:rFonts w:hint="eastAsia" w:ascii="宋体" w:hAnsi="宋体" w:cs="宋体"/>
          <w:b/>
          <w:bCs/>
          <w:kern w:val="0"/>
          <w:sz w:val="30"/>
          <w:szCs w:val="30"/>
        </w:rPr>
        <w:t>云南铜业一季度营业收入同比增长56.90%</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一季度，面对市场高位震荡的莫测风险，云南铜业股份有限公司“稳”字当头，从严从实从细做好当前各项工作，利用党史学习教育契机，抓实“改革创新攻坚”促发展，深化“攻坚三个月、系统抓落实、重拳保安全”专项行动，筑牢安全环保生产基础，聚焦全要素对标提升核心竞争力，围绕价值创造提升盈利能力，交出可喜成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季度，主产品产量均完成任务目标，营业收入270.66亿元，同比增长56.90%，归属于上市公司股东的净利润1.43亿元，归属于上市公司股东的扣除非经常性损益的净利润1.5亿元，同比增长76.91%，在“十四五”规划开局之年犇出“牛”气，勇创首季开门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风起乘势正当时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春潮涌动，千帆竞发。2021年以来，铜市场不断传来利好消息，云南铜业清醒分析面临的机遇与挑战，科学组织生产，利用早调会将决策部署精准传达到一线生产企业。面对面交流，一对一指导，点对点沟通，已成为管控常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山板块开足马力抢抓生产时间，冶炼板块千方百计保证原料供应”成为一季度生产组织的缩影。作为云南铜业国内最大的“粮仓”，迪庆有色积极攻克供电负荷受限的影响，派驻专人争取地方供电局支持，合理安排检修，错峰启停设备，消除输电线路周边隐患，实行平行作业，匹配供运矿、选矿、尾矿生产负荷，保证系统顺畅运行，精矿含铜产量完成计划的103.93%。</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止要产量，更要抓质量。云南铜业各级干部关口前移，靠前指挥，为所属企业把脉问诊，对症开方，在危机中育新机，于变局中开新局，志在建设一流企业。云南铜业持续推进对标竞赛，完善矿山生产技术管理体系，跟踪落实生产计划完成情况，向管理要效益，让技术多创效。高密度管控下，矿山板块好消息频传，振奋人心：玉溪矿业一季度提升运输矿量为同期的111.11%，铜精矿含铜、铁精矿、利润和完全成本均超额完成目标;凉山矿业矿山单元铜金属产量完成季度计划的101.03%;红泥坡铜矿采选工程环境影响报告书通过专家评审，获得凉山州生态环境局批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风起乘势，云南铜业奋进正当其时。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披荆斩棘破浪行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枝独秀不是春，百花齐放春满园，冶炼板块多点“开花”。云南铜业加快构建大冶炼格局，矿山、冶炼、营销采购通力协作推动资源共享，围绕工艺消耗、物资管控、燃料动力采购、业务外包等生产要素环节专项降本，克服电价单方面上升带来的不利影响，一季度，矿铜加工成本同比下降1.62%，对标标杆实现两年“双连降”，市场竞争力稳固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铜业冶炼板块“老大哥”西南铜业坚持低成本领先、复杂原料处理差异化竞争、目标精益生产的主线，积极转变生产组织思路，一季度熔炼ISA喷枪平均运行29.7天，创同期历史最高。与此同时，西南铜业一季度产出海绵钯超去年同期25.25%，阴极铜含银值比平行流电解工艺阴极铜含银值低10%以上，达行业一流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围绕达产达标达效，云南铜业派出多个“帮扶组”，以“失重计量系统稳定性攻关”为着力点，进行现场指导，助力东南铜业“双闪”作业率持续提升。今年3月份，东南铜业熔炼炉、吹炼炉的作业率及负荷率大幅度提升，月度平均负荷创投产以来的历史新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凉山矿业冶炼厂各项数据同样“吸睛”。该公司阳极铜产量完成计划的103.3%，硫酸产量完成109.8%。这得益于转炉炉寿不断创新高，达到242炉寿。易门铜业创新成本管控思路，严把预算关，持续推进“无预算就不核算”的管控模式，粗铜加工成本同比降低17.95%，硫酸加工成本同比降低22.24%，ROE同比增长12.56%。</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奋楫扬帆红旗展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过了一山再攀一峰，跨过一沟再越一壑。云南铜业不断深化改革发展，突围深水区，更需要从党史学习教育中汲取前行力量，寻找解决问题的方法，充分发挥广大员工的积极性和创造性，在安全环保、生产经营、提质增效、科技创新等主战场中取得成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19日，云南铜业以党委理论学习中心组学习的形式开展“赶超标杆我能干成什么”大讨论，聚焦价值管理、全要素对标、问题导向、改革创新、党建引领等研讨内容，突破思想桎梏，以党建为引领推动对标工作与日常工作深度融合，以优秀的经营业绩为党旗添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改革、要创新、要攻坚!”云南铜业规划出一年的“作战图”。围绕困难企业脱困、达产达标达效、补齐安全管理短板等重点工作制定“任务书”，梳理形成“改革、创新”“安全、环保”“经营、创新”“党建、监督”四个清单，抓实落细工作举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划小经营单元，激发内生动力，让每一位员工成为主角参与经营，依靠全体智慧努力完成企业经营目标。”一场改革的风暴掀起。云南铜业围绕深化改革三年行动和对标世界一流管理提升行动方案，明确所属14家单位对标追标目标及措施清单，导入阿米巴经营模式，围绕步骤方法、内部定价、阿米巴设置、薪酬绩效考核与阿米巴经营理念深入融合、运营转型和阿米巴模式对比等内容积极交流研讨，改革火种呈现燎原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越是吃劲的时刻，越需要响鼓重锤。滇中有色将核算“颗粒度”再研磨，深挖经营分析价值，用阿米巴经营理念做实对标追标。西南铜业划小对标单元，从公司级、分厂/ 部门级延伸到工区级、班组级，从管理到操作全要素覆盖。玉溪矿业主动“请进来”授课，逐步打造自主经营、利润提升、运营分析、激励发展、自主创业、团队成长和经营哲学“七大系统”，做到运营机制和管理理念统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乘开门长风，破万里红浪。云南铜业将高标准高质量推进党史学习教育，用好党史“教科书”，汲取精神养分化作前行动力，不断提高应对风险挑战的能力水平，用开门红提振全年攻坚志气，创造优异成绩，向中国共产党成立100周年、中铝集团成立20周年献礼。</w:t>
      </w:r>
    </w:p>
    <w:p>
      <w:pPr>
        <w:pStyle w:val="18"/>
        <w:keepNext w:val="0"/>
        <w:keepLines w:val="0"/>
        <w:widowControl/>
        <w:suppressLineNumbers w:val="0"/>
        <w:wordWrap w:val="0"/>
        <w:spacing w:line="288" w:lineRule="auto"/>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29605"/>
      <w:r>
        <w:rPr>
          <w:rFonts w:hint="eastAsia" w:ascii="宋体" w:hAnsi="宋体" w:cs="宋体"/>
          <w:b/>
          <w:bCs/>
          <w:kern w:val="0"/>
          <w:sz w:val="30"/>
          <w:szCs w:val="30"/>
        </w:rPr>
        <w:t>中国恩菲研制的管涵智能清淤机器人完成清淤试验</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5月8~9日，中国恩菲工程技术有限公司对自主研发的管涵智能清淤机器人SDR-001(以下称清淤机器人)开展水池清淤试验，并取得了圆满成功。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清淤机器人是中国恩菲自主研发项目的成果，针对满水运行的地下排水管(涵)不易清疏及检测问题，通过专用装备实现地下排水管(涵)清疏作业的机械化、自动化等，可实现清淤过程中“人不下井、路不开挖、水不断流、泥不落地”，最大限度降低对地面环境的影响，并降低管网维护费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次试验前，清淤机器人已经完成了常规调试测试、24小时浸水试验以及清水水池试验。试验在北京某化工企业污水处理厂溢流池中进行，底泥淤泥厚度40~50厘米。试验前期，公司项目组做了充分的准备工作，根据试验方案，在现场开展了设备布置、动力源及排放管路连接、地面测试、水下试验等工作。试验中，清淤机器人各系统运行正常，操作灵活，未出现异常现象。试验结束后，水池内底泥残留厚度低于10厘米，达到了预期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此次试验成功，标志着中国恩菲掌握了水下清淤机器人关键技术，具备了根据项目需求定制机器人的能力，将为下一步持续开拓相关业务市场提供技术支撑。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23861"/>
      <w:r>
        <w:rPr>
          <w:rFonts w:hint="default" w:ascii="宋体" w:hAnsi="宋体" w:cs="宋体"/>
          <w:b/>
          <w:bCs/>
          <w:kern w:val="0"/>
          <w:sz w:val="30"/>
          <w:szCs w:val="30"/>
          <w:lang w:val="en-US" w:eastAsia="zh-CN"/>
        </w:rPr>
        <w:t>全球铜矿新发现创30年来新低</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据报道，标普全球市场财智(S&amp;P Global Market Intelligence)的一项分析表明，铜矿行业大多数企业一直在投资棕地(Brownfields)项目，加上从取得发现到储量发布需时过长，导致能够改变市场基本面的大型发现持续减少。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标普对1990年到2020年发现的229个重大铜矿进行了分析，结果显示过去三年仅有3个。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拉丁美洲仍然是过去10年取得重大发现最多的地区，但年均新增2630万吨铜资源量与1990年以来其他10年相比明显减少。标普2020年分析报告指出，最近三年的发现仅高于过去一个时期，这三个矿床460万吨的发现量明显低于大多数年份发现的铜总量，也明显低于20年来年均115亿磅的铜矿发现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标普公司勘查战略研究报告发现，虽然自从2020年以来大型铜矿的资源量增加了4600万吨，但其中大多数来自1990年代发现的老铜矿，较上年增加的2670万吨铜直接来自矿业公司在已知矿床和现有矿山的勘探，只有不到600万吨的铜来自新发现，而且最近几年只有390万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“虽然这证明了1990年发现的质量，但近些年新发现铜矿缺乏令人担忧”，商品分析师卢克·尼克斯(Luke Nickels)在“市场现状：2021年一季度采矿业”的网络会议上表示。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铜产量占全球40%的拉丁美洲是铜矿勘查主要目的地，在过去的20年中吸引了全球1/3的铜矿勘查预算。正因如此，1990以来全球重大铜矿发现的一半以上是在智利和秘鲁取得的。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1990年以来，仅智利和秘鲁就占了拉丁美洲6.046亿吨铜资源量的82%，占全球新发现铜资源量的44%。</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虽然拉丁美洲是过去10年全球铜发现最多的地区，但2630万吨的铜发现量远远低于1990年以来其他10年。相反，非洲和欧洲在过去的10年中发现大幅增长，占自2011年以来发现的铜资源的一半。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标普发现，这主要得益于艾芬豪矿业公司在民主刚果发现的1890万吨的卡库拉(Kakula)矿床，以及自由港—麦克莫兰公司在塞尔维亚发现的2330万吨的蒂莫克(Timok)铜矿。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由于新的重大发现如此贫乏，标普认为从中期看项目链存在风险。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即使推进可能性不大的项目能够投产，2028年需求量将大大超过矿山产量，2021年就将出现精炼铜供应缺口。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标普注意到，在其研究的229个重大发现中，有146个没在产，其中还有114个尚未完成可行性研究。只有11个铜矿完成了建设计划并开始开发。</w:t>
      </w:r>
    </w:p>
    <w:p>
      <w:pPr>
        <w:widowControl/>
        <w:jc w:val="left"/>
        <w:outlineLvl w:val="1"/>
        <w:rPr>
          <w:rFonts w:hint="default"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eastAsia="zh-CN"/>
        </w:rPr>
      </w:pPr>
      <w:bookmarkStart w:id="15" w:name="_Toc1551"/>
      <w:r>
        <w:rPr>
          <w:rFonts w:hint="eastAsia" w:ascii="宋体" w:hAnsi="宋体" w:cs="宋体"/>
          <w:b/>
          <w:bCs/>
          <w:kern w:val="0"/>
          <w:sz w:val="30"/>
          <w:szCs w:val="30"/>
          <w:lang w:eastAsia="zh-CN"/>
        </w:rPr>
        <w:t>中金岭南凡口矿14项成果获实用新型专利授权</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中金岭南凡口矿《防止雷管拖动的延时爆破系统及其施工方法》获国家知识产权局发明专利授权，《一种铅锌矿废石分选设备》等14项成果获国家知识产权局实用新型专利授权。这些专利是在矿山已有项目的技术基础上进行转化，覆盖了采选、充填、环保和机械设备等内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防止雷管拖动的延时爆破系统及其施工方法》属于爆破技术，涉及一种用于数码电子雷管在爆破过程中防止雷管拖动的延时爆破系统及其施工方法，可有效保证炮孔延时爆破效果，在矿山等需爆破掘进的领域具有广泛的推广应用价值，对推进智能爆破具有重要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利授权是衡量企业研发实力的重要标志。中金岭南高度重视科技创新工作，不断加大科研投入，近三年年均科研费用超2.6亿元，对制约企业高质量运行的关键技术进行攻关，取得了一批重大科研创新成果，截至目前，公司共荣获国家级科技进步奖14项，拥有国家有效专利348项，其中发明专利104项，进一步提升了企业核心竞争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中金岭南将认真贯彻马兴瑞省长在省属国有企业改革发展座谈会暨省国有企业改革工作协调小组扩大会议上的讲话精神，按照省国资委、广晟集团的部署，进一步完善科技创新激励机制，细化科技创新奖励激励措施，聚焦重点领域环节加大研发投入，努力突破一批制约行业高质量发展的技术瓶颈，在加快科技自立自强中发挥更大作用，为广晟集团奋进世界500强贡献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6" w:name="_Toc26831"/>
      <w:r>
        <w:rPr>
          <w:rFonts w:hint="eastAsia" w:ascii="宋体" w:hAnsi="宋体" w:cs="宋体"/>
          <w:b/>
          <w:bCs/>
          <w:kern w:val="0"/>
          <w:sz w:val="30"/>
          <w:szCs w:val="30"/>
          <w:lang w:eastAsia="zh-CN"/>
        </w:rPr>
        <w:t>陕西有色前4个月利润同比增长2.6倍</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以来，陕西有色金属集团抢抓市场回暖机遇，深化企业改革创新，灵活调整营销策略，发展质效稳步提升。前4个月，集团实现营业收入468.94亿元，同比增长14.24%;实现利润总额6.18亿元，同比增长261.40%。主要产品产量大幅增长，其中钛材同比增长62.33%，黄金同比增长183.78%，粒状多晶硅同比增长137.81%。</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陕西有色金属集团加快推进产业重组整合、资产证券化、混合所有制改革。今年3月份，制定出台了深化国企改革三年行动方案，明确了8大重点改革任务和32项具体改革举措。坚持“一企一策”抓好重点领域改革，在下属企业榆林新材料已经完成煤电铝产业板块整合的基础上，4月份完成了招股说明书。近期，又紧锣密鼓地开展引进战略投资者工作。4月19日，集团成立“陕西西北有色铅锌集团有限公司”，为铅锌采选板块重组上市奠定了基础。旗下上市公司宝钛股份发布公告，拟与宝鸡拓普达钛业等2家民营企业共同出资2亿元设立宝钛精密锻造公司，进一步做优做强做大精密锻造产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科技创新赋能企业高质量发展。陕西有色金属集团下属企业金钼集团科研团队突破三氧化钼靶材关键制备技术，制备出高致密度三氧化钼靶材样品，为下一步该类靶材量产化打下良好基础。下属企业五洲矿业生产的钒电解液率先运用于新一代全钒液流电池储能领域，首次实现了钒电解液的商业化应用。下属企业宝钛集团成功试制出宽幅大于1米的纯镍带卷和因可耐尔合金带卷，并自主设计、生产出钛合金平衡肘锻件交付用户，成为新的经济增长点;宝钛股份与国家电投签订“国家示范城市联合申报企业合作意向书”项目及首批钛材料采购合同，拿到了氢燃料电池钛金属双极板市场订单，进入氢能源电池用钛领域。下属企业天瑞硅材料成功实施“非金属陶瓷内衬设计优化及国产化”项目，解决了国外供应商“卡脖子”问题，每年可节约成本4000余万元。3月29日，下属企业榆林新材料、陕西美鑫与西安工业大学联合组建的“陕西省轻合金新材料研究中心”揭牌，将为加快企业科技成果转化发挥积极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前4个月，陕西有色金属集团下属各企业抓订单促生产，生产经营亮点纷呈。金钼集团生产钼粉、钼制品同比分别增长35.16%和77.59%，钼丝、钼板材同比分别增长50.10%和41.15%。地矿集团生产铅精矿金属量3073吨，同比增长42.73%。宝钛集团累计实现产值73.5亿元，同比增长14.52%。西安勘察院实现营业收入16.05亿元，同比增长33.77%。陕西有色贸易公司实现营业收入193.99亿元，利润1838.72万元，同比分别增长61%和320%。陕西美鑫实现营业收入15.15亿元，同比增长30.72%，实现扭亏为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陕西有色金属集团将一手抓党史学习教育、一手抓生产经营，强化“勤、快、严、实、精、细、廉”作风建设，着力破解生产经营中的难题和发展瓶颈，办实事、开新局、，切实把党史学习教育成果转化为工作动力和工作实绩，推动企业高质量高效益协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16080"/>
      <w:r>
        <w:rPr>
          <w:rFonts w:hint="eastAsia" w:ascii="宋体" w:hAnsi="宋体" w:cs="宋体"/>
          <w:b/>
          <w:bCs/>
          <w:kern w:val="0"/>
          <w:sz w:val="30"/>
          <w:szCs w:val="30"/>
        </w:rPr>
        <w:t>铜陵有色：助力5G 对标一流</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5月20日上午8时58分，铜陵有色集团公司年产2万吨高精度储能用超薄电子铜箔项目(二期)开工奠基仪式在铜陵铜箔公司项目施工现场举行。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该项目是铜陵有色“十四五”规划开工的第一个项目，是瞄准5G通讯未来发展方向，对标国际一流企业高标准建设的项目。该项目总投资8.2亿元，占地约40亩，产能为1万吨/年，主要生产应用于5G用高频高速印制电路板、刚性覆铜板、如玻纤布基板、纸基板、复合基板、金属基板等电子铜箔产品，预计于2022年底进入调试阶段。项目建成投产后，铜陵有色将具备年产各类高精度电子铜箔5.5万吨的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16252"/>
      <w:r>
        <w:rPr>
          <w:rFonts w:hint="eastAsia" w:ascii="宋体" w:hAnsi="宋体" w:cs="宋体"/>
          <w:b/>
          <w:bCs/>
          <w:kern w:val="0"/>
          <w:sz w:val="30"/>
          <w:szCs w:val="30"/>
        </w:rPr>
        <w:t>华虹半导体：12寸无锡厂产能爬坡加速</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2021年5月13日公司发布2021一季度报告,报告期内,公司实现营业收入3.0亿美金,同比增加50.3%,环比增加8.8%,毛利率为23.7%,同比上升2.6%,环比下降2.1%。</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Q1业绩增长亮眼,全年有望持续攀升。5G、新能源汽车、物联网发展推动下游产品的需求增长,促进NORflash、MCU、IGBT和CIS业务发展,Q1营收达到3.0亿美元,同比增长50.3%,环比增长8.8%,远高于市场预期;受益于产能利用率、产品组合优化和整体出货价格上升提高毛利率同比提高2.6%至23.7%,环比下降了2.1%主要是因为春节前公司发放了员工奖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8寸:产能持续满载,ASP提升。公司在上海金桥和张江建有三座8英寸晶圆厂,2020年Q1总体产能利用率为104.2%,环比上升5.2%。在产能持续满载的状况下,公司议价能力提升,2021年Q1的8寸晶圆ASP约为462.5美金,与2020年Q4的449.2美金相比增长了3%,预计2021年全年行业景气度向上,市场紧张的供需关系有望推动ASP持续攀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12寸:无锡厂产能爬坡加速。华虹无锡12寸厂进展迅速,Q1贡献销售收入5,460万美元,占总收入的17.9%,环比增加了53.1%。目前,无锡12寸厂月产能已超4万片,其中有1.8万片是功率器件,Embedded Flash和CIS各1万片,还有少量的其他产品。鉴于市场需求强劲,公司从去年开始加速推进无锡12寸厂扩产计划,预计今年年底月产能可达6.5万片,并有望在2022年年中超过8万片。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8寸+12寸齐发力,引领公司新增长。公司在原有IC+Discrete的产品布局策略下,加快现有8寸产线优化及12寸产线扩产,进一步拓宽了公司产品的丰富度,为客户持续提供最佳产品解决方案。12寸背照式CIS图像处理芯片、BCD电源管理芯片、标准式存储器、以及12寸IGBT和超级结高压功率器件等多个新产品进入市场后,有望引领公司另一波成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9" w:name="_Toc32029"/>
      <w:r>
        <w:rPr>
          <w:rFonts w:hint="eastAsia" w:ascii="宋体" w:hAnsi="宋体" w:cs="宋体"/>
          <w:b/>
          <w:bCs/>
          <w:kern w:val="0"/>
          <w:sz w:val="30"/>
          <w:szCs w:val="30"/>
        </w:rPr>
        <w:t>容量5万吨的现代化标准大型冷库在湖南开建</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5月14日，市两型产业园，湖南中节科技投资有限公司(下称“中节科技”)LNG分布式冷热电三联供工程二期冷库建设项目开工仪式举行，这标志着5万吨容量的现代化标准大型冷库正式开建。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招商引资，中节科技与市两型产业园签订冷热电三联供投资项目，属园区基础配套设施项目。该项目一期建设内容为LNG天然气站1座、办公楼、主厂房及园区区域蒸汽管网近7000米，于2019年11月投入生产。此次开工建设的二期5万吨容量现代化标准大型冷库项目，总投资约1.2亿元，用地面积45.04亩，将建设冷库主体及仓库等辅助工程，计划今年11月全面建成投产运营。项目建成后将实现自动化运作，可远程智能控制，其大容量及先进设备，能够满足浏阳城区、附近园区、周边地区市场及食药企业的冷藏需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浏阳园区发展的这几年，我们感受到了很多关心与关怀，也备受鼓舞。”中节科技董事长罗皓表示，项目顺利开工是一个新的开始，中节科技将全力做好现代化标准大型冷库项目建设，为建设现代化新浏阳作出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28219"/>
      <w:r>
        <w:rPr>
          <w:rFonts w:hint="eastAsia" w:ascii="宋体" w:hAnsi="宋体" w:cs="宋体"/>
          <w:b/>
          <w:bCs/>
          <w:kern w:val="0"/>
          <w:sz w:val="30"/>
          <w:szCs w:val="30"/>
        </w:rPr>
        <w:t>中国电建河北工程公司首次中标全储能光伏发电项目</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12日，从招标代理机构石家庄东方热电热力工程有限公司发来的中标通知书获悉，中电建河北工程公司中标西藏那曲索县神话亚拉50MWp(加261MWh磷酸铁锂)牧光互补全储能光伏发电项目EPC工程总承包项目，该项目为全国最大规模储能类光伏发电示范类项目，也是河北工程公司首次承建的全储能光伏发电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地处西藏自治区那曲索县，工程范围包括光伏厂区、集电线路、进场道路、检修道路、储能工程及联合试运转、项目并网、竣工验收、光伏发电系统的发、送、变电系统运行等全部工作，计划于2021年9月30日完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那曲由于海拔高，这里的年均日照时数为2400-2600小时，且光照时间长，空气通透性好，适合光伏发电。项目建设后，将为那曲地区提供更加清洁、可靠的电力供应，对西藏电网调峰、调度具有重要示范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8722"/>
      <w:r>
        <w:rPr>
          <w:rFonts w:hint="eastAsia" w:ascii="宋体" w:hAnsi="宋体" w:cs="宋体"/>
          <w:b/>
          <w:bCs/>
          <w:kern w:val="0"/>
          <w:sz w:val="30"/>
          <w:szCs w:val="30"/>
        </w:rPr>
        <w:t>中国能建承建的迪拜光热700MW光热和250MW光伏项目完成关键节点</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21日，中国能建南方建投湖南火电建设有限公司发布消息称，该公司承建的迪拜光热700兆瓦光热和250兆瓦光伏太阳能电站项目槽式2号机组首台熔盐储罐注水试验顺利通过，为后续熔盐系统顺利运行奠定了坚实基础。与此同时，该项目集热塔内部管道安装完成，塔式发电机组管道安装工作也取得阶段性胜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槽式2号机组共8台熔盐储罐，单台直径约45米，容积近25000立方米，储存介质为硝酸盐。熔盐储罐可以解决光热发电项目中能源储存难题，该项目储热系统由冷、热两个储热罐组成。白天，冷盐罐内熔盐被输送到管壳式油盐换热器与高温导热油换热，升温后进入热盐罐;晚上，热盐罐内高温熔盐被输送到油盐换热器与低温导热油换热，散热后进入冷盐罐。导热油吸热升温后则进入蒸汽发生系统，加热给水产生高温蒸汽，驱动汽轮机做功。熔盐通过上述方式循环利用，实现24小时连续发电提供热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受当地斋月节影响，现场劳动力十分紧缺，项目又位于沙漠腹地，只能采用罐装水车将水卸载到临时水箱，再由卸水泵打入熔盐储罐，最终完成注水试验。集热塔内部管道总长约550米，分为斜管及垂直管两种，塔内空间狭小，吊装和安装难度极高。为保证节点按时完成，项目团队每天统计安装完成量，每周分析安装进度，及时解决安装问题。近4000米吊带，600余件吊装葫芦，86名施工人员24小时日夜倒班，最终在“零”安全事故前提下顺利完成安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目前迪拜正值夏季，现场最高气温达40摄氏度。尽管安装过程困难重重，但湖南火电项目团队仍将坚持“一手抓疫情防控，一手抓现场施工”，把安全生产放第一位，持续推动项目顺利推进。</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764F66"/>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D5F2B"/>
    <w:rsid w:val="0EE624BF"/>
    <w:rsid w:val="0EED3B46"/>
    <w:rsid w:val="0EF163FE"/>
    <w:rsid w:val="0F0F7B37"/>
    <w:rsid w:val="0F1259A0"/>
    <w:rsid w:val="0F1F371E"/>
    <w:rsid w:val="0F1F63BF"/>
    <w:rsid w:val="0F2065EB"/>
    <w:rsid w:val="0F296838"/>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D1014C"/>
    <w:rsid w:val="29D63757"/>
    <w:rsid w:val="29D67C37"/>
    <w:rsid w:val="29DC525C"/>
    <w:rsid w:val="29DD582A"/>
    <w:rsid w:val="29E008AE"/>
    <w:rsid w:val="29E72216"/>
    <w:rsid w:val="29EB0A8C"/>
    <w:rsid w:val="29F05AFF"/>
    <w:rsid w:val="29FD79C7"/>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A4585"/>
    <w:rsid w:val="3FCE4237"/>
    <w:rsid w:val="3FD31FB0"/>
    <w:rsid w:val="3FDE4C6F"/>
    <w:rsid w:val="3FE4329E"/>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2021-05-28T05:46:19Z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9CE342D309EC48CA9D102E1F00CF371C</vt:lpwstr>
  </property>
</Properties>
</file>