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91B" w:rsidRDefault="00AB71A3">
      <w:r>
        <w:rPr>
          <w:rFonts w:ascii="新宋体" w:eastAsia="新宋体" w:hAnsi="新宋体" w:cs="宋体" w:hint="eastAsia"/>
          <w:b/>
          <w:bCs/>
          <w:kern w:val="36"/>
          <w:sz w:val="32"/>
          <w:szCs w:val="32"/>
        </w:rPr>
        <w:t>氧化铝</w:t>
      </w:r>
      <w:r w:rsidR="005F3A25">
        <w:rPr>
          <w:rFonts w:ascii="新宋体" w:eastAsia="新宋体" w:hAnsi="新宋体" w:cs="宋体" w:hint="eastAsia"/>
          <w:b/>
          <w:bCs/>
          <w:kern w:val="36"/>
          <w:sz w:val="32"/>
          <w:szCs w:val="32"/>
        </w:rPr>
        <w:t>价格</w:t>
      </w:r>
      <w:r w:rsidR="0089577A">
        <w:rPr>
          <w:rFonts w:ascii="新宋体" w:eastAsia="新宋体" w:hAnsi="新宋体" w:cs="宋体" w:hint="eastAsia"/>
          <w:b/>
          <w:bCs/>
          <w:kern w:val="36"/>
          <w:sz w:val="32"/>
          <w:szCs w:val="32"/>
        </w:rPr>
        <w:t>小幅上行</w:t>
      </w:r>
      <w:r w:rsidR="005F3A25">
        <w:rPr>
          <w:rFonts w:ascii="新宋体" w:eastAsia="新宋体" w:hAnsi="新宋体" w:cs="宋体" w:hint="eastAsia"/>
          <w:b/>
          <w:bCs/>
          <w:kern w:val="36"/>
          <w:sz w:val="32"/>
          <w:szCs w:val="32"/>
        </w:rPr>
        <w:t xml:space="preserve"> </w:t>
      </w:r>
      <w:r w:rsidR="009D525D">
        <w:rPr>
          <w:rFonts w:ascii="新宋体" w:eastAsia="新宋体" w:hAnsi="新宋体" w:cs="宋体" w:hint="eastAsia"/>
          <w:b/>
          <w:bCs/>
          <w:kern w:val="36"/>
          <w:sz w:val="32"/>
          <w:szCs w:val="32"/>
        </w:rPr>
        <w:t>电解铝价格</w:t>
      </w:r>
      <w:r w:rsidR="0089577A">
        <w:rPr>
          <w:rFonts w:ascii="新宋体" w:eastAsia="新宋体" w:hAnsi="新宋体" w:cs="宋体" w:hint="eastAsia"/>
          <w:b/>
          <w:bCs/>
          <w:kern w:val="36"/>
          <w:sz w:val="32"/>
          <w:szCs w:val="32"/>
        </w:rPr>
        <w:t>持续</w:t>
      </w:r>
      <w:r w:rsidR="00B6184C">
        <w:rPr>
          <w:rFonts w:ascii="新宋体" w:eastAsia="新宋体" w:hAnsi="新宋体" w:cs="宋体" w:hint="eastAsia"/>
          <w:b/>
          <w:bCs/>
          <w:kern w:val="36"/>
          <w:sz w:val="32"/>
          <w:szCs w:val="32"/>
        </w:rPr>
        <w:t>震荡</w:t>
      </w:r>
      <w:r>
        <w:rPr>
          <w:rFonts w:ascii="新宋体" w:eastAsia="新宋体" w:hAnsi="新宋体" w:cs="宋体" w:hint="eastAsia"/>
          <w:b/>
          <w:bCs/>
          <w:kern w:val="36"/>
          <w:sz w:val="32"/>
          <w:szCs w:val="32"/>
        </w:rPr>
        <w:t xml:space="preserve">  </w:t>
      </w:r>
    </w:p>
    <w:p w:rsidR="0026591B" w:rsidRDefault="00AB71A3" w:rsidP="00E46049">
      <w:pPr>
        <w:spacing w:beforeLines="100" w:afterLines="50" w:line="240" w:lineRule="auto"/>
        <w:outlineLvl w:val="2"/>
        <w:rPr>
          <w:rFonts w:ascii="新宋体" w:eastAsia="新宋体" w:hAnsi="新宋体"/>
          <w:b/>
          <w:color w:val="796A4F"/>
          <w:sz w:val="28"/>
          <w:szCs w:val="28"/>
        </w:rPr>
      </w:pPr>
      <w:r>
        <w:rPr>
          <w:sz w:val="30"/>
          <w:szCs w:val="30"/>
        </w:rPr>
        <w:t>一、</w:t>
      </w:r>
      <w:r>
        <w:rPr>
          <w:rFonts w:ascii="??" w:hAnsi="??" w:hint="eastAsia"/>
          <w:b/>
          <w:bCs/>
          <w:kern w:val="44"/>
          <w:sz w:val="28"/>
          <w:szCs w:val="28"/>
        </w:rPr>
        <w:t>铝产业链生产情况汇总</w:t>
      </w:r>
    </w:p>
    <w:tbl>
      <w:tblPr>
        <w:tblStyle w:val="a6"/>
        <w:tblW w:w="5000" w:type="pct"/>
        <w:tblBorders>
          <w:left w:val="none" w:sz="0" w:space="0" w:color="auto"/>
          <w:right w:val="none" w:sz="0" w:space="0" w:color="auto"/>
          <w:insideH w:val="none" w:sz="0" w:space="0" w:color="auto"/>
          <w:insideV w:val="none" w:sz="0" w:space="0" w:color="auto"/>
        </w:tblBorders>
        <w:tblLook w:val="04A0"/>
      </w:tblPr>
      <w:tblGrid>
        <w:gridCol w:w="8522"/>
      </w:tblGrid>
      <w:tr w:rsidR="0026591B" w:rsidTr="00D97DA5">
        <w:tc>
          <w:tcPr>
            <w:tcW w:w="8522" w:type="dxa"/>
          </w:tcPr>
          <w:p w:rsidR="0026591B" w:rsidRDefault="00AB71A3">
            <w:pPr>
              <w:tabs>
                <w:tab w:val="left" w:pos="7110"/>
              </w:tabs>
              <w:spacing w:line="400" w:lineRule="exact"/>
              <w:jc w:val="both"/>
              <w:rPr>
                <w:szCs w:val="21"/>
              </w:rPr>
            </w:pPr>
            <w:bookmarkStart w:id="0" w:name="_Hlk498105474"/>
            <w:r>
              <w:rPr>
                <w:rFonts w:hint="eastAsia"/>
                <w:szCs w:val="21"/>
              </w:rPr>
              <w:t>图</w:t>
            </w:r>
            <w:r>
              <w:rPr>
                <w:rFonts w:hint="eastAsia"/>
                <w:szCs w:val="21"/>
              </w:rPr>
              <w:t>1-1</w:t>
            </w:r>
            <w:r>
              <w:rPr>
                <w:rFonts w:hint="eastAsia"/>
                <w:szCs w:val="21"/>
              </w:rPr>
              <w:t>：氧化铝</w:t>
            </w:r>
            <w:r>
              <w:rPr>
                <w:szCs w:val="21"/>
              </w:rPr>
              <w:t>月度产量对比图</w:t>
            </w:r>
          </w:p>
        </w:tc>
      </w:tr>
      <w:tr w:rsidR="0026591B" w:rsidTr="00D97DA5">
        <w:tc>
          <w:tcPr>
            <w:tcW w:w="8522" w:type="dxa"/>
          </w:tcPr>
          <w:p w:rsidR="0026591B" w:rsidRDefault="006C6FA9">
            <w:pPr>
              <w:tabs>
                <w:tab w:val="left" w:pos="7110"/>
              </w:tabs>
              <w:spacing w:line="400" w:lineRule="exact"/>
              <w:jc w:val="both"/>
              <w:rPr>
                <w:rFonts w:ascii="STXinwei" w:eastAsia="STXinwei" w:hAnsi="新宋体"/>
                <w:sz w:val="28"/>
                <w:szCs w:val="28"/>
              </w:rPr>
            </w:pPr>
            <w:r>
              <w:rPr>
                <w:rFonts w:ascii="STXinwei" w:eastAsia="STXinwei" w:hAnsi="新宋体"/>
                <w:noProof/>
                <w:sz w:val="28"/>
                <w:szCs w:val="28"/>
              </w:rPr>
              <w:drawing>
                <wp:anchor distT="0" distB="0" distL="114300" distR="114300" simplePos="0" relativeHeight="251671040" behindDoc="0" locked="0" layoutInCell="1" allowOverlap="1">
                  <wp:simplePos x="0" y="0"/>
                  <wp:positionH relativeFrom="column">
                    <wp:posOffset>387350</wp:posOffset>
                  </wp:positionH>
                  <wp:positionV relativeFrom="paragraph">
                    <wp:posOffset>1270</wp:posOffset>
                  </wp:positionV>
                  <wp:extent cx="4533265" cy="2755900"/>
                  <wp:effectExtent l="0" t="0" r="635" b="635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33265" cy="2755900"/>
                          </a:xfrm>
                          <a:prstGeom prst="rect">
                            <a:avLst/>
                          </a:prstGeom>
                          <a:noFill/>
                        </pic:spPr>
                      </pic:pic>
                    </a:graphicData>
                  </a:graphic>
                </wp:anchor>
              </w:drawing>
            </w:r>
          </w:p>
        </w:tc>
      </w:tr>
    </w:tbl>
    <w:p w:rsidR="0026591B" w:rsidRDefault="0026591B">
      <w:pPr>
        <w:tabs>
          <w:tab w:val="left" w:pos="7110"/>
        </w:tabs>
        <w:spacing w:line="400" w:lineRule="exact"/>
        <w:jc w:val="both"/>
        <w:rPr>
          <w:rFonts w:ascii="STXinwei" w:eastAsia="STXinwei" w:hAnsi="新宋体"/>
          <w:sz w:val="28"/>
          <w:szCs w:val="28"/>
        </w:rPr>
      </w:pPr>
    </w:p>
    <w:tbl>
      <w:tblPr>
        <w:tblStyle w:val="a6"/>
        <w:tblW w:w="5000" w:type="pct"/>
        <w:tblBorders>
          <w:left w:val="none" w:sz="0" w:space="0" w:color="auto"/>
          <w:right w:val="none" w:sz="0" w:space="0" w:color="auto"/>
          <w:insideH w:val="none" w:sz="0" w:space="0" w:color="auto"/>
          <w:insideV w:val="none" w:sz="0" w:space="0" w:color="auto"/>
        </w:tblBorders>
        <w:tblLook w:val="04A0"/>
      </w:tblPr>
      <w:tblGrid>
        <w:gridCol w:w="8522"/>
      </w:tblGrid>
      <w:tr w:rsidR="0026591B" w:rsidTr="006C6FA9">
        <w:tc>
          <w:tcPr>
            <w:tcW w:w="8522" w:type="dxa"/>
          </w:tcPr>
          <w:p w:rsidR="0026591B" w:rsidRDefault="006C6FA9">
            <w:pPr>
              <w:tabs>
                <w:tab w:val="left" w:pos="7110"/>
              </w:tabs>
              <w:spacing w:line="400" w:lineRule="exact"/>
              <w:jc w:val="both"/>
              <w:rPr>
                <w:szCs w:val="21"/>
              </w:rPr>
            </w:pPr>
            <w:r>
              <w:rPr>
                <w:noProof/>
                <w:szCs w:val="21"/>
              </w:rPr>
              <w:drawing>
                <wp:anchor distT="0" distB="0" distL="114300" distR="114300" simplePos="0" relativeHeight="251670016" behindDoc="0" locked="0" layoutInCell="1" allowOverlap="1">
                  <wp:simplePos x="0" y="0"/>
                  <wp:positionH relativeFrom="column">
                    <wp:posOffset>354547</wp:posOffset>
                  </wp:positionH>
                  <wp:positionV relativeFrom="paragraph">
                    <wp:posOffset>426355</wp:posOffset>
                  </wp:positionV>
                  <wp:extent cx="4493895" cy="2862580"/>
                  <wp:effectExtent l="0" t="0" r="190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93895" cy="2862580"/>
                          </a:xfrm>
                          <a:prstGeom prst="rect">
                            <a:avLst/>
                          </a:prstGeom>
                          <a:noFill/>
                        </pic:spPr>
                      </pic:pic>
                    </a:graphicData>
                  </a:graphic>
                </wp:anchor>
              </w:drawing>
            </w:r>
            <w:r w:rsidR="00AB71A3">
              <w:rPr>
                <w:rFonts w:hint="eastAsia"/>
                <w:szCs w:val="21"/>
              </w:rPr>
              <w:t>图</w:t>
            </w:r>
            <w:r w:rsidR="00AB71A3">
              <w:rPr>
                <w:rFonts w:hint="eastAsia"/>
                <w:szCs w:val="21"/>
              </w:rPr>
              <w:t>1-2</w:t>
            </w:r>
            <w:r w:rsidR="00AB71A3">
              <w:rPr>
                <w:rFonts w:hint="eastAsia"/>
                <w:szCs w:val="21"/>
              </w:rPr>
              <w:t>：电解铝</w:t>
            </w:r>
            <w:r w:rsidR="00AB71A3">
              <w:rPr>
                <w:szCs w:val="21"/>
              </w:rPr>
              <w:t>月度产量对比图</w:t>
            </w:r>
          </w:p>
        </w:tc>
      </w:tr>
      <w:tr w:rsidR="0026591B" w:rsidTr="008E60A0">
        <w:tc>
          <w:tcPr>
            <w:tcW w:w="8522" w:type="dxa"/>
          </w:tcPr>
          <w:p w:rsidR="0026591B" w:rsidRDefault="0026591B">
            <w:pPr>
              <w:tabs>
                <w:tab w:val="left" w:pos="7110"/>
              </w:tabs>
              <w:spacing w:line="400" w:lineRule="exact"/>
              <w:jc w:val="both"/>
              <w:rPr>
                <w:rFonts w:ascii="STXinwei" w:eastAsia="STXinwei" w:hAnsi="新宋体"/>
                <w:sz w:val="28"/>
                <w:szCs w:val="28"/>
              </w:rPr>
            </w:pPr>
          </w:p>
        </w:tc>
      </w:tr>
    </w:tbl>
    <w:p w:rsidR="0026591B" w:rsidRDefault="00C50D76">
      <w:pPr>
        <w:tabs>
          <w:tab w:val="left" w:pos="7110"/>
        </w:tabs>
        <w:spacing w:line="400" w:lineRule="exact"/>
        <w:jc w:val="both"/>
        <w:rPr>
          <w:rFonts w:ascii="STXinwei" w:eastAsia="STXinwei" w:hAnsi="新宋体"/>
          <w:sz w:val="28"/>
          <w:szCs w:val="28"/>
        </w:rPr>
      </w:pPr>
      <w:r>
        <w:rPr>
          <w:rFonts w:ascii="STXinwei" w:eastAsia="STXinwei" w:hAnsi="新宋体" w:hint="eastAsia"/>
          <w:sz w:val="28"/>
          <w:szCs w:val="28"/>
        </w:rPr>
        <w:lastRenderedPageBreak/>
        <w:t>6</w:t>
      </w:r>
      <w:r w:rsidR="00AB71A3">
        <w:rPr>
          <w:rFonts w:ascii="STXinwei" w:eastAsia="STXinwei" w:hAnsi="新宋体" w:hint="eastAsia"/>
          <w:sz w:val="28"/>
          <w:szCs w:val="28"/>
        </w:rPr>
        <w:t>月</w:t>
      </w:r>
      <w:r>
        <w:rPr>
          <w:rFonts w:ascii="STXinwei" w:eastAsia="STXinwei" w:hAnsi="新宋体" w:hint="eastAsia"/>
          <w:sz w:val="28"/>
          <w:szCs w:val="28"/>
        </w:rPr>
        <w:t>部分</w:t>
      </w:r>
      <w:r w:rsidR="00381F8B">
        <w:rPr>
          <w:rFonts w:ascii="STXinwei" w:eastAsia="STXinwei" w:hAnsi="新宋体" w:hint="eastAsia"/>
          <w:sz w:val="28"/>
          <w:szCs w:val="28"/>
        </w:rPr>
        <w:t>氧化铝</w:t>
      </w:r>
      <w:r>
        <w:rPr>
          <w:rFonts w:ascii="STXinwei" w:eastAsia="STXinwei" w:hAnsi="新宋体" w:hint="eastAsia"/>
          <w:sz w:val="28"/>
          <w:szCs w:val="28"/>
        </w:rPr>
        <w:t>企业压产减产</w:t>
      </w:r>
    </w:p>
    <w:p w:rsidR="00026BF5" w:rsidRDefault="000D4BCC" w:rsidP="000D4BCC">
      <w:pPr>
        <w:tabs>
          <w:tab w:val="left" w:pos="7110"/>
        </w:tabs>
        <w:spacing w:line="400" w:lineRule="exact"/>
        <w:jc w:val="both"/>
        <w:rPr>
          <w:rFonts w:ascii="新宋体" w:eastAsia="新宋体" w:hAnsi="新宋体"/>
          <w:sz w:val="21"/>
          <w:szCs w:val="21"/>
        </w:rPr>
      </w:pPr>
      <w:r w:rsidRPr="000D4BCC">
        <w:rPr>
          <w:rFonts w:ascii="新宋体" w:eastAsia="新宋体" w:hAnsi="新宋体" w:hint="eastAsia"/>
          <w:sz w:val="21"/>
          <w:szCs w:val="21"/>
        </w:rPr>
        <w:t>6月氧化铝行业建成产能8852万吨，运行产能7785万吨，开工率为87.9%左右，相较上月底小幅下调0.55%，月内开工率的临时性波动多因为出现企业的临时性压产或者减产，对产量的影响有限，整体来看，企业仍是维持高产、稳产以寻求规模降本 。本月氧化铝企业虽然继续面临普遍的煤炭和矿石价格上涨导致的成本明显上移趋势，但在销售利润呈现正向后的开工积极性依然高涨，稳产和高产以及潜在新项目的快速投产意愿均有明显增强。当月山西奥凯达、贵州广铝、龙州新翔等氧化铝技改扩建和新建项目均开始料试车，虽然月内产量贡献有限，但对下月以及下半年的产量贡献预计将逐渐明显。月内包括交口信发、信发化工、三门峡希望和晋中希望复产带来的产量贡献较为明显。</w:t>
      </w:r>
    </w:p>
    <w:p w:rsidR="000D4BCC" w:rsidRDefault="000D4BCC" w:rsidP="000D4BCC">
      <w:pPr>
        <w:tabs>
          <w:tab w:val="left" w:pos="7110"/>
        </w:tabs>
        <w:spacing w:line="400" w:lineRule="exact"/>
        <w:jc w:val="both"/>
        <w:rPr>
          <w:rFonts w:ascii="新宋体" w:eastAsia="新宋体" w:hAnsi="新宋体"/>
          <w:sz w:val="21"/>
          <w:szCs w:val="21"/>
        </w:rPr>
      </w:pPr>
      <w:r w:rsidRPr="000D4BCC">
        <w:rPr>
          <w:rFonts w:ascii="新宋体" w:eastAsia="新宋体" w:hAnsi="新宋体" w:hint="eastAsia"/>
          <w:sz w:val="21"/>
          <w:szCs w:val="21"/>
        </w:rPr>
        <w:t>预计6月国内氧化铝产量643万吨，折算日产量21.4万吨，相较上月日增长4000吨左右。进入7月，复产企业逐渐实现满产和产量最大化贡献，技改扩建和新投企业逐渐贡献部分增量，行业利润依然保持正向，预计氧化铝月度日产量有望增至21.6万吨左右。</w:t>
      </w:r>
    </w:p>
    <w:p w:rsidR="0026591B" w:rsidRDefault="002814A6" w:rsidP="00161160">
      <w:pPr>
        <w:tabs>
          <w:tab w:val="left" w:pos="7110"/>
        </w:tabs>
        <w:spacing w:line="400" w:lineRule="exact"/>
        <w:jc w:val="both"/>
        <w:rPr>
          <w:rFonts w:ascii="STXinwei" w:eastAsia="STXinwei" w:hAnsi="新宋体"/>
          <w:sz w:val="28"/>
          <w:szCs w:val="28"/>
        </w:rPr>
      </w:pPr>
      <w:r>
        <w:rPr>
          <w:rFonts w:ascii="STXinwei" w:eastAsia="STXinwei" w:hAnsi="新宋体" w:hint="eastAsia"/>
          <w:sz w:val="28"/>
          <w:szCs w:val="28"/>
        </w:rPr>
        <w:t>6</w:t>
      </w:r>
      <w:r w:rsidR="008A136F">
        <w:rPr>
          <w:rFonts w:ascii="STXinwei" w:eastAsia="STXinwei" w:hAnsi="新宋体" w:hint="eastAsia"/>
          <w:sz w:val="28"/>
          <w:szCs w:val="28"/>
        </w:rPr>
        <w:t>月</w:t>
      </w:r>
      <w:r>
        <w:rPr>
          <w:rFonts w:ascii="STXinwei" w:eastAsia="STXinwei" w:hAnsi="新宋体" w:hint="eastAsia"/>
          <w:sz w:val="28"/>
          <w:szCs w:val="28"/>
        </w:rPr>
        <w:t>电解铝产量有所减少</w:t>
      </w:r>
    </w:p>
    <w:p w:rsidR="003E09DD" w:rsidRDefault="003E09DD" w:rsidP="003E09DD">
      <w:pPr>
        <w:tabs>
          <w:tab w:val="left" w:pos="7110"/>
        </w:tabs>
        <w:spacing w:line="400" w:lineRule="exact"/>
        <w:jc w:val="both"/>
        <w:rPr>
          <w:rFonts w:ascii="新宋体" w:eastAsia="新宋体" w:hAnsi="新宋体"/>
          <w:sz w:val="21"/>
          <w:szCs w:val="21"/>
        </w:rPr>
      </w:pPr>
      <w:r w:rsidRPr="003E09DD">
        <w:rPr>
          <w:rFonts w:ascii="新宋体" w:eastAsia="新宋体" w:hAnsi="新宋体" w:hint="eastAsia"/>
          <w:sz w:val="21"/>
          <w:szCs w:val="21"/>
        </w:rPr>
        <w:t>2021年5月中国电解铝产量337.9238 万吨，同比增加11.35%，当月产能利用率为93.70%。虽然5月份云南地区因为电力供应紧张出现有序用电，全区域内电解铝企业均有一定数量的电解槽压产停产，但考虑到从接到通知到电解槽真正关停存一定时间差，同时，停槽过程中需要抽出铝水，综合评估5月份云南地区因用电问题导致的产量减少比较有限。另外，广西德保百矿、田林百矿及陕县恒康、甘肃中瑞等多个项目有投复产的新增产量的基础上，5月国内电解铝日均产量整体仍保持高位。</w:t>
      </w:r>
    </w:p>
    <w:p w:rsidR="00CF0738" w:rsidRDefault="00BC7F7C" w:rsidP="003E09DD">
      <w:pPr>
        <w:tabs>
          <w:tab w:val="left" w:pos="7110"/>
        </w:tabs>
        <w:spacing w:line="400" w:lineRule="exact"/>
        <w:jc w:val="both"/>
        <w:rPr>
          <w:rFonts w:ascii="新宋体" w:eastAsia="新宋体" w:hAnsi="新宋体"/>
          <w:sz w:val="21"/>
          <w:szCs w:val="21"/>
        </w:rPr>
      </w:pPr>
      <w:r w:rsidRPr="00BC7F7C">
        <w:rPr>
          <w:rFonts w:ascii="新宋体" w:eastAsia="新宋体" w:hAnsi="新宋体" w:hint="eastAsia"/>
          <w:sz w:val="21"/>
          <w:szCs w:val="21"/>
        </w:rPr>
        <w:t>2021年6月中国电解铝运行产能3988.1 万吨，同比增加7.49%，环比减少0.03%，本月云南地区电解铝企业的生产情况备受关注，虽然有序用电逐步结束，但从我们了解的情况来看，区域内电解铝企业复产节奏相对缓慢，目前仅云铝旗下少量电解槽逐步启动，云南神火则计划先启动新建产能，待评估</w:t>
      </w:r>
      <w:r w:rsidR="00255C41" w:rsidRPr="00255C41">
        <w:rPr>
          <w:rFonts w:ascii="新宋体" w:eastAsia="新宋体" w:hAnsi="新宋体" w:hint="eastAsia"/>
          <w:sz w:val="21"/>
          <w:szCs w:val="21"/>
        </w:rPr>
        <w:t>完停产电解槽的槽况再制定复产计划。另外，引起市场注意的是贵州华仁因为产能指标的问题计划停产近10万吨。复产方面，除陕县恒康、甘肃中瑞外，青海鑫恒、山西兆丰两个项目也加入到复产行列，只是，考虑到其电解槽的状态不同，短期或无较大产量贡献。</w:t>
      </w:r>
    </w:p>
    <w:p w:rsidR="009705CA" w:rsidRDefault="009705CA" w:rsidP="003E09DD">
      <w:pPr>
        <w:tabs>
          <w:tab w:val="left" w:pos="7110"/>
        </w:tabs>
        <w:spacing w:line="400" w:lineRule="exact"/>
        <w:jc w:val="both"/>
        <w:rPr>
          <w:rFonts w:ascii="新宋体" w:eastAsia="新宋体" w:hAnsi="新宋体"/>
          <w:sz w:val="21"/>
          <w:szCs w:val="21"/>
        </w:rPr>
      </w:pPr>
    </w:p>
    <w:p w:rsidR="009705CA" w:rsidRDefault="009705CA" w:rsidP="003E09DD">
      <w:pPr>
        <w:tabs>
          <w:tab w:val="left" w:pos="7110"/>
        </w:tabs>
        <w:spacing w:line="400" w:lineRule="exact"/>
        <w:jc w:val="both"/>
        <w:rPr>
          <w:rFonts w:ascii="新宋体" w:eastAsia="新宋体" w:hAnsi="新宋体"/>
          <w:sz w:val="21"/>
          <w:szCs w:val="21"/>
        </w:rPr>
      </w:pPr>
    </w:p>
    <w:p w:rsidR="009705CA" w:rsidRDefault="009705CA" w:rsidP="003E09DD">
      <w:pPr>
        <w:tabs>
          <w:tab w:val="left" w:pos="7110"/>
        </w:tabs>
        <w:spacing w:line="400" w:lineRule="exact"/>
        <w:jc w:val="both"/>
        <w:rPr>
          <w:rFonts w:ascii="新宋体" w:eastAsia="新宋体" w:hAnsi="新宋体"/>
          <w:sz w:val="21"/>
          <w:szCs w:val="21"/>
        </w:rPr>
      </w:pPr>
    </w:p>
    <w:p w:rsidR="0026591B" w:rsidRDefault="00AB71A3" w:rsidP="00E46049">
      <w:pPr>
        <w:spacing w:beforeLines="100" w:afterLines="50" w:line="240" w:lineRule="auto"/>
        <w:outlineLvl w:val="2"/>
        <w:rPr>
          <w:rFonts w:ascii="新宋体" w:eastAsia="新宋体" w:hAnsi="新宋体"/>
          <w:b/>
          <w:color w:val="796A4F"/>
          <w:sz w:val="28"/>
          <w:szCs w:val="28"/>
        </w:rPr>
      </w:pPr>
      <w:r>
        <w:rPr>
          <w:rFonts w:hint="eastAsia"/>
          <w:sz w:val="30"/>
          <w:szCs w:val="30"/>
        </w:rPr>
        <w:lastRenderedPageBreak/>
        <w:t>二</w:t>
      </w:r>
      <w:r>
        <w:rPr>
          <w:sz w:val="30"/>
          <w:szCs w:val="30"/>
        </w:rPr>
        <w:t>、</w:t>
      </w:r>
      <w:r>
        <w:rPr>
          <w:rFonts w:ascii="??" w:hAnsi="??" w:hint="eastAsia"/>
          <w:b/>
          <w:bCs/>
          <w:kern w:val="44"/>
          <w:sz w:val="28"/>
          <w:szCs w:val="28"/>
        </w:rPr>
        <w:t>铝产业链供需平衡情况</w:t>
      </w:r>
    </w:p>
    <w:tbl>
      <w:tblPr>
        <w:tblStyle w:val="a6"/>
        <w:tblW w:w="5000" w:type="pct"/>
        <w:tblBorders>
          <w:left w:val="none" w:sz="0" w:space="0" w:color="auto"/>
          <w:right w:val="none" w:sz="0" w:space="0" w:color="auto"/>
          <w:insideH w:val="none" w:sz="0" w:space="0" w:color="auto"/>
          <w:insideV w:val="none" w:sz="0" w:space="0" w:color="auto"/>
        </w:tblBorders>
        <w:tblLook w:val="04A0"/>
      </w:tblPr>
      <w:tblGrid>
        <w:gridCol w:w="8522"/>
      </w:tblGrid>
      <w:tr w:rsidR="0026591B">
        <w:tc>
          <w:tcPr>
            <w:tcW w:w="5000" w:type="pct"/>
          </w:tcPr>
          <w:p w:rsidR="0026591B" w:rsidRDefault="00AB71A3">
            <w:pPr>
              <w:tabs>
                <w:tab w:val="left" w:pos="7110"/>
              </w:tabs>
              <w:spacing w:line="400" w:lineRule="exact"/>
              <w:jc w:val="both"/>
              <w:rPr>
                <w:szCs w:val="21"/>
              </w:rPr>
            </w:pPr>
            <w:r>
              <w:rPr>
                <w:rFonts w:hint="eastAsia"/>
                <w:szCs w:val="21"/>
              </w:rPr>
              <w:t>图</w:t>
            </w:r>
            <w:r>
              <w:rPr>
                <w:rFonts w:hint="eastAsia"/>
                <w:szCs w:val="21"/>
              </w:rPr>
              <w:t>2-1</w:t>
            </w:r>
            <w:r>
              <w:rPr>
                <w:rFonts w:hint="eastAsia"/>
                <w:szCs w:val="21"/>
              </w:rPr>
              <w:t>：国内氧化铝供需平衡表</w:t>
            </w:r>
          </w:p>
        </w:tc>
      </w:tr>
      <w:tr w:rsidR="0026591B" w:rsidTr="00924A77">
        <w:tc>
          <w:tcPr>
            <w:tcW w:w="5000" w:type="pct"/>
          </w:tcPr>
          <w:p w:rsidR="0026591B" w:rsidRDefault="000D5ED1">
            <w:pPr>
              <w:tabs>
                <w:tab w:val="left" w:pos="7110"/>
              </w:tabs>
              <w:spacing w:line="400" w:lineRule="exact"/>
              <w:jc w:val="both"/>
              <w:rPr>
                <w:rFonts w:ascii="STXinwei" w:eastAsia="STXinwei" w:hAnsi="新宋体"/>
                <w:sz w:val="28"/>
                <w:szCs w:val="28"/>
              </w:rPr>
            </w:pPr>
            <w:r>
              <w:rPr>
                <w:rFonts w:ascii="STXinwei" w:eastAsia="STXinwei" w:hAnsi="新宋体"/>
                <w:noProof/>
                <w:sz w:val="28"/>
                <w:szCs w:val="28"/>
              </w:rPr>
              <w:drawing>
                <wp:anchor distT="0" distB="0" distL="114300" distR="114300" simplePos="0" relativeHeight="251672064" behindDoc="0" locked="0" layoutInCell="1" allowOverlap="1">
                  <wp:simplePos x="0" y="0"/>
                  <wp:positionH relativeFrom="column">
                    <wp:posOffset>357046</wp:posOffset>
                  </wp:positionH>
                  <wp:positionV relativeFrom="paragraph">
                    <wp:posOffset>18415</wp:posOffset>
                  </wp:positionV>
                  <wp:extent cx="4758690" cy="3021965"/>
                  <wp:effectExtent l="0" t="0" r="3810" b="698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58690" cy="3021965"/>
                          </a:xfrm>
                          <a:prstGeom prst="rect">
                            <a:avLst/>
                          </a:prstGeom>
                          <a:noFill/>
                        </pic:spPr>
                      </pic:pic>
                    </a:graphicData>
                  </a:graphic>
                </wp:anchor>
              </w:drawing>
            </w:r>
            <w:r w:rsidR="00AB71A3">
              <w:rPr>
                <w:rFonts w:ascii="STXinwei" w:eastAsia="STXinwei" w:hAnsi="新宋体"/>
                <w:sz w:val="28"/>
                <w:szCs w:val="28"/>
              </w:rPr>
              <w:t xml:space="preserve"> </w:t>
            </w:r>
          </w:p>
        </w:tc>
      </w:tr>
    </w:tbl>
    <w:p w:rsidR="0026591B" w:rsidRDefault="0026591B">
      <w:pPr>
        <w:tabs>
          <w:tab w:val="left" w:pos="7110"/>
        </w:tabs>
        <w:spacing w:line="400" w:lineRule="exact"/>
        <w:jc w:val="both"/>
        <w:rPr>
          <w:rFonts w:ascii="新宋体" w:eastAsia="新宋体" w:hAnsi="新宋体"/>
          <w:sz w:val="21"/>
          <w:szCs w:val="21"/>
        </w:rPr>
      </w:pPr>
    </w:p>
    <w:tbl>
      <w:tblPr>
        <w:tblStyle w:val="a6"/>
        <w:tblW w:w="5000" w:type="pct"/>
        <w:tblBorders>
          <w:left w:val="none" w:sz="0" w:space="0" w:color="auto"/>
          <w:right w:val="none" w:sz="0" w:space="0" w:color="auto"/>
          <w:insideH w:val="none" w:sz="0" w:space="0" w:color="auto"/>
          <w:insideV w:val="none" w:sz="0" w:space="0" w:color="auto"/>
        </w:tblBorders>
        <w:tblLook w:val="04A0"/>
      </w:tblPr>
      <w:tblGrid>
        <w:gridCol w:w="8522"/>
      </w:tblGrid>
      <w:tr w:rsidR="0026591B">
        <w:tc>
          <w:tcPr>
            <w:tcW w:w="5000" w:type="pct"/>
          </w:tcPr>
          <w:p w:rsidR="0026591B" w:rsidRDefault="00AB71A3">
            <w:pPr>
              <w:tabs>
                <w:tab w:val="left" w:pos="7110"/>
              </w:tabs>
              <w:spacing w:line="400" w:lineRule="exact"/>
              <w:jc w:val="both"/>
              <w:rPr>
                <w:szCs w:val="21"/>
              </w:rPr>
            </w:pPr>
            <w:r>
              <w:rPr>
                <w:rFonts w:hint="eastAsia"/>
                <w:szCs w:val="21"/>
              </w:rPr>
              <w:t>图</w:t>
            </w:r>
            <w:r w:rsidR="00DB358A">
              <w:rPr>
                <w:rFonts w:hint="eastAsia"/>
                <w:szCs w:val="21"/>
              </w:rPr>
              <w:t>2-2</w:t>
            </w:r>
            <w:r>
              <w:rPr>
                <w:rFonts w:hint="eastAsia"/>
                <w:szCs w:val="21"/>
              </w:rPr>
              <w:t>：国内电解铝供需平衡表</w:t>
            </w:r>
          </w:p>
        </w:tc>
      </w:tr>
      <w:tr w:rsidR="0026591B" w:rsidTr="00924A77">
        <w:tc>
          <w:tcPr>
            <w:tcW w:w="5000" w:type="pct"/>
          </w:tcPr>
          <w:p w:rsidR="0026591B" w:rsidRPr="006E4A34" w:rsidRDefault="000D5ED1">
            <w:pPr>
              <w:tabs>
                <w:tab w:val="left" w:pos="7110"/>
              </w:tabs>
              <w:spacing w:line="400" w:lineRule="exact"/>
              <w:jc w:val="both"/>
              <w:rPr>
                <w:rFonts w:ascii="STXinwei" w:eastAsia="STXinwei" w:hAnsi="新宋体"/>
                <w:sz w:val="28"/>
                <w:szCs w:val="28"/>
              </w:rPr>
            </w:pPr>
            <w:r>
              <w:rPr>
                <w:rFonts w:ascii="STXinwei" w:eastAsia="STXinwei" w:hAnsi="新宋体"/>
                <w:noProof/>
                <w:sz w:val="28"/>
                <w:szCs w:val="28"/>
              </w:rPr>
              <w:drawing>
                <wp:anchor distT="0" distB="0" distL="114300" distR="114300" simplePos="0" relativeHeight="251673088" behindDoc="0" locked="0" layoutInCell="1" allowOverlap="1">
                  <wp:simplePos x="0" y="0"/>
                  <wp:positionH relativeFrom="column">
                    <wp:posOffset>348048</wp:posOffset>
                  </wp:positionH>
                  <wp:positionV relativeFrom="paragraph">
                    <wp:posOffset>0</wp:posOffset>
                  </wp:positionV>
                  <wp:extent cx="4727575" cy="2938145"/>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27575" cy="2938145"/>
                          </a:xfrm>
                          <a:prstGeom prst="rect">
                            <a:avLst/>
                          </a:prstGeom>
                          <a:noFill/>
                        </pic:spPr>
                      </pic:pic>
                    </a:graphicData>
                  </a:graphic>
                </wp:anchor>
              </w:drawing>
            </w:r>
          </w:p>
        </w:tc>
      </w:tr>
      <w:bookmarkEnd w:id="0"/>
    </w:tbl>
    <w:p w:rsidR="00650353" w:rsidRDefault="00650353">
      <w:pPr>
        <w:tabs>
          <w:tab w:val="left" w:pos="7110"/>
        </w:tabs>
        <w:spacing w:line="400" w:lineRule="exact"/>
        <w:jc w:val="both"/>
        <w:rPr>
          <w:rFonts w:ascii="STXinwei" w:eastAsia="STXinwei" w:hAnsi="新宋体"/>
          <w:sz w:val="28"/>
          <w:szCs w:val="28"/>
        </w:rPr>
      </w:pPr>
    </w:p>
    <w:p w:rsidR="0026591B" w:rsidRDefault="00D23377">
      <w:pPr>
        <w:tabs>
          <w:tab w:val="left" w:pos="7110"/>
        </w:tabs>
        <w:spacing w:line="400" w:lineRule="exact"/>
        <w:jc w:val="both"/>
        <w:rPr>
          <w:rFonts w:ascii="STXinwei" w:eastAsia="STXinwei" w:hAnsi="新宋体"/>
          <w:sz w:val="28"/>
          <w:szCs w:val="28"/>
        </w:rPr>
      </w:pPr>
      <w:r>
        <w:rPr>
          <w:rFonts w:ascii="STXinwei" w:eastAsia="STXinwei" w:hAnsi="新宋体" w:hint="eastAsia"/>
          <w:sz w:val="28"/>
          <w:szCs w:val="28"/>
        </w:rPr>
        <w:lastRenderedPageBreak/>
        <w:t>6</w:t>
      </w:r>
      <w:r w:rsidR="00AB71A3">
        <w:rPr>
          <w:rFonts w:ascii="STXinwei" w:eastAsia="STXinwei" w:hAnsi="新宋体" w:hint="eastAsia"/>
          <w:sz w:val="28"/>
          <w:szCs w:val="28"/>
        </w:rPr>
        <w:t>月氧化铝市场</w:t>
      </w:r>
      <w:r w:rsidR="00F82E5D">
        <w:rPr>
          <w:rFonts w:ascii="STXinwei" w:eastAsia="STXinwei" w:hAnsi="新宋体" w:hint="eastAsia"/>
          <w:sz w:val="28"/>
          <w:szCs w:val="28"/>
        </w:rPr>
        <w:t>小幅过剩</w:t>
      </w:r>
    </w:p>
    <w:p w:rsidR="001877F1" w:rsidRDefault="004516FB" w:rsidP="004516FB">
      <w:pPr>
        <w:tabs>
          <w:tab w:val="left" w:pos="7110"/>
        </w:tabs>
        <w:spacing w:line="400" w:lineRule="exact"/>
        <w:jc w:val="both"/>
        <w:rPr>
          <w:rFonts w:ascii="新宋体" w:eastAsia="新宋体" w:hAnsi="新宋体"/>
          <w:sz w:val="21"/>
          <w:szCs w:val="21"/>
        </w:rPr>
      </w:pPr>
      <w:r w:rsidRPr="004516FB">
        <w:rPr>
          <w:rFonts w:ascii="新宋体" w:eastAsia="新宋体" w:hAnsi="新宋体" w:hint="eastAsia"/>
          <w:sz w:val="21"/>
          <w:szCs w:val="21"/>
        </w:rPr>
        <w:t>6月氧化铝实产产量643万吨，净进口氧化铝预计26万吨左右（以海关统计口径为准预测的均值），氧化铝总供应量为669万吨；电解铝产量327万吨，折算氧化铝需求626万吨，非铝行业氧化铝需求增至27万吨左右，6月氧化铝供应数字过剩16万吨左右。7月预计氧化铝产量和进口量以及电解铝产量同步提高，但氧化铝供应增幅仍微观表现更为明显，氧化铝供应保持偏多20万吨左右水平。</w:t>
      </w:r>
    </w:p>
    <w:p w:rsidR="0026591B" w:rsidRDefault="007C1A96" w:rsidP="004516FB">
      <w:pPr>
        <w:tabs>
          <w:tab w:val="left" w:pos="7110"/>
        </w:tabs>
        <w:spacing w:line="400" w:lineRule="exact"/>
        <w:jc w:val="both"/>
        <w:rPr>
          <w:rFonts w:ascii="STXinwei" w:eastAsia="STXinwei" w:hAnsi="新宋体"/>
          <w:sz w:val="28"/>
          <w:szCs w:val="28"/>
        </w:rPr>
      </w:pPr>
      <w:r>
        <w:rPr>
          <w:rFonts w:ascii="STXinwei" w:eastAsia="STXinwei" w:hAnsi="新宋体" w:hint="eastAsia"/>
          <w:sz w:val="28"/>
          <w:szCs w:val="28"/>
        </w:rPr>
        <w:t>6</w:t>
      </w:r>
      <w:r w:rsidR="006D0981">
        <w:rPr>
          <w:rFonts w:ascii="STXinwei" w:eastAsia="STXinwei" w:hAnsi="新宋体" w:hint="eastAsia"/>
          <w:sz w:val="28"/>
          <w:szCs w:val="28"/>
        </w:rPr>
        <w:t>月呈</w:t>
      </w:r>
      <w:r>
        <w:rPr>
          <w:rFonts w:ascii="STXinwei" w:eastAsia="STXinwei" w:hAnsi="新宋体" w:hint="eastAsia"/>
          <w:sz w:val="28"/>
          <w:szCs w:val="28"/>
        </w:rPr>
        <w:t>因云南停产缺口扩大</w:t>
      </w:r>
    </w:p>
    <w:p w:rsidR="00970482" w:rsidRPr="00970482" w:rsidRDefault="00E55488" w:rsidP="00970482">
      <w:pPr>
        <w:tabs>
          <w:tab w:val="left" w:pos="7110"/>
        </w:tabs>
        <w:spacing w:line="400" w:lineRule="exact"/>
        <w:jc w:val="both"/>
        <w:rPr>
          <w:rFonts w:ascii="新宋体" w:eastAsia="新宋体" w:hAnsi="新宋体"/>
          <w:sz w:val="21"/>
          <w:szCs w:val="21"/>
        </w:rPr>
      </w:pPr>
      <w:r w:rsidRPr="00E55488">
        <w:rPr>
          <w:rFonts w:ascii="新宋体" w:eastAsia="新宋体" w:hAnsi="新宋体" w:hint="eastAsia"/>
          <w:sz w:val="21"/>
          <w:szCs w:val="21"/>
        </w:rPr>
        <w:t>预计6月原铝产量327万吨，净进口5万吨，消费量356万吨，当月理论供应短缺24万吨。对于后市，虽然云南地区水电发电明显增加，但从主要铝企反馈来看，短期内复产速度较为缓慢，新投产能初期也无较大产量贡献，加上启槽过程中的灌铝消耗，预计7月份本地流入市场的原铝产量难有增加，全行业产量增量主要来自投复产方面；需求端来看7月仍属传统消费淡季，房地产施工受天气条件限制，汽车生产受芯片短缺制约等，都不利于铝材需求释放。进口方面，从6月份进口盈亏模型来看，6月原铝进口或进一步下滑。值得一提的是，首批抛储铝锭将在月初竞价成交，5万吨的投放量将稍微修复供应端的缺失。</w:t>
      </w:r>
    </w:p>
    <w:p w:rsidR="0026591B" w:rsidRPr="00AF6FB2" w:rsidRDefault="00AB71A3" w:rsidP="00E46049">
      <w:pPr>
        <w:spacing w:beforeLines="100" w:afterLines="50" w:line="240" w:lineRule="auto"/>
        <w:outlineLvl w:val="2"/>
        <w:rPr>
          <w:b/>
          <w:bCs/>
          <w:sz w:val="28"/>
          <w:szCs w:val="28"/>
        </w:rPr>
      </w:pPr>
      <w:r w:rsidRPr="00AF6FB2">
        <w:rPr>
          <w:rFonts w:hint="eastAsia"/>
          <w:b/>
          <w:bCs/>
          <w:sz w:val="28"/>
          <w:szCs w:val="28"/>
        </w:rPr>
        <w:t>三</w:t>
      </w:r>
      <w:r w:rsidRPr="00AF6FB2">
        <w:rPr>
          <w:b/>
          <w:bCs/>
          <w:sz w:val="28"/>
          <w:szCs w:val="28"/>
        </w:rPr>
        <w:t>、</w:t>
      </w:r>
      <w:r w:rsidRPr="00AF6FB2">
        <w:rPr>
          <w:rFonts w:hint="eastAsia"/>
          <w:b/>
          <w:bCs/>
          <w:sz w:val="28"/>
          <w:szCs w:val="28"/>
        </w:rPr>
        <w:t>价格运行趋势</w:t>
      </w:r>
    </w:p>
    <w:p w:rsidR="0026591B" w:rsidRDefault="00502C74">
      <w:pPr>
        <w:tabs>
          <w:tab w:val="left" w:pos="7110"/>
        </w:tabs>
        <w:spacing w:line="400" w:lineRule="exact"/>
        <w:jc w:val="both"/>
        <w:rPr>
          <w:rFonts w:ascii="STXinwei" w:eastAsia="STXinwei" w:hAnsi="新宋体"/>
          <w:sz w:val="28"/>
          <w:szCs w:val="28"/>
        </w:rPr>
      </w:pPr>
      <w:r>
        <w:rPr>
          <w:rFonts w:ascii="STXinwei" w:eastAsia="STXinwei" w:hAnsi="新宋体" w:hint="eastAsia"/>
          <w:sz w:val="28"/>
          <w:szCs w:val="28"/>
        </w:rPr>
        <w:t>6</w:t>
      </w:r>
      <w:r w:rsidR="00AB71A3">
        <w:rPr>
          <w:rFonts w:ascii="STXinwei" w:eastAsia="STXinwei" w:hAnsi="新宋体" w:hint="eastAsia"/>
          <w:sz w:val="28"/>
          <w:szCs w:val="28"/>
        </w:rPr>
        <w:t>月氧化铝</w:t>
      </w:r>
      <w:r w:rsidR="00A53F22">
        <w:rPr>
          <w:rFonts w:ascii="STXinwei" w:eastAsia="STXinwei" w:hAnsi="新宋体" w:hint="eastAsia"/>
          <w:sz w:val="28"/>
          <w:szCs w:val="28"/>
        </w:rPr>
        <w:t>价格</w:t>
      </w:r>
      <w:r>
        <w:rPr>
          <w:rFonts w:ascii="STXinwei" w:eastAsia="STXinwei" w:hAnsi="新宋体" w:hint="eastAsia"/>
          <w:sz w:val="28"/>
          <w:szCs w:val="28"/>
        </w:rPr>
        <w:t>小幅上行</w:t>
      </w:r>
    </w:p>
    <w:p w:rsidR="00CD0BDD" w:rsidRDefault="00CD0BDD" w:rsidP="00CD0BDD">
      <w:pPr>
        <w:tabs>
          <w:tab w:val="left" w:pos="7110"/>
        </w:tabs>
        <w:spacing w:line="400" w:lineRule="exact"/>
        <w:jc w:val="both"/>
        <w:rPr>
          <w:rFonts w:ascii="新宋体" w:eastAsia="新宋体" w:hAnsi="新宋体"/>
          <w:sz w:val="21"/>
          <w:szCs w:val="21"/>
        </w:rPr>
      </w:pPr>
      <w:r w:rsidRPr="00CD0BDD">
        <w:rPr>
          <w:rFonts w:ascii="新宋体" w:eastAsia="新宋体" w:hAnsi="新宋体" w:hint="eastAsia"/>
          <w:sz w:val="21"/>
          <w:szCs w:val="21"/>
        </w:rPr>
        <w:t>晋豫区域氧化铝现货价格自2400元向 2450元方向上移的过程中，尤其是主要氧化铝企业基本处于盈亏平衡线时，主要做市力量较为积极有效的推动价格相对明显上移，并带动贸易商相对活跃入市，刚需成交活跃出现。当晋豫区域氧化铝现货价格自2450元向2500元方向上移时，主要氧化铝企业包括行业开始呈现少量利润，市场主要矛盾自盈亏开始向供需转移，做市推动效果下降，做市力量逐渐开始观望。当前晋豫区域行业成本基本处于2430元左右，考虑即期现货销售和长单下浮执行的价格均在2470</w:t>
      </w:r>
      <w:r>
        <w:rPr>
          <w:rFonts w:ascii="新宋体" w:eastAsia="新宋体" w:hAnsi="新宋体" w:hint="eastAsia"/>
          <w:sz w:val="21"/>
          <w:szCs w:val="21"/>
        </w:rPr>
        <w:t>-</w:t>
      </w:r>
      <w:r w:rsidRPr="00CD0BDD">
        <w:rPr>
          <w:rFonts w:ascii="新宋体" w:eastAsia="新宋体" w:hAnsi="新宋体" w:hint="eastAsia"/>
          <w:sz w:val="21"/>
          <w:szCs w:val="21"/>
        </w:rPr>
        <w:t>2480元之间，行业利润呈现，市场的关注点开始自氧化铝企业盈亏平衡甚至亏损开始向中长期的趋势性过剩转移，关注矛盾主要集中在未来复产的绝对增加量；超产和新投产的绝对增加量以及进口潜在的增加量等等，贸易活跃度开始有所下降。但是需要注意的是，当前氧化铝行业的利润水平依然较为微妙，氧化铝市场上方有供应趋势性增加阻力，下方有成本趋势性上移支撑。</w:t>
      </w:r>
    </w:p>
    <w:p w:rsidR="0026591B" w:rsidRDefault="00C47423" w:rsidP="00CD0BDD">
      <w:pPr>
        <w:tabs>
          <w:tab w:val="left" w:pos="7110"/>
        </w:tabs>
        <w:spacing w:line="400" w:lineRule="exact"/>
        <w:jc w:val="both"/>
        <w:rPr>
          <w:rFonts w:ascii="STXinwei" w:eastAsia="STXinwei" w:hAnsi="新宋体"/>
          <w:sz w:val="28"/>
          <w:szCs w:val="28"/>
        </w:rPr>
      </w:pPr>
      <w:r>
        <w:rPr>
          <w:rFonts w:ascii="STXinwei" w:eastAsia="STXinwei" w:hAnsi="新宋体" w:hint="eastAsia"/>
          <w:sz w:val="28"/>
          <w:szCs w:val="28"/>
        </w:rPr>
        <w:t>6</w:t>
      </w:r>
      <w:r w:rsidR="00AB71A3">
        <w:rPr>
          <w:rFonts w:ascii="STXinwei" w:eastAsia="STXinwei" w:hAnsi="新宋体" w:hint="eastAsia"/>
          <w:sz w:val="28"/>
          <w:szCs w:val="28"/>
        </w:rPr>
        <w:t>月</w:t>
      </w:r>
      <w:r w:rsidR="00FA4241">
        <w:rPr>
          <w:rFonts w:ascii="STXinwei" w:eastAsia="STXinwei" w:hAnsi="新宋体" w:hint="eastAsia"/>
          <w:sz w:val="28"/>
          <w:szCs w:val="28"/>
        </w:rPr>
        <w:t>电解铝价格</w:t>
      </w:r>
      <w:r w:rsidR="00567800">
        <w:rPr>
          <w:rFonts w:ascii="STXinwei" w:eastAsia="STXinwei" w:hAnsi="新宋体" w:hint="eastAsia"/>
          <w:sz w:val="28"/>
          <w:szCs w:val="28"/>
        </w:rPr>
        <w:t>大幅震荡</w:t>
      </w:r>
    </w:p>
    <w:p w:rsidR="000C79AC" w:rsidRPr="000C79AC" w:rsidRDefault="000C79AC" w:rsidP="000C79AC">
      <w:pPr>
        <w:tabs>
          <w:tab w:val="left" w:pos="7110"/>
        </w:tabs>
        <w:spacing w:line="400" w:lineRule="exact"/>
        <w:jc w:val="both"/>
        <w:rPr>
          <w:rFonts w:ascii="新宋体" w:eastAsia="新宋体" w:hAnsi="新宋体"/>
          <w:sz w:val="21"/>
          <w:szCs w:val="21"/>
        </w:rPr>
      </w:pPr>
      <w:r w:rsidRPr="000C79AC">
        <w:rPr>
          <w:rFonts w:ascii="新宋体" w:eastAsia="新宋体" w:hAnsi="新宋体" w:hint="eastAsia"/>
          <w:sz w:val="21"/>
          <w:szCs w:val="21"/>
        </w:rPr>
        <w:t>6月期铝外盘均价为2446美元/吨，较上月均价下跌12美元/吨，沪铝主力收盘均价为18620元/吨，较上月均价下跌591元/吨。本月月初美国经济保持强劲复苏尽头，但随着美欧通胀情况均超预期，美联储计划逐步撤出公司信用贷款便利工具，削弱市场对宏观流动性宽松环</w:t>
      </w:r>
      <w:r w:rsidRPr="000C79AC">
        <w:rPr>
          <w:rFonts w:ascii="新宋体" w:eastAsia="新宋体" w:hAnsi="新宋体" w:hint="eastAsia"/>
          <w:sz w:val="21"/>
          <w:szCs w:val="21"/>
        </w:rPr>
        <w:lastRenderedPageBreak/>
        <w:t>境预期，叠加临近月末美联储在6月会议再度表述偏鹰派，且示2023年底前会有两次加息，市场再次交易流动性缩紧预期，美元飙升，外盘有色集体承压。沪铝方面本月震荡运行。本月前期中国铝价在政策面的调控下有所弱势，但随着国储抛储消息落地，抛储细则的公布，市场利空消息出尽，以及供应仍旧受限，需求亦尚可，导致铝价仍旧高位运行。</w:t>
      </w:r>
    </w:p>
    <w:p w:rsidR="00952BFA" w:rsidRPr="00952BFA" w:rsidRDefault="000C79AC" w:rsidP="000C79AC">
      <w:pPr>
        <w:tabs>
          <w:tab w:val="left" w:pos="7110"/>
        </w:tabs>
        <w:spacing w:line="400" w:lineRule="exact"/>
        <w:jc w:val="both"/>
        <w:rPr>
          <w:rFonts w:ascii="新宋体" w:eastAsia="新宋体" w:hAnsi="新宋体"/>
          <w:sz w:val="21"/>
          <w:szCs w:val="21"/>
        </w:rPr>
      </w:pPr>
      <w:r w:rsidRPr="000C79AC">
        <w:rPr>
          <w:rFonts w:ascii="新宋体" w:eastAsia="新宋体" w:hAnsi="新宋体" w:hint="eastAsia"/>
          <w:sz w:val="21"/>
          <w:szCs w:val="21"/>
        </w:rPr>
        <w:t>6月长江现货均价为18628元/吨，较上月下跌580元/吨，南储现货均价为18814元/吨，较上月下跌495元/吨。本月月初云南电力供应紧张、导致省内电解铝企业纷纷减产，后期虽然云南省能源局批复了关于进一步扩大云南电网有序用电规模的文件，但据百川盈孚了解，当前云南省电解铝企业并未有完全恢复产能供应，6月电解铝日产量或将下降。需求端，随着消费淡季临近，加工企业订单量已出现边际弱势。截至目前，现货贸易市场整体成交不佳，持货商虽然积极出货，但需方基本以压价按需接货为主。</w:t>
      </w:r>
    </w:p>
    <w:sectPr w:rsidR="00952BFA" w:rsidRPr="00952BFA" w:rsidSect="008A32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6DA" w:rsidRDefault="00AF66DA" w:rsidP="00E46049">
      <w:pPr>
        <w:spacing w:after="0" w:line="240" w:lineRule="auto"/>
      </w:pPr>
      <w:r>
        <w:separator/>
      </w:r>
    </w:p>
  </w:endnote>
  <w:endnote w:type="continuationSeparator" w:id="1">
    <w:p w:rsidR="00AF66DA" w:rsidRDefault="00AF66DA" w:rsidP="00E460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新宋体">
    <w:panose1 w:val="02010609030101010101"/>
    <w:charset w:val="86"/>
    <w:family w:val="modern"/>
    <w:pitch w:val="fixed"/>
    <w:sig w:usb0="00000003" w:usb1="080E0000" w:usb2="00000010" w:usb3="00000000" w:csb0="00040001" w:csb1="00000000"/>
  </w:font>
  <w:font w:name="??">
    <w:altName w:val="Times New Roman"/>
    <w:charset w:val="00"/>
    <w:family w:val="roman"/>
    <w:pitch w:val="default"/>
    <w:sig w:usb0="00000000" w:usb1="00000000" w:usb2="00000000" w:usb3="00000000" w:csb0="00000000" w:csb1="00000000"/>
  </w:font>
  <w:font w:name="STXinw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6DA" w:rsidRDefault="00AF66DA" w:rsidP="00E46049">
      <w:pPr>
        <w:spacing w:after="0" w:line="240" w:lineRule="auto"/>
      </w:pPr>
      <w:r>
        <w:separator/>
      </w:r>
    </w:p>
  </w:footnote>
  <w:footnote w:type="continuationSeparator" w:id="1">
    <w:p w:rsidR="00AF66DA" w:rsidRDefault="00AF66DA" w:rsidP="00E4604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5B5E"/>
    <w:rsid w:val="00002CE6"/>
    <w:rsid w:val="00004095"/>
    <w:rsid w:val="000054F0"/>
    <w:rsid w:val="00006009"/>
    <w:rsid w:val="0000753A"/>
    <w:rsid w:val="0001308B"/>
    <w:rsid w:val="00026BF5"/>
    <w:rsid w:val="000401CA"/>
    <w:rsid w:val="00044654"/>
    <w:rsid w:val="00046124"/>
    <w:rsid w:val="000517E4"/>
    <w:rsid w:val="00061150"/>
    <w:rsid w:val="00064003"/>
    <w:rsid w:val="0007245D"/>
    <w:rsid w:val="000875F5"/>
    <w:rsid w:val="00093F5F"/>
    <w:rsid w:val="000A0614"/>
    <w:rsid w:val="000A2C8B"/>
    <w:rsid w:val="000A47B7"/>
    <w:rsid w:val="000B4E63"/>
    <w:rsid w:val="000C1CBA"/>
    <w:rsid w:val="000C6E04"/>
    <w:rsid w:val="000C79AC"/>
    <w:rsid w:val="000D29C9"/>
    <w:rsid w:val="000D4BCC"/>
    <w:rsid w:val="000D54F6"/>
    <w:rsid w:val="000D5ED1"/>
    <w:rsid w:val="000E2C52"/>
    <w:rsid w:val="000F4354"/>
    <w:rsid w:val="000F5B85"/>
    <w:rsid w:val="00116C08"/>
    <w:rsid w:val="0012278B"/>
    <w:rsid w:val="00127E2A"/>
    <w:rsid w:val="00146132"/>
    <w:rsid w:val="001472DC"/>
    <w:rsid w:val="00151D45"/>
    <w:rsid w:val="00161160"/>
    <w:rsid w:val="00161692"/>
    <w:rsid w:val="001622D0"/>
    <w:rsid w:val="00164E27"/>
    <w:rsid w:val="001877F1"/>
    <w:rsid w:val="001A5F7A"/>
    <w:rsid w:val="001A6E8D"/>
    <w:rsid w:val="001A7078"/>
    <w:rsid w:val="001B7113"/>
    <w:rsid w:val="001C4885"/>
    <w:rsid w:val="001C75B9"/>
    <w:rsid w:val="001D14C6"/>
    <w:rsid w:val="001D5D3C"/>
    <w:rsid w:val="00202266"/>
    <w:rsid w:val="00213D06"/>
    <w:rsid w:val="0021423A"/>
    <w:rsid w:val="002144F9"/>
    <w:rsid w:val="00221715"/>
    <w:rsid w:val="002254E8"/>
    <w:rsid w:val="002316C4"/>
    <w:rsid w:val="00240EF6"/>
    <w:rsid w:val="00241958"/>
    <w:rsid w:val="00242F52"/>
    <w:rsid w:val="00243D3D"/>
    <w:rsid w:val="00255C41"/>
    <w:rsid w:val="002573EA"/>
    <w:rsid w:val="002620EA"/>
    <w:rsid w:val="0026591B"/>
    <w:rsid w:val="002814A6"/>
    <w:rsid w:val="00282C0A"/>
    <w:rsid w:val="0028344D"/>
    <w:rsid w:val="00286441"/>
    <w:rsid w:val="00290D6B"/>
    <w:rsid w:val="002A6E05"/>
    <w:rsid w:val="002A715B"/>
    <w:rsid w:val="002B02BE"/>
    <w:rsid w:val="002B33FE"/>
    <w:rsid w:val="002B443D"/>
    <w:rsid w:val="002C155F"/>
    <w:rsid w:val="002C3F44"/>
    <w:rsid w:val="002D4F32"/>
    <w:rsid w:val="002E2BCA"/>
    <w:rsid w:val="002F616C"/>
    <w:rsid w:val="002F7CBB"/>
    <w:rsid w:val="00313FB3"/>
    <w:rsid w:val="0032357C"/>
    <w:rsid w:val="003266E1"/>
    <w:rsid w:val="00332F1E"/>
    <w:rsid w:val="003355EB"/>
    <w:rsid w:val="00337719"/>
    <w:rsid w:val="00341FC9"/>
    <w:rsid w:val="00343CE3"/>
    <w:rsid w:val="00344321"/>
    <w:rsid w:val="003457A7"/>
    <w:rsid w:val="003473B3"/>
    <w:rsid w:val="00350BFC"/>
    <w:rsid w:val="00363E9E"/>
    <w:rsid w:val="003654D3"/>
    <w:rsid w:val="0037448E"/>
    <w:rsid w:val="00381712"/>
    <w:rsid w:val="00381D34"/>
    <w:rsid w:val="00381F8B"/>
    <w:rsid w:val="003903E2"/>
    <w:rsid w:val="003938B2"/>
    <w:rsid w:val="00393E52"/>
    <w:rsid w:val="00396091"/>
    <w:rsid w:val="00396E79"/>
    <w:rsid w:val="003A038A"/>
    <w:rsid w:val="003A6D9A"/>
    <w:rsid w:val="003A7056"/>
    <w:rsid w:val="003B78DF"/>
    <w:rsid w:val="003C1249"/>
    <w:rsid w:val="003C54D4"/>
    <w:rsid w:val="003D15C7"/>
    <w:rsid w:val="003D4DF9"/>
    <w:rsid w:val="003D60E0"/>
    <w:rsid w:val="003E09DD"/>
    <w:rsid w:val="003E4F55"/>
    <w:rsid w:val="003E7BED"/>
    <w:rsid w:val="003F2421"/>
    <w:rsid w:val="00400651"/>
    <w:rsid w:val="004017A7"/>
    <w:rsid w:val="00405A2B"/>
    <w:rsid w:val="00405C40"/>
    <w:rsid w:val="00423209"/>
    <w:rsid w:val="004333F1"/>
    <w:rsid w:val="00433419"/>
    <w:rsid w:val="0044405C"/>
    <w:rsid w:val="00444421"/>
    <w:rsid w:val="00447555"/>
    <w:rsid w:val="00451079"/>
    <w:rsid w:val="004516FB"/>
    <w:rsid w:val="00453A20"/>
    <w:rsid w:val="00461D9B"/>
    <w:rsid w:val="00463451"/>
    <w:rsid w:val="0046386F"/>
    <w:rsid w:val="00467611"/>
    <w:rsid w:val="00470368"/>
    <w:rsid w:val="004724FD"/>
    <w:rsid w:val="0047721A"/>
    <w:rsid w:val="00477CD7"/>
    <w:rsid w:val="00482FC8"/>
    <w:rsid w:val="004847A0"/>
    <w:rsid w:val="00484E6F"/>
    <w:rsid w:val="00486FF3"/>
    <w:rsid w:val="0048737A"/>
    <w:rsid w:val="00487C40"/>
    <w:rsid w:val="00494389"/>
    <w:rsid w:val="004C37EA"/>
    <w:rsid w:val="004D7C73"/>
    <w:rsid w:val="004E5076"/>
    <w:rsid w:val="004F0B9B"/>
    <w:rsid w:val="004F7318"/>
    <w:rsid w:val="00502C74"/>
    <w:rsid w:val="005036BC"/>
    <w:rsid w:val="00504E9D"/>
    <w:rsid w:val="0051027B"/>
    <w:rsid w:val="00510BCA"/>
    <w:rsid w:val="00512735"/>
    <w:rsid w:val="00514F37"/>
    <w:rsid w:val="00516B87"/>
    <w:rsid w:val="0051735E"/>
    <w:rsid w:val="005174CA"/>
    <w:rsid w:val="0052504D"/>
    <w:rsid w:val="00541107"/>
    <w:rsid w:val="005434E9"/>
    <w:rsid w:val="0054542E"/>
    <w:rsid w:val="005510E8"/>
    <w:rsid w:val="00561F15"/>
    <w:rsid w:val="0056509A"/>
    <w:rsid w:val="00567800"/>
    <w:rsid w:val="005769C4"/>
    <w:rsid w:val="00581325"/>
    <w:rsid w:val="005830B7"/>
    <w:rsid w:val="00595BED"/>
    <w:rsid w:val="005A1877"/>
    <w:rsid w:val="005B537F"/>
    <w:rsid w:val="005B7E95"/>
    <w:rsid w:val="005D02C7"/>
    <w:rsid w:val="005D4DB3"/>
    <w:rsid w:val="005D6F5A"/>
    <w:rsid w:val="005D753D"/>
    <w:rsid w:val="005E6A0F"/>
    <w:rsid w:val="005F3A25"/>
    <w:rsid w:val="0062577F"/>
    <w:rsid w:val="006304EB"/>
    <w:rsid w:val="006370BB"/>
    <w:rsid w:val="006406A3"/>
    <w:rsid w:val="006414DF"/>
    <w:rsid w:val="0064348B"/>
    <w:rsid w:val="00650353"/>
    <w:rsid w:val="00653DA0"/>
    <w:rsid w:val="00664254"/>
    <w:rsid w:val="00672164"/>
    <w:rsid w:val="00675771"/>
    <w:rsid w:val="00682195"/>
    <w:rsid w:val="006915FF"/>
    <w:rsid w:val="00693768"/>
    <w:rsid w:val="00695035"/>
    <w:rsid w:val="00696544"/>
    <w:rsid w:val="006A0E5D"/>
    <w:rsid w:val="006A56B2"/>
    <w:rsid w:val="006B2E82"/>
    <w:rsid w:val="006C34AC"/>
    <w:rsid w:val="006C3663"/>
    <w:rsid w:val="006C6FA9"/>
    <w:rsid w:val="006D0981"/>
    <w:rsid w:val="006D256F"/>
    <w:rsid w:val="006E17D7"/>
    <w:rsid w:val="006E22C5"/>
    <w:rsid w:val="006E4A34"/>
    <w:rsid w:val="006E4F89"/>
    <w:rsid w:val="006E68B3"/>
    <w:rsid w:val="006F2D85"/>
    <w:rsid w:val="006F74E4"/>
    <w:rsid w:val="007054D2"/>
    <w:rsid w:val="007124CA"/>
    <w:rsid w:val="00714FF6"/>
    <w:rsid w:val="007208E4"/>
    <w:rsid w:val="007221A5"/>
    <w:rsid w:val="007222E0"/>
    <w:rsid w:val="00726F15"/>
    <w:rsid w:val="00730CDD"/>
    <w:rsid w:val="00731852"/>
    <w:rsid w:val="00732812"/>
    <w:rsid w:val="00743DC6"/>
    <w:rsid w:val="00755491"/>
    <w:rsid w:val="00773C96"/>
    <w:rsid w:val="00780FF5"/>
    <w:rsid w:val="00785B5E"/>
    <w:rsid w:val="007862CC"/>
    <w:rsid w:val="00787D2E"/>
    <w:rsid w:val="007A0876"/>
    <w:rsid w:val="007A0A98"/>
    <w:rsid w:val="007A19C1"/>
    <w:rsid w:val="007A51BA"/>
    <w:rsid w:val="007A5AC8"/>
    <w:rsid w:val="007B5961"/>
    <w:rsid w:val="007B741A"/>
    <w:rsid w:val="007C1A96"/>
    <w:rsid w:val="007C35D7"/>
    <w:rsid w:val="007D164B"/>
    <w:rsid w:val="007D3D59"/>
    <w:rsid w:val="007D7164"/>
    <w:rsid w:val="007E5C11"/>
    <w:rsid w:val="007F0818"/>
    <w:rsid w:val="007F5B5B"/>
    <w:rsid w:val="00820754"/>
    <w:rsid w:val="008250C5"/>
    <w:rsid w:val="00835482"/>
    <w:rsid w:val="00845204"/>
    <w:rsid w:val="0085744B"/>
    <w:rsid w:val="00880500"/>
    <w:rsid w:val="00881416"/>
    <w:rsid w:val="00883BA2"/>
    <w:rsid w:val="00886490"/>
    <w:rsid w:val="00886B81"/>
    <w:rsid w:val="00890E11"/>
    <w:rsid w:val="0089577A"/>
    <w:rsid w:val="00896A7B"/>
    <w:rsid w:val="008A136F"/>
    <w:rsid w:val="008A3266"/>
    <w:rsid w:val="008A3389"/>
    <w:rsid w:val="008A3AEC"/>
    <w:rsid w:val="008A7580"/>
    <w:rsid w:val="008B208A"/>
    <w:rsid w:val="008B73BE"/>
    <w:rsid w:val="008C309C"/>
    <w:rsid w:val="008C61B7"/>
    <w:rsid w:val="008C7744"/>
    <w:rsid w:val="008E152F"/>
    <w:rsid w:val="008E4A72"/>
    <w:rsid w:val="008E60A0"/>
    <w:rsid w:val="008E7D81"/>
    <w:rsid w:val="00904822"/>
    <w:rsid w:val="009057A4"/>
    <w:rsid w:val="00912FDC"/>
    <w:rsid w:val="00924A77"/>
    <w:rsid w:val="00927A1D"/>
    <w:rsid w:val="0093158B"/>
    <w:rsid w:val="00931FBA"/>
    <w:rsid w:val="00940087"/>
    <w:rsid w:val="00947B19"/>
    <w:rsid w:val="00947B9D"/>
    <w:rsid w:val="00952815"/>
    <w:rsid w:val="00952BFA"/>
    <w:rsid w:val="0095553F"/>
    <w:rsid w:val="009567D5"/>
    <w:rsid w:val="00960994"/>
    <w:rsid w:val="00970482"/>
    <w:rsid w:val="009705CA"/>
    <w:rsid w:val="00971C5D"/>
    <w:rsid w:val="009750F5"/>
    <w:rsid w:val="00975F9D"/>
    <w:rsid w:val="00981302"/>
    <w:rsid w:val="00984401"/>
    <w:rsid w:val="009866DE"/>
    <w:rsid w:val="009874BC"/>
    <w:rsid w:val="009935A7"/>
    <w:rsid w:val="009B1157"/>
    <w:rsid w:val="009B4B5A"/>
    <w:rsid w:val="009D1020"/>
    <w:rsid w:val="009D10F1"/>
    <w:rsid w:val="009D525D"/>
    <w:rsid w:val="009D73AB"/>
    <w:rsid w:val="009E4F65"/>
    <w:rsid w:val="009E5155"/>
    <w:rsid w:val="009F1063"/>
    <w:rsid w:val="00A00C12"/>
    <w:rsid w:val="00A109F4"/>
    <w:rsid w:val="00A13BE6"/>
    <w:rsid w:val="00A15EC1"/>
    <w:rsid w:val="00A15FA5"/>
    <w:rsid w:val="00A22C4B"/>
    <w:rsid w:val="00A2791A"/>
    <w:rsid w:val="00A329F8"/>
    <w:rsid w:val="00A3591C"/>
    <w:rsid w:val="00A374DE"/>
    <w:rsid w:val="00A53F22"/>
    <w:rsid w:val="00A547C0"/>
    <w:rsid w:val="00A57826"/>
    <w:rsid w:val="00A674EE"/>
    <w:rsid w:val="00A70834"/>
    <w:rsid w:val="00A75611"/>
    <w:rsid w:val="00A962EA"/>
    <w:rsid w:val="00A9799A"/>
    <w:rsid w:val="00AA0681"/>
    <w:rsid w:val="00AA47E8"/>
    <w:rsid w:val="00AA7171"/>
    <w:rsid w:val="00AB71A3"/>
    <w:rsid w:val="00AD14D9"/>
    <w:rsid w:val="00AD194A"/>
    <w:rsid w:val="00AD6E15"/>
    <w:rsid w:val="00AD6E94"/>
    <w:rsid w:val="00AE0FD9"/>
    <w:rsid w:val="00AE641A"/>
    <w:rsid w:val="00AF1E07"/>
    <w:rsid w:val="00AF468E"/>
    <w:rsid w:val="00AF66DA"/>
    <w:rsid w:val="00AF6FB2"/>
    <w:rsid w:val="00AF70D2"/>
    <w:rsid w:val="00B021FE"/>
    <w:rsid w:val="00B03F3D"/>
    <w:rsid w:val="00B040EF"/>
    <w:rsid w:val="00B046D2"/>
    <w:rsid w:val="00B11CBB"/>
    <w:rsid w:val="00B17908"/>
    <w:rsid w:val="00B22D08"/>
    <w:rsid w:val="00B26C22"/>
    <w:rsid w:val="00B30448"/>
    <w:rsid w:val="00B3396D"/>
    <w:rsid w:val="00B42D93"/>
    <w:rsid w:val="00B430F1"/>
    <w:rsid w:val="00B4446C"/>
    <w:rsid w:val="00B457A9"/>
    <w:rsid w:val="00B5532C"/>
    <w:rsid w:val="00B6184C"/>
    <w:rsid w:val="00B64AB1"/>
    <w:rsid w:val="00B65339"/>
    <w:rsid w:val="00B675EE"/>
    <w:rsid w:val="00B87434"/>
    <w:rsid w:val="00BA3842"/>
    <w:rsid w:val="00BB0CB6"/>
    <w:rsid w:val="00BB1201"/>
    <w:rsid w:val="00BB2157"/>
    <w:rsid w:val="00BB21CD"/>
    <w:rsid w:val="00BB3452"/>
    <w:rsid w:val="00BB7292"/>
    <w:rsid w:val="00BC7F7C"/>
    <w:rsid w:val="00BD4010"/>
    <w:rsid w:val="00BE08B8"/>
    <w:rsid w:val="00BE0F21"/>
    <w:rsid w:val="00BE3734"/>
    <w:rsid w:val="00BF243B"/>
    <w:rsid w:val="00C02054"/>
    <w:rsid w:val="00C05556"/>
    <w:rsid w:val="00C135C4"/>
    <w:rsid w:val="00C136A8"/>
    <w:rsid w:val="00C30CC1"/>
    <w:rsid w:val="00C33AA7"/>
    <w:rsid w:val="00C47423"/>
    <w:rsid w:val="00C50D76"/>
    <w:rsid w:val="00C728EB"/>
    <w:rsid w:val="00C7298F"/>
    <w:rsid w:val="00C7415E"/>
    <w:rsid w:val="00C911DF"/>
    <w:rsid w:val="00CA137E"/>
    <w:rsid w:val="00CA55C4"/>
    <w:rsid w:val="00CC0C2B"/>
    <w:rsid w:val="00CD0BDD"/>
    <w:rsid w:val="00CD7012"/>
    <w:rsid w:val="00CE0934"/>
    <w:rsid w:val="00CE2804"/>
    <w:rsid w:val="00CE2C26"/>
    <w:rsid w:val="00CE2EC4"/>
    <w:rsid w:val="00CE49D0"/>
    <w:rsid w:val="00CE52CC"/>
    <w:rsid w:val="00CE6D28"/>
    <w:rsid w:val="00CF0738"/>
    <w:rsid w:val="00CF07B2"/>
    <w:rsid w:val="00CF1A6F"/>
    <w:rsid w:val="00CF365B"/>
    <w:rsid w:val="00D01BF2"/>
    <w:rsid w:val="00D03E85"/>
    <w:rsid w:val="00D12232"/>
    <w:rsid w:val="00D174FB"/>
    <w:rsid w:val="00D17BDE"/>
    <w:rsid w:val="00D23377"/>
    <w:rsid w:val="00D251C1"/>
    <w:rsid w:val="00D3234D"/>
    <w:rsid w:val="00D36DB4"/>
    <w:rsid w:val="00D36E0F"/>
    <w:rsid w:val="00D40E69"/>
    <w:rsid w:val="00D426E1"/>
    <w:rsid w:val="00D45396"/>
    <w:rsid w:val="00D46FD0"/>
    <w:rsid w:val="00D50314"/>
    <w:rsid w:val="00D51E31"/>
    <w:rsid w:val="00D63185"/>
    <w:rsid w:val="00D64951"/>
    <w:rsid w:val="00D71E5D"/>
    <w:rsid w:val="00D756FF"/>
    <w:rsid w:val="00D85F2D"/>
    <w:rsid w:val="00D85F36"/>
    <w:rsid w:val="00D87477"/>
    <w:rsid w:val="00D97663"/>
    <w:rsid w:val="00D97DA5"/>
    <w:rsid w:val="00DA2AA3"/>
    <w:rsid w:val="00DA3B68"/>
    <w:rsid w:val="00DA5A3A"/>
    <w:rsid w:val="00DB1793"/>
    <w:rsid w:val="00DB358A"/>
    <w:rsid w:val="00DC3BC0"/>
    <w:rsid w:val="00DD4BBE"/>
    <w:rsid w:val="00DD521D"/>
    <w:rsid w:val="00DD684B"/>
    <w:rsid w:val="00DE2D2D"/>
    <w:rsid w:val="00DE4B6C"/>
    <w:rsid w:val="00DE6344"/>
    <w:rsid w:val="00DE6C84"/>
    <w:rsid w:val="00DF0BAE"/>
    <w:rsid w:val="00DF43AE"/>
    <w:rsid w:val="00DF48DE"/>
    <w:rsid w:val="00E0140D"/>
    <w:rsid w:val="00E0195D"/>
    <w:rsid w:val="00E14EF4"/>
    <w:rsid w:val="00E25F8F"/>
    <w:rsid w:val="00E4128D"/>
    <w:rsid w:val="00E46049"/>
    <w:rsid w:val="00E55488"/>
    <w:rsid w:val="00E554EC"/>
    <w:rsid w:val="00E65387"/>
    <w:rsid w:val="00E70822"/>
    <w:rsid w:val="00E81CEF"/>
    <w:rsid w:val="00E92815"/>
    <w:rsid w:val="00E92B95"/>
    <w:rsid w:val="00E96237"/>
    <w:rsid w:val="00EA0615"/>
    <w:rsid w:val="00EB57E9"/>
    <w:rsid w:val="00EB7EA2"/>
    <w:rsid w:val="00EB7F32"/>
    <w:rsid w:val="00EE0E3F"/>
    <w:rsid w:val="00EE488E"/>
    <w:rsid w:val="00EE4DF2"/>
    <w:rsid w:val="00EF1A24"/>
    <w:rsid w:val="00EF4637"/>
    <w:rsid w:val="00EF4B4E"/>
    <w:rsid w:val="00F04EA0"/>
    <w:rsid w:val="00F12160"/>
    <w:rsid w:val="00F14F86"/>
    <w:rsid w:val="00F17037"/>
    <w:rsid w:val="00F21985"/>
    <w:rsid w:val="00F27427"/>
    <w:rsid w:val="00F276EB"/>
    <w:rsid w:val="00F300C3"/>
    <w:rsid w:val="00F3106C"/>
    <w:rsid w:val="00F60E47"/>
    <w:rsid w:val="00F61333"/>
    <w:rsid w:val="00F62148"/>
    <w:rsid w:val="00F759E8"/>
    <w:rsid w:val="00F80C66"/>
    <w:rsid w:val="00F814B8"/>
    <w:rsid w:val="00F82898"/>
    <w:rsid w:val="00F82E5D"/>
    <w:rsid w:val="00F85398"/>
    <w:rsid w:val="00F90F2F"/>
    <w:rsid w:val="00FA3294"/>
    <w:rsid w:val="00FA4241"/>
    <w:rsid w:val="00FA787F"/>
    <w:rsid w:val="00FC267D"/>
    <w:rsid w:val="00FC3686"/>
    <w:rsid w:val="00FC3854"/>
    <w:rsid w:val="00FC6DBE"/>
    <w:rsid w:val="00FD1E91"/>
    <w:rsid w:val="00FE36D7"/>
    <w:rsid w:val="00FF19B8"/>
    <w:rsid w:val="024D176A"/>
    <w:rsid w:val="110A488E"/>
    <w:rsid w:val="2B7F4296"/>
    <w:rsid w:val="359E5630"/>
    <w:rsid w:val="46874BE5"/>
    <w:rsid w:val="5AB05873"/>
    <w:rsid w:val="5E941791"/>
    <w:rsid w:val="717754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26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A3266"/>
    <w:pPr>
      <w:spacing w:after="0" w:line="240" w:lineRule="auto"/>
    </w:pPr>
    <w:rPr>
      <w:sz w:val="18"/>
      <w:szCs w:val="18"/>
    </w:rPr>
  </w:style>
  <w:style w:type="paragraph" w:styleId="a4">
    <w:name w:val="footer"/>
    <w:basedOn w:val="a"/>
    <w:link w:val="Char0"/>
    <w:uiPriority w:val="99"/>
    <w:unhideWhenUsed/>
    <w:rsid w:val="008A3266"/>
    <w:pPr>
      <w:widowControl w:val="0"/>
      <w:tabs>
        <w:tab w:val="center" w:pos="4153"/>
        <w:tab w:val="right" w:pos="8306"/>
      </w:tabs>
      <w:snapToGrid w:val="0"/>
      <w:spacing w:after="0" w:line="240" w:lineRule="auto"/>
    </w:pPr>
    <w:rPr>
      <w:rFonts w:asciiTheme="minorHAnsi" w:eastAsiaTheme="minorEastAsia" w:hAnsiTheme="minorHAnsi" w:cstheme="minorBidi"/>
      <w:kern w:val="2"/>
      <w:sz w:val="18"/>
      <w:szCs w:val="18"/>
    </w:rPr>
  </w:style>
  <w:style w:type="paragraph" w:styleId="a5">
    <w:name w:val="header"/>
    <w:basedOn w:val="a"/>
    <w:link w:val="Char1"/>
    <w:uiPriority w:val="99"/>
    <w:unhideWhenUsed/>
    <w:rsid w:val="008A3266"/>
    <w:pPr>
      <w:widowControl w:val="0"/>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kern w:val="2"/>
      <w:sz w:val="18"/>
      <w:szCs w:val="18"/>
    </w:rPr>
  </w:style>
  <w:style w:type="table" w:styleId="a6">
    <w:name w:val="Table Grid"/>
    <w:basedOn w:val="a1"/>
    <w:unhideWhenUsed/>
    <w:rsid w:val="008A32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sid w:val="008A3266"/>
    <w:rPr>
      <w:sz w:val="18"/>
      <w:szCs w:val="18"/>
    </w:rPr>
  </w:style>
  <w:style w:type="character" w:customStyle="1" w:styleId="Char0">
    <w:name w:val="页脚 Char"/>
    <w:basedOn w:val="a0"/>
    <w:link w:val="a4"/>
    <w:uiPriority w:val="99"/>
    <w:rsid w:val="008A3266"/>
    <w:rPr>
      <w:sz w:val="18"/>
      <w:szCs w:val="18"/>
    </w:rPr>
  </w:style>
  <w:style w:type="character" w:customStyle="1" w:styleId="Char">
    <w:name w:val="批注框文本 Char"/>
    <w:basedOn w:val="a0"/>
    <w:link w:val="a3"/>
    <w:uiPriority w:val="99"/>
    <w:semiHidden/>
    <w:rsid w:val="008A3266"/>
    <w:rPr>
      <w:rFonts w:ascii="Calibri" w:eastAsia="宋体" w:hAnsi="Calibri" w:cs="Times New Roman"/>
      <w:kern w:val="0"/>
      <w:sz w:val="18"/>
      <w:szCs w:val="18"/>
    </w:rPr>
  </w:style>
  <w:style w:type="character" w:styleId="a7">
    <w:name w:val="Hyperlink"/>
    <w:rsid w:val="0064348B"/>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4ABFB7-A094-4DF2-94CB-B069B3A73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wangmin</dc:creator>
  <cp:lastModifiedBy>微软用户</cp:lastModifiedBy>
  <cp:revision>2</cp:revision>
  <dcterms:created xsi:type="dcterms:W3CDTF">2021-07-09T01:55:00Z</dcterms:created>
  <dcterms:modified xsi:type="dcterms:W3CDTF">2021-07-09T01:55:00Z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