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9" w:firstLineChars="95"/>
        <w:rPr>
          <w:rFonts w:cs="Times New Roman"/>
        </w:rPr>
      </w:pPr>
      <w:bookmarkStart w:id="0" w:name="_Toc485828985"/>
      <w:r>
        <w:drawing>
          <wp:anchor distT="0" distB="0" distL="114300" distR="114300" simplePos="0" relativeHeight="251662336" behindDoc="1" locked="0" layoutInCell="1" allowOverlap="1">
            <wp:simplePos x="0" y="0"/>
            <wp:positionH relativeFrom="column">
              <wp:posOffset>-1171575</wp:posOffset>
            </wp:positionH>
            <wp:positionV relativeFrom="paragraph">
              <wp:posOffset>-1668780</wp:posOffset>
            </wp:positionV>
            <wp:extent cx="7644765" cy="10696575"/>
            <wp:effectExtent l="19050" t="0" r="0" b="0"/>
            <wp:wrapNone/>
            <wp:docPr id="3"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封面.jpg"/>
                    <pic:cNvPicPr>
                      <a:picLocks noChangeAspect="1" noChangeArrowheads="1"/>
                    </pic:cNvPicPr>
                  </pic:nvPicPr>
                  <pic:blipFill>
                    <a:blip r:embed="rId12"/>
                    <a:srcRect/>
                    <a:stretch>
                      <a:fillRect/>
                    </a:stretch>
                  </pic:blipFill>
                  <pic:spPr>
                    <a:xfrm>
                      <a:off x="0" y="0"/>
                      <a:ext cx="7644765" cy="10696575"/>
                    </a:xfrm>
                    <a:prstGeom prst="rect">
                      <a:avLst/>
                    </a:prstGeom>
                    <a:noFill/>
                  </pic:spPr>
                </pic:pic>
              </a:graphicData>
            </a:graphic>
          </wp:anchor>
        </w:drawing>
      </w:r>
    </w:p>
    <w:p>
      <w:pPr>
        <w:ind w:firstLine="420"/>
        <w:rPr>
          <w:rStyle w:val="31"/>
          <w:rFonts w:hint="eastAsia" w:ascii="宋体" w:hAnsi="宋体" w:eastAsia="宋体" w:cs="宋体"/>
          <w:b/>
          <w:bCs/>
          <w:sz w:val="36"/>
          <w:szCs w:val="36"/>
        </w:rPr>
      </w:pPr>
      <w:r>
        <w:pict>
          <v:shape id="文本框 3" o:spid="_x0000_s1029" o:spt="202" type="#_x0000_t202" style="position:absolute;left:0pt;margin-left:24.75pt;margin-top:414.25pt;height:108.75pt;width:343.5pt;z-index:251660288;mso-width-relative:page;mso-height-relative:page;" filled="f" stroked="f" coordsize="21600,21600">
            <v:path/>
            <v:fill on="f" focussize="0,0"/>
            <v:stroke on="f" joinstyle="miter"/>
            <v:imagedata o:title=""/>
            <o:lock v:ext="edit"/>
            <v:textbox>
              <w:txbxContent>
                <w:p>
                  <w:pPr>
                    <w:pStyle w:val="2"/>
                    <w:ind w:firstLine="1988" w:firstLineChars="450"/>
                    <w:rPr>
                      <w:rFonts w:ascii="宋体" w:hAnsi="宋体" w:eastAsia="宋体"/>
                      <w:kern w:val="2"/>
                      <w:sz w:val="44"/>
                      <w:szCs w:val="44"/>
                    </w:rPr>
                  </w:pPr>
                  <w:bookmarkStart w:id="417" w:name="_Toc485828984"/>
                  <w:bookmarkStart w:id="418" w:name="_Toc58597557"/>
                  <w:bookmarkStart w:id="419" w:name="_Toc485981320"/>
                  <w:r>
                    <w:rPr>
                      <w:rFonts w:hint="eastAsia" w:ascii="宋体" w:hAnsi="宋体" w:eastAsia="宋体"/>
                      <w:kern w:val="2"/>
                      <w:sz w:val="44"/>
                      <w:szCs w:val="44"/>
                    </w:rPr>
                    <w:t>中商网氯碱周报</w:t>
                  </w:r>
                  <w:bookmarkEnd w:id="417"/>
                  <w:bookmarkEnd w:id="418"/>
                  <w:bookmarkEnd w:id="419"/>
                </w:p>
                <w:p>
                  <w:pPr>
                    <w:ind w:firstLine="2409" w:firstLineChars="750"/>
                    <w:rPr>
                      <w:rFonts w:hint="default" w:ascii="宋体" w:hAnsi="宋体" w:eastAsia="宋体"/>
                      <w:b/>
                      <w:sz w:val="32"/>
                      <w:szCs w:val="32"/>
                      <w:lang w:val="en-US" w:eastAsia="zh-CN"/>
                    </w:rPr>
                  </w:pPr>
                  <w:r>
                    <w:rPr>
                      <w:rFonts w:hint="eastAsia" w:ascii="宋体" w:hAnsi="宋体"/>
                      <w:b/>
                      <w:sz w:val="32"/>
                      <w:szCs w:val="32"/>
                    </w:rPr>
                    <w:t xml:space="preserve"> 2021.</w:t>
                  </w:r>
                  <w:r>
                    <w:rPr>
                      <w:rFonts w:hint="eastAsia" w:ascii="宋体" w:hAnsi="宋体"/>
                      <w:b/>
                      <w:sz w:val="32"/>
                      <w:szCs w:val="32"/>
                      <w:lang w:val="en-US" w:eastAsia="zh-CN"/>
                    </w:rPr>
                    <w:t>11</w:t>
                  </w:r>
                  <w:r>
                    <w:rPr>
                      <w:rFonts w:hint="eastAsia" w:ascii="宋体" w:hAnsi="宋体"/>
                      <w:b/>
                      <w:sz w:val="32"/>
                      <w:szCs w:val="32"/>
                    </w:rPr>
                    <w:t>.</w:t>
                  </w:r>
                  <w:r>
                    <w:rPr>
                      <w:rFonts w:hint="eastAsia" w:ascii="宋体" w:hAnsi="宋体"/>
                      <w:b/>
                      <w:sz w:val="32"/>
                      <w:szCs w:val="32"/>
                      <w:lang w:val="en-US" w:eastAsia="zh-CN"/>
                    </w:rPr>
                    <w:t>19</w:t>
                  </w:r>
                </w:p>
              </w:txbxContent>
            </v:textbox>
          </v:shape>
        </w:pict>
      </w:r>
      <w:r>
        <w:pict>
          <v:shape id="文本框 2" o:spid="_x0000_s1028" o:spt="202" type="#_x0000_t202" style="position:absolute;left:0pt;margin-left:-41.85pt;margin-top:544.8pt;height:152.35pt;width:497.85pt;z-index:251659264;mso-width-relative:page;mso-height-relative:page;" filled="f" stroked="f" coordsize="21600,21600">
            <v:path/>
            <v:fill on="f" focussize="0,0"/>
            <v:stroke on="f" joinstyle="miter"/>
            <v:imagedata o:title=""/>
            <o:lock v:ext="edit"/>
            <v:textbox>
              <w:txbxContent>
                <w:p>
                  <w:pPr>
                    <w:pStyle w:val="30"/>
                    <w:ind w:firstLine="48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责任编辑：庞浩明思</w:t>
                  </w:r>
                </w:p>
                <w:p>
                  <w:pPr>
                    <w:pStyle w:val="30"/>
                    <w:ind w:firstLine="48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18513790720</w:t>
                  </w:r>
                </w:p>
                <w:p>
                  <w:pPr>
                    <w:pStyle w:val="30"/>
                    <w:ind w:firstLine="480"/>
                    <w:rPr>
                      <w:rFonts w:ascii="黑体" w:hAnsi="宋体" w:eastAsia="黑体" w:cs="黑体"/>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86-010-85725399</w:t>
                  </w:r>
                </w:p>
                <w:p>
                  <w:pPr>
                    <w:pStyle w:val="30"/>
                    <w:ind w:firstLine="480"/>
                    <w:rPr>
                      <w:rFonts w:hint="eastAsia"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fldChar w:fldCharType="begin"/>
                  </w:r>
                  <w:r>
                    <w:instrText xml:space="preserve"> HYPERLINK "mailto:hljbsc2017zsw@163.com" </w:instrText>
                  </w:r>
                  <w:r>
                    <w:fldChar w:fldCharType="separate"/>
                  </w:r>
                  <w:r>
                    <w:rPr>
                      <w:rStyle w:val="22"/>
                      <w:rFonts w:ascii="黑体" w:hAnsi="宋体" w:eastAsia="黑体" w:cs="黑体"/>
                      <w:color w:val="auto"/>
                      <w:kern w:val="2"/>
                      <w:sz w:val="24"/>
                      <w:szCs w:val="24"/>
                      <w:u w:val="none"/>
                      <w:lang w:eastAsia="zh-CN"/>
                    </w:rPr>
                    <w:t>hljbsc2017zsw@163.com</w:t>
                  </w:r>
                  <w:r>
                    <w:rPr>
                      <w:rStyle w:val="22"/>
                      <w:rFonts w:ascii="黑体" w:hAnsi="宋体" w:eastAsia="黑体" w:cs="黑体"/>
                      <w:color w:val="auto"/>
                      <w:kern w:val="2"/>
                      <w:sz w:val="24"/>
                      <w:szCs w:val="24"/>
                      <w:u w:val="none"/>
                      <w:lang w:eastAsia="zh-CN"/>
                    </w:rPr>
                    <w:fldChar w:fldCharType="end"/>
                  </w:r>
                </w:p>
                <w:p>
                  <w:pPr>
                    <w:pStyle w:val="30"/>
                    <w:ind w:firstLine="480"/>
                    <w:rPr>
                      <w:rFonts w:hint="eastAsia" w:ascii="黑体" w:hAnsi="宋体" w:eastAsia="黑体" w:cs="黑体"/>
                      <w:kern w:val="2"/>
                      <w:sz w:val="24"/>
                      <w:szCs w:val="24"/>
                      <w:lang w:eastAsia="zh-CN"/>
                    </w:rPr>
                  </w:pPr>
                  <w:r>
                    <w:rPr>
                      <w:rFonts w:hint="eastAsia" w:ascii="黑体" w:hAnsi="宋体" w:eastAsia="黑体" w:cs="黑体"/>
                      <w:kern w:val="2"/>
                      <w:sz w:val="24"/>
                      <w:szCs w:val="24"/>
                      <w:lang w:eastAsia="zh-CN"/>
                    </w:rPr>
                    <w:t>地址：北京市朝阳区惠河南街1091号中商联大厦4楼</w:t>
                  </w:r>
                </w:p>
                <w:p>
                  <w:pPr>
                    <w:ind w:firstLine="420"/>
                    <w:jc w:val="left"/>
                    <w:rPr>
                      <w:rFonts w:cs="Times New Roman"/>
                    </w:rPr>
                  </w:pPr>
                </w:p>
                <w:p>
                  <w:pPr>
                    <w:ind w:firstLine="420"/>
                    <w:jc w:val="left"/>
                    <w:rPr>
                      <w:rFonts w:cs="Times New Roman"/>
                    </w:rPr>
                  </w:pPr>
                </w:p>
              </w:txbxContent>
            </v:textbox>
          </v:shape>
        </w:pict>
      </w:r>
      <w:r>
        <w:rPr>
          <w:rFonts w:cs="Times New Roman"/>
        </w:rPr>
        <w:br w:type="page"/>
      </w:r>
      <w:r>
        <w:pict>
          <v:shape id="_x0000_s1030" o:spid="_x0000_s1030" o:spt="202" type="#_x0000_t202" style="position:absolute;left:0pt;margin-left:-60.75pt;margin-top:48.9pt;height:533.25pt;width:558pt;z-index:251661312;mso-width-relative:page;mso-height-relative:page;" filled="f" stroked="f" coordsize="21600,21600">
            <v:path/>
            <v:fill on="f" focussize="0,0"/>
            <v:stroke on="f" joinstyle="miter"/>
            <v:imagedata o:title=""/>
            <o:lock v:ext="edit"/>
            <v:textbox>
              <w:txbxContent>
                <w:p>
                  <w:pPr>
                    <w:pStyle w:val="30"/>
                    <w:spacing w:line="240" w:lineRule="auto"/>
                    <w:ind w:firstLine="562"/>
                    <w:jc w:val="center"/>
                    <w:outlineLvl w:val="0"/>
                    <w:rPr>
                      <w:rFonts w:ascii="宋体" w:cs="Times New Roman"/>
                      <w:b/>
                      <w:bCs/>
                      <w:color w:val="000080"/>
                      <w:sz w:val="28"/>
                      <w:szCs w:val="28"/>
                      <w:lang w:eastAsia="zh-CN"/>
                    </w:rPr>
                  </w:pPr>
                  <w:bookmarkStart w:id="420" w:name="_Toc58597558"/>
                  <w:r>
                    <w:rPr>
                      <w:rFonts w:hint="eastAsia" w:ascii="宋体" w:hAnsi="宋体" w:cs="宋体"/>
                      <w:b/>
                      <w:bCs/>
                      <w:color w:val="000080"/>
                      <w:sz w:val="32"/>
                      <w:szCs w:val="32"/>
                      <w:lang w:eastAsia="zh-CN"/>
                    </w:rPr>
                    <w:t>氯碱市场周报目录</w:t>
                  </w:r>
                  <w:bookmarkEnd w:id="420"/>
                  <w:r>
                    <w:rPr>
                      <w:rFonts w:ascii="宋体" w:cs="Times New Roman"/>
                      <w:b/>
                      <w:bCs/>
                      <w:color w:val="000000"/>
                      <w:sz w:val="32"/>
                      <w:szCs w:val="32"/>
                      <w:lang w:eastAsia="zh-CN"/>
                    </w:rPr>
                    <w:tab/>
                  </w:r>
                  <w:r>
                    <w:rPr>
                      <w:rFonts w:ascii="宋体" w:cs="Times New Roman"/>
                      <w:b/>
                      <w:bCs/>
                      <w:color w:val="000000"/>
                      <w:sz w:val="28"/>
                      <w:szCs w:val="28"/>
                      <w:lang w:eastAsia="zh-CN"/>
                    </w:rPr>
                    <w:tab/>
                  </w:r>
                </w:p>
                <w:p>
                  <w:pPr>
                    <w:pStyle w:val="14"/>
                    <w:ind w:firstLine="482"/>
                    <w:rPr>
                      <w:rFonts w:ascii="Calibri" w:hAnsi="Calibri" w:cs="Times New Roman"/>
                      <w:b w:val="0"/>
                      <w:bCs w:val="0"/>
                      <w:caps w:val="0"/>
                      <w:color w:val="auto"/>
                      <w:sz w:val="24"/>
                      <w:szCs w:val="24"/>
                    </w:rPr>
                  </w:pPr>
                  <w:r>
                    <w:rPr>
                      <w:sz w:val="21"/>
                      <w:szCs w:val="21"/>
                    </w:rPr>
                    <w:fldChar w:fldCharType="begin"/>
                  </w:r>
                  <w:r>
                    <w:rPr>
                      <w:sz w:val="21"/>
                      <w:szCs w:val="21"/>
                    </w:rPr>
                    <w:instrText xml:space="preserve"> TOC \o "1-3" \h \z \u </w:instrText>
                  </w:r>
                  <w:r>
                    <w:rPr>
                      <w:sz w:val="21"/>
                      <w:szCs w:val="21"/>
                    </w:rPr>
                    <w:fldChar w:fldCharType="separate"/>
                  </w:r>
                  <w:r>
                    <w:rPr>
                      <w:sz w:val="24"/>
                      <w:szCs w:val="24"/>
                    </w:rPr>
                    <w:fldChar w:fldCharType="begin"/>
                  </w:r>
                  <w:r>
                    <w:rPr>
                      <w:sz w:val="24"/>
                      <w:szCs w:val="24"/>
                    </w:rPr>
                    <w:instrText xml:space="preserve"> HYPERLINK "file:///C:\\Documents%20and%20Settings\\Administrator\\桌面\\新建文件夹\\化工\\中华商务网VIP服务周报：氯碱%202020.12.4.docx" \l "_Toc58597557" </w:instrText>
                  </w:r>
                  <w:r>
                    <w:rPr>
                      <w:sz w:val="24"/>
                      <w:szCs w:val="24"/>
                    </w:rPr>
                    <w:fldChar w:fldCharType="separate"/>
                  </w:r>
                  <w:r>
                    <w:rPr>
                      <w:rStyle w:val="22"/>
                      <w:sz w:val="24"/>
                      <w:szCs w:val="24"/>
                    </w:rPr>
                    <w:t>202</w:t>
                  </w:r>
                  <w:r>
                    <w:rPr>
                      <w:rStyle w:val="22"/>
                      <w:rFonts w:hint="eastAsia"/>
                      <w:sz w:val="24"/>
                      <w:szCs w:val="24"/>
                    </w:rPr>
                    <w:t>1</w:t>
                  </w:r>
                  <w:r>
                    <w:rPr>
                      <w:rStyle w:val="22"/>
                      <w:sz w:val="24"/>
                      <w:szCs w:val="24"/>
                    </w:rPr>
                    <w:t>.</w:t>
                  </w:r>
                  <w:r>
                    <w:rPr>
                      <w:rStyle w:val="22"/>
                      <w:rFonts w:hint="eastAsia"/>
                      <w:sz w:val="24"/>
                      <w:szCs w:val="24"/>
                      <w:lang w:val="en-US" w:eastAsia="zh-CN"/>
                    </w:rPr>
                    <w:t>11</w:t>
                  </w:r>
                  <w:r>
                    <w:rPr>
                      <w:rStyle w:val="22"/>
                      <w:sz w:val="24"/>
                      <w:szCs w:val="24"/>
                    </w:rPr>
                    <w:t>.</w:t>
                  </w:r>
                  <w:r>
                    <w:rPr>
                      <w:rStyle w:val="22"/>
                      <w:rFonts w:hint="eastAsia"/>
                      <w:sz w:val="24"/>
                      <w:szCs w:val="24"/>
                      <w:lang w:val="en-US" w:eastAsia="zh-CN"/>
                    </w:rPr>
                    <w:t>19</w:t>
                  </w:r>
                  <w:r>
                    <w:rPr>
                      <w:sz w:val="24"/>
                      <w:szCs w:val="24"/>
                    </w:rPr>
                    <w:tab/>
                  </w:r>
                  <w:r>
                    <w:rPr>
                      <w:sz w:val="24"/>
                      <w:szCs w:val="24"/>
                    </w:rPr>
                    <w:fldChar w:fldCharType="begin"/>
                  </w:r>
                  <w:r>
                    <w:rPr>
                      <w:sz w:val="24"/>
                      <w:szCs w:val="24"/>
                    </w:rPr>
                    <w:instrText xml:space="preserve"> PAGEREF _Toc58597557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4"/>
                    <w:ind w:firstLine="482"/>
                    <w:rPr>
                      <w:rFonts w:ascii="Calibri" w:hAnsi="Calibri" w:cs="Times New Roman"/>
                      <w:b w:val="0"/>
                      <w:bCs w:val="0"/>
                      <w:caps w:val="0"/>
                      <w:color w:val="auto"/>
                      <w:sz w:val="21"/>
                      <w:szCs w:val="21"/>
                    </w:rPr>
                  </w:pPr>
                  <w:r>
                    <w:rPr>
                      <w:sz w:val="24"/>
                      <w:szCs w:val="24"/>
                    </w:rPr>
                    <w:fldChar w:fldCharType="begin"/>
                  </w:r>
                  <w:r>
                    <w:rPr>
                      <w:sz w:val="24"/>
                      <w:szCs w:val="24"/>
                    </w:rPr>
                    <w:instrText xml:space="preserve"> HYPERLINK "file:///C:\\Documents%20and%20Settings\\Administrator\\桌面\\新建文件夹\\化工\\中华商务网VIP服务周报：氯碱%202020.12.4.docx" \l "_Toc58597558" </w:instrText>
                  </w:r>
                  <w:r>
                    <w:rPr>
                      <w:sz w:val="24"/>
                      <w:szCs w:val="24"/>
                    </w:rPr>
                    <w:fldChar w:fldCharType="separate"/>
                  </w:r>
                  <w:r>
                    <w:rPr>
                      <w:rStyle w:val="22"/>
                      <w:rFonts w:hint="eastAsia"/>
                      <w:sz w:val="24"/>
                      <w:szCs w:val="24"/>
                    </w:rPr>
                    <w:t>氯碱市场周报目录</w:t>
                  </w:r>
                  <w:r>
                    <w:rPr>
                      <w:sz w:val="24"/>
                      <w:szCs w:val="24"/>
                    </w:rPr>
                    <w:tab/>
                  </w:r>
                  <w:r>
                    <w:rPr>
                      <w:sz w:val="24"/>
                      <w:szCs w:val="24"/>
                    </w:rPr>
                    <w:fldChar w:fldCharType="begin"/>
                  </w:r>
                  <w:r>
                    <w:rPr>
                      <w:sz w:val="24"/>
                      <w:szCs w:val="24"/>
                    </w:rPr>
                    <w:instrText xml:space="preserve"> PAGEREF _Toc58597558 \h </w:instrText>
                  </w:r>
                  <w:r>
                    <w:rPr>
                      <w:sz w:val="24"/>
                      <w:szCs w:val="24"/>
                    </w:rPr>
                    <w:fldChar w:fldCharType="separate"/>
                  </w:r>
                  <w:r>
                    <w:rPr>
                      <w:sz w:val="24"/>
                      <w:szCs w:val="24"/>
                    </w:rPr>
                    <w:t>2</w:t>
                  </w:r>
                  <w:r>
                    <w:rPr>
                      <w:sz w:val="24"/>
                      <w:szCs w:val="24"/>
                    </w:rPr>
                    <w:fldChar w:fldCharType="end"/>
                  </w:r>
                  <w:r>
                    <w:rPr>
                      <w:sz w:val="24"/>
                      <w:szCs w:val="24"/>
                    </w:rPr>
                    <w:fldChar w:fldCharType="end"/>
                  </w:r>
                </w:p>
                <w:p>
                  <w:pPr>
                    <w:ind w:firstLine="420"/>
                    <w:rPr>
                      <w:rFonts w:cs="Times New Roman"/>
                      <w:sz w:val="21"/>
                      <w:szCs w:val="21"/>
                    </w:rPr>
                  </w:pPr>
                  <w:r>
                    <w:rPr>
                      <w:sz w:val="21"/>
                      <w:szCs w:val="21"/>
                    </w:rPr>
                    <w:fldChar w:fldCharType="end"/>
                  </w:r>
                </w:p>
              </w:txbxContent>
            </v:textbox>
          </v:shape>
        </w:pict>
      </w:r>
      <w:r>
        <w:rPr>
          <w:rFonts w:cs="Times New Roman"/>
        </w:rPr>
        <w:br w:type="page"/>
      </w:r>
      <w:bookmarkEnd w:id="0"/>
      <w:bookmarkStart w:id="1" w:name="_Toc517425038"/>
      <w:bookmarkStart w:id="2" w:name="_Toc528919986"/>
      <w:bookmarkStart w:id="3" w:name="_Toc9583952"/>
      <w:bookmarkStart w:id="4" w:name="_Toc8378815"/>
      <w:bookmarkStart w:id="5" w:name="_Toc511390005"/>
      <w:bookmarkStart w:id="6" w:name="_Toc13217631"/>
      <w:bookmarkStart w:id="7" w:name="_Toc4139106"/>
      <w:bookmarkStart w:id="8" w:name="_Toc1139285"/>
      <w:bookmarkStart w:id="9" w:name="_Toc521057601"/>
      <w:bookmarkStart w:id="10" w:name="_Toc4654028"/>
      <w:bookmarkStart w:id="11" w:name="_Toc525306463"/>
      <w:bookmarkStart w:id="12" w:name="_Toc525912526"/>
      <w:bookmarkStart w:id="13" w:name="_Toc4596891"/>
      <w:bookmarkStart w:id="14" w:name="_Toc536198167"/>
      <w:bookmarkStart w:id="15" w:name="_Toc516839084"/>
      <w:bookmarkStart w:id="16" w:name="_Toc522280054"/>
      <w:bookmarkStart w:id="17" w:name="_Toc485981321"/>
      <w:bookmarkStart w:id="18" w:name="_Toc524091681"/>
      <w:bookmarkStart w:id="19" w:name="_Toc516234891"/>
      <w:bookmarkStart w:id="20" w:name="_Toc536541137"/>
      <w:bookmarkStart w:id="21" w:name="_Toc532564063"/>
      <w:bookmarkStart w:id="22" w:name="_Toc522259764"/>
      <w:bookmarkStart w:id="23" w:name="_Toc518031999"/>
      <w:bookmarkStart w:id="24" w:name="_Toc515610373"/>
      <w:bookmarkStart w:id="25" w:name="_Toc520465076"/>
      <w:bookmarkStart w:id="26" w:name="_Toc528329956"/>
      <w:bookmarkStart w:id="27" w:name="_Toc522870769"/>
      <w:bookmarkStart w:id="28" w:name="_Toc1394100"/>
      <w:bookmarkStart w:id="29" w:name="_Toc10202308"/>
      <w:bookmarkStart w:id="30" w:name="_Toc521660547"/>
      <w:bookmarkStart w:id="31" w:name="_Toc533149330"/>
      <w:bookmarkStart w:id="32" w:name="_Toc536540307"/>
      <w:bookmarkStart w:id="33" w:name="_Toc525289546"/>
      <w:bookmarkStart w:id="34" w:name="_Toc392240276"/>
      <w:bookmarkStart w:id="35" w:name="_Toc530128349"/>
      <w:bookmarkStart w:id="36" w:name="_Toc513127190"/>
      <w:bookmarkStart w:id="37" w:name="_Toc527101790"/>
      <w:bookmarkStart w:id="38" w:name="_Toc530750139"/>
      <w:bookmarkStart w:id="39" w:name="_Toc534378400"/>
      <w:bookmarkStart w:id="40" w:name="_Toc529526325"/>
      <w:bookmarkStart w:id="41" w:name="_Toc522870745"/>
      <w:bookmarkStart w:id="42" w:name="_Toc1035930"/>
      <w:bookmarkStart w:id="43" w:name="_Toc524701464"/>
      <w:bookmarkStart w:id="44" w:name="_Toc532564260"/>
      <w:bookmarkStart w:id="45" w:name="_Toc536789785"/>
      <w:bookmarkStart w:id="46" w:name="_Toc519848557"/>
      <w:bookmarkStart w:id="47" w:name="_Toc8991653"/>
      <w:bookmarkStart w:id="48" w:name="_Toc516234897"/>
      <w:bookmarkStart w:id="49" w:name="_Toc522870760"/>
      <w:bookmarkStart w:id="50" w:name="_Toc527705000"/>
      <w:bookmarkStart w:id="51" w:name="_Toc522870751"/>
      <w:bookmarkStart w:id="52" w:name="_Toc518638259"/>
      <w:bookmarkStart w:id="53" w:name="_Toc9597659"/>
      <w:bookmarkStart w:id="54" w:name="_Toc525306474"/>
      <w:bookmarkStart w:id="55" w:name="_Toc12609903"/>
      <w:bookmarkStart w:id="56" w:name="_Toc531954272"/>
      <w:bookmarkStart w:id="57" w:name="_Toc4767063"/>
      <w:bookmarkStart w:id="58" w:name="_Toc534915165"/>
      <w:bookmarkStart w:id="59" w:name="_Toc528930993"/>
      <w:bookmarkStart w:id="60" w:name="_Toc8313133"/>
      <w:bookmarkStart w:id="61" w:name="_Toc1739294"/>
      <w:bookmarkStart w:id="62" w:name="_Toc535588708"/>
      <w:bookmarkStart w:id="63" w:name="_Toc532564037"/>
      <w:bookmarkStart w:id="64" w:name="_Toc300238840"/>
      <w:r>
        <w:rPr>
          <w:rStyle w:val="31"/>
          <w:rFonts w:hint="eastAsia" w:ascii="宋体" w:hAnsi="宋体" w:eastAsia="宋体" w:cs="宋体"/>
          <w:b/>
          <w:bCs/>
          <w:sz w:val="36"/>
          <w:szCs w:val="36"/>
        </w:rPr>
        <w:t>纯碱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Start w:id="65" w:name="_Toc516234898"/>
      <w:bookmarkStart w:id="66" w:name="_Toc4139107"/>
      <w:bookmarkStart w:id="67" w:name="_Toc521660548"/>
      <w:bookmarkStart w:id="68" w:name="_Toc1394101"/>
      <w:bookmarkStart w:id="69" w:name="_Toc531954273"/>
      <w:bookmarkStart w:id="70" w:name="_Toc528919987"/>
      <w:bookmarkStart w:id="71" w:name="_Toc527101791"/>
      <w:bookmarkStart w:id="72" w:name="_Toc516839085"/>
      <w:bookmarkStart w:id="73" w:name="_Toc1139286"/>
      <w:bookmarkStart w:id="74" w:name="_Toc536540308"/>
      <w:bookmarkStart w:id="75" w:name="_Toc516234892"/>
      <w:bookmarkStart w:id="76" w:name="_Toc485981322"/>
      <w:bookmarkStart w:id="77" w:name="_Toc527705001"/>
      <w:bookmarkStart w:id="78" w:name="_Toc525306464"/>
      <w:bookmarkStart w:id="79" w:name="_Toc536198168"/>
      <w:bookmarkStart w:id="80" w:name="_Toc536541138"/>
      <w:bookmarkStart w:id="81" w:name="_Toc535588709"/>
      <w:bookmarkStart w:id="82" w:name="_Toc4654029"/>
      <w:bookmarkStart w:id="83" w:name="_Toc511390006"/>
      <w:bookmarkStart w:id="84" w:name="_Toc518638260"/>
      <w:bookmarkStart w:id="85" w:name="_Toc522259765"/>
      <w:bookmarkStart w:id="86" w:name="_Toc532564038"/>
      <w:bookmarkStart w:id="87" w:name="_Toc519848558"/>
      <w:bookmarkStart w:id="88" w:name="_Toc533149331"/>
      <w:bookmarkStart w:id="89" w:name="_Toc534915166"/>
      <w:bookmarkStart w:id="90" w:name="_Toc532564064"/>
      <w:bookmarkStart w:id="91" w:name="_Toc530128350"/>
      <w:bookmarkStart w:id="92" w:name="_Toc1739295"/>
      <w:bookmarkStart w:id="93" w:name="_Toc522870752"/>
      <w:bookmarkStart w:id="94" w:name="_Toc515610374"/>
      <w:bookmarkStart w:id="95" w:name="_Toc534378401"/>
      <w:bookmarkStart w:id="96" w:name="_Toc532564261"/>
      <w:bookmarkStart w:id="97" w:name="_Toc513127191"/>
      <w:bookmarkStart w:id="98" w:name="_Toc522870761"/>
      <w:bookmarkStart w:id="99" w:name="_Toc524091682"/>
      <w:bookmarkStart w:id="100" w:name="_Toc522280055"/>
      <w:bookmarkStart w:id="101" w:name="_Toc525306475"/>
      <w:bookmarkStart w:id="102" w:name="_Toc525912527"/>
      <w:bookmarkStart w:id="103" w:name="_Toc529526326"/>
      <w:bookmarkStart w:id="104" w:name="_Toc522870770"/>
      <w:bookmarkStart w:id="105" w:name="_Toc525289547"/>
      <w:bookmarkStart w:id="106" w:name="_Toc521057602"/>
      <w:bookmarkStart w:id="107" w:name="_Toc520465077"/>
      <w:bookmarkStart w:id="108" w:name="_Toc528329957"/>
      <w:bookmarkStart w:id="109" w:name="_Toc528930994"/>
      <w:bookmarkStart w:id="110" w:name="_Toc4596892"/>
      <w:bookmarkStart w:id="111" w:name="_Toc536789786"/>
      <w:bookmarkStart w:id="112" w:name="_Toc517425039"/>
      <w:bookmarkStart w:id="113" w:name="_Toc518032000"/>
      <w:bookmarkStart w:id="114" w:name="_Toc1035931"/>
      <w:bookmarkStart w:id="115" w:name="_Toc522870746"/>
      <w:bookmarkStart w:id="116" w:name="_Toc524701465"/>
      <w:bookmarkStart w:id="117" w:name="_Toc530750140"/>
      <w:bookmarkStart w:id="118" w:name="_Toc392240277"/>
    </w:p>
    <w:p>
      <w:pPr>
        <w:ind w:firstLine="600"/>
        <w:rPr>
          <w:rFonts w:ascii="黑体" w:hAnsi="黑体" w:eastAsia="黑体" w:cs="Times New Roman"/>
          <w:kern w:val="0"/>
          <w:sz w:val="30"/>
          <w:szCs w:val="30"/>
        </w:rPr>
      </w:pPr>
      <w:bookmarkStart w:id="119" w:name="_Toc9583953"/>
      <w:bookmarkStart w:id="120" w:name="_Toc8313134"/>
      <w:bookmarkStart w:id="121" w:name="_Toc8991654"/>
      <w:bookmarkStart w:id="122" w:name="_Toc13217632"/>
      <w:bookmarkStart w:id="123" w:name="_Toc9597660"/>
      <w:bookmarkStart w:id="124" w:name="_Toc12609904"/>
      <w:bookmarkStart w:id="125" w:name="_Toc10202309"/>
      <w:bookmarkStart w:id="126" w:name="_Toc4767064"/>
      <w:bookmarkStart w:id="127" w:name="_Toc8378816"/>
      <w:r>
        <w:rPr>
          <w:rStyle w:val="31"/>
          <w:rFonts w:hint="eastAsia" w:ascii="宋体" w:hAnsi="宋体" w:eastAsia="宋体" w:cs="宋体"/>
          <w:b/>
          <w:bCs/>
          <w:sz w:val="36"/>
          <w:szCs w:val="36"/>
        </w:rPr>
        <w:t>评述：本周纯碱市场评述及行情预测</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Start w:id="128" w:name="_Toc12609905"/>
      <w:bookmarkStart w:id="129" w:name="_Toc13217633"/>
      <w:bookmarkStart w:id="130" w:name="_Toc10202310"/>
      <w:bookmarkStart w:id="131" w:name="_Toc8378817"/>
      <w:bookmarkStart w:id="132" w:name="_Toc4654030"/>
      <w:bookmarkStart w:id="133" w:name="_Toc4767065"/>
      <w:bookmarkStart w:id="134" w:name="_Toc9583954"/>
      <w:bookmarkStart w:id="135" w:name="_Toc4596893"/>
      <w:bookmarkStart w:id="136" w:name="_Toc9597661"/>
      <w:bookmarkStart w:id="137" w:name="_Toc8313135"/>
      <w:bookmarkStart w:id="138" w:name="_Toc8991655"/>
    </w:p>
    <w:bookmarkEnd w:id="128"/>
    <w:bookmarkEnd w:id="129"/>
    <w:bookmarkEnd w:id="130"/>
    <w:bookmarkEnd w:id="131"/>
    <w:bookmarkEnd w:id="132"/>
    <w:bookmarkEnd w:id="133"/>
    <w:bookmarkEnd w:id="134"/>
    <w:bookmarkEnd w:id="135"/>
    <w:bookmarkEnd w:id="136"/>
    <w:bookmarkEnd w:id="137"/>
    <w:bookmarkEnd w:id="138"/>
    <w:p>
      <w:pPr>
        <w:numPr>
          <w:ilvl w:val="0"/>
          <w:numId w:val="1"/>
        </w:numPr>
        <w:ind w:firstLineChars="0"/>
        <w:rPr>
          <w:rFonts w:hint="eastAsia" w:ascii="宋体" w:hAnsi="宋体" w:eastAsia="宋体" w:cs="宋体"/>
          <w:b/>
          <w:bCs/>
          <w:kern w:val="0"/>
          <w:sz w:val="32"/>
          <w:szCs w:val="32"/>
        </w:rPr>
      </w:pPr>
      <w:bookmarkStart w:id="139" w:name="_Toc392240278"/>
      <w:r>
        <w:rPr>
          <w:rFonts w:hint="eastAsia" w:ascii="宋体" w:hAnsi="宋体" w:eastAsia="宋体" w:cs="宋体"/>
          <w:b/>
          <w:bCs/>
          <w:kern w:val="0"/>
          <w:sz w:val="32"/>
          <w:szCs w:val="32"/>
        </w:rPr>
        <w:t>纯碱市场一周综述（</w:t>
      </w:r>
      <w:r>
        <w:rPr>
          <w:rFonts w:hint="eastAsia" w:ascii="宋体" w:hAnsi="宋体" w:eastAsia="宋体" w:cs="宋体"/>
          <w:b/>
          <w:bCs/>
          <w:sz w:val="32"/>
          <w:szCs w:val="32"/>
        </w:rPr>
        <w:t>影响市场因素及后市预测</w:t>
      </w:r>
      <w:r>
        <w:rPr>
          <w:rFonts w:hint="eastAsia" w:ascii="宋体" w:hAnsi="宋体" w:eastAsia="宋体" w:cs="宋体"/>
          <w:b/>
          <w:bCs/>
          <w:kern w:val="0"/>
          <w:sz w:val="32"/>
          <w:szCs w:val="32"/>
        </w:rPr>
        <w:t>）</w:t>
      </w:r>
    </w:p>
    <w:p>
      <w:pPr>
        <w:pStyle w:val="17"/>
        <w:keepNext w:val="0"/>
        <w:keepLines w:val="0"/>
        <w:widowControl/>
        <w:suppressLineNumbers w:val="0"/>
        <w:rPr>
          <w:rFonts w:hint="eastAsia" w:ascii="宋体" w:hAnsi="宋体" w:eastAsia="宋体" w:cs="宋体"/>
          <w:i w:val="0"/>
          <w:caps w:val="0"/>
          <w:color w:val="000000"/>
          <w:spacing w:val="0"/>
          <w:sz w:val="18"/>
          <w:szCs w:val="18"/>
          <w:lang w:eastAsia="zh-CN"/>
        </w:rPr>
      </w:pPr>
      <w:bookmarkStart w:id="140" w:name="_Toc4654032"/>
      <w:bookmarkStart w:id="141" w:name="_Toc13217635"/>
      <w:bookmarkStart w:id="142" w:name="_Toc10202312"/>
      <w:bookmarkStart w:id="143" w:name="_Toc4767067"/>
      <w:bookmarkStart w:id="144" w:name="_Toc9583956"/>
      <w:bookmarkStart w:id="145" w:name="_Toc12609907"/>
      <w:bookmarkStart w:id="146" w:name="_Toc4596895"/>
      <w:bookmarkStart w:id="147" w:name="_Toc9597663"/>
      <w:bookmarkStart w:id="148" w:name="_Toc8313137"/>
      <w:bookmarkStart w:id="149" w:name="_Toc8991657"/>
      <w:bookmarkStart w:id="150" w:name="_Toc8378819"/>
      <w:r>
        <w:rPr>
          <w:rFonts w:ascii="宋体" w:hAnsi="宋体" w:eastAsia="宋体" w:cs="宋体"/>
          <w:i w:val="0"/>
          <w:caps w:val="0"/>
          <w:color w:val="000000"/>
          <w:spacing w:val="0"/>
          <w:sz w:val="18"/>
          <w:szCs w:val="18"/>
        </w:rPr>
        <w:t>本周纯碱市场</w:t>
      </w:r>
      <w:r>
        <w:rPr>
          <w:rFonts w:hint="eastAsia" w:cs="宋体"/>
          <w:i w:val="0"/>
          <w:caps w:val="0"/>
          <w:color w:val="000000"/>
          <w:spacing w:val="0"/>
          <w:sz w:val="18"/>
          <w:szCs w:val="18"/>
          <w:lang w:eastAsia="zh-CN"/>
        </w:rPr>
        <w:t>整体弱势运行，需求弱，企业出货缓慢。周内纯碱整体开工率75.35%，环比下调3.78%，周内纯碱产量53.62万吨，减少2.69万吨。金山检修、双环煤气化检修，骏化尚未开车，个别企业开工波动等影响，周内开工和产量表现下降趋势。周内纯碱库存75.53万吨，环比增加16.72万吨，轻重同步上涨。纯碱社会库存表现下降趋势，周内下降9.6万吨，仍有订单待发。对于部分下游玻璃企业纯碱库存了解，近期库存表现下降趋势，下降6天左右，库存接近47天。供应端，多数企业开工相对稳定，个别企业检修中，暂无新增检修计划，预计下周整体开工仍处于偏低水平。企业直销长协客户表现尚可，但新订单补充不足。需求端，下游需求不温不火，市场低价冲击，采购不积极。刚需用户按需采购，轻质下游库存不高，重碱下游消耗订单，库存低的企业询价补货。贸易商出货清淡，恐高心态下，部分低价出货，当前市场价格表现混乱，高低价差明显。月已过半，纯碱压力犹在，短期看纯碱企业或继续坚挺，价格灵活，一单一议，供需博弈延续。</w:t>
      </w:r>
    </w:p>
    <w:p>
      <w:pPr>
        <w:keepNext w:val="0"/>
        <w:keepLines w:val="0"/>
        <w:pageBreakBefore w:val="0"/>
        <w:widowControl/>
        <w:kinsoku/>
        <w:wordWrap/>
        <w:overflowPunct/>
        <w:topLinePunct w:val="0"/>
        <w:autoSpaceDE/>
        <w:autoSpaceDN/>
        <w:bidi w:val="0"/>
        <w:adjustRightInd/>
        <w:snapToGrid/>
        <w:spacing w:line="240" w:lineRule="auto"/>
        <w:ind w:firstLine="560"/>
        <w:jc w:val="left"/>
        <w:textAlignment w:val="auto"/>
        <w:rPr>
          <w:rFonts w:hint="eastAsia" w:ascii="仿宋" w:hAnsi="仿宋" w:eastAsia="仿宋" w:cs="仿宋"/>
          <w:sz w:val="18"/>
          <w:szCs w:val="18"/>
        </w:rPr>
      </w:pPr>
    </w:p>
    <w:p>
      <w:pPr>
        <w:ind w:firstLine="602"/>
        <w:rPr>
          <w:rStyle w:val="31"/>
          <w:rFonts w:cs="Times New Roman"/>
          <w:b/>
          <w:bCs/>
          <w:sz w:val="30"/>
          <w:szCs w:val="30"/>
        </w:rPr>
      </w:pPr>
      <w:r>
        <w:rPr>
          <w:rStyle w:val="31"/>
          <w:rFonts w:hint="eastAsia"/>
          <w:b/>
          <w:bCs/>
          <w:sz w:val="30"/>
          <w:szCs w:val="30"/>
        </w:rPr>
        <w:t>本周国内纯碱市场价格</w:t>
      </w:r>
      <w:bookmarkEnd w:id="139"/>
      <w:bookmarkEnd w:id="140"/>
      <w:bookmarkEnd w:id="141"/>
      <w:bookmarkEnd w:id="142"/>
      <w:bookmarkEnd w:id="143"/>
      <w:bookmarkEnd w:id="144"/>
      <w:bookmarkEnd w:id="145"/>
      <w:bookmarkEnd w:id="146"/>
      <w:bookmarkEnd w:id="147"/>
      <w:bookmarkEnd w:id="148"/>
      <w:bookmarkEnd w:id="149"/>
      <w:bookmarkEnd w:id="150"/>
    </w:p>
    <w:p>
      <w:pPr>
        <w:ind w:firstLine="602"/>
        <w:rPr>
          <w:rStyle w:val="31"/>
          <w:rFonts w:cs="Times New Roman"/>
          <w:b/>
          <w:bCs/>
          <w:sz w:val="30"/>
          <w:szCs w:val="30"/>
        </w:rPr>
      </w:pPr>
    </w:p>
    <w:tbl>
      <w:tblPr>
        <w:tblStyle w:val="19"/>
        <w:tblW w:w="8932" w:type="dxa"/>
        <w:tblInd w:w="-318" w:type="dxa"/>
        <w:tblLayout w:type="fixed"/>
        <w:tblCellMar>
          <w:top w:w="0" w:type="dxa"/>
          <w:left w:w="108" w:type="dxa"/>
          <w:bottom w:w="0" w:type="dxa"/>
          <w:right w:w="108" w:type="dxa"/>
        </w:tblCellMar>
      </w:tblPr>
      <w:tblGrid>
        <w:gridCol w:w="1702"/>
        <w:gridCol w:w="1454"/>
        <w:gridCol w:w="1444"/>
        <w:gridCol w:w="1444"/>
        <w:gridCol w:w="1444"/>
        <w:gridCol w:w="1444"/>
      </w:tblGrid>
      <w:tr>
        <w:tblPrEx>
          <w:tblCellMar>
            <w:top w:w="0" w:type="dxa"/>
            <w:left w:w="108" w:type="dxa"/>
            <w:bottom w:w="0" w:type="dxa"/>
            <w:right w:w="108" w:type="dxa"/>
          </w:tblCellMar>
        </w:tblPrEx>
        <w:trPr>
          <w:trHeight w:val="285" w:hRule="atLeast"/>
        </w:trPr>
        <w:tc>
          <w:tcPr>
            <w:tcW w:w="1702" w:type="dxa"/>
            <w:vMerge w:val="restart"/>
            <w:tcBorders>
              <w:top w:val="single" w:color="000000" w:sz="8" w:space="0"/>
              <w:left w:val="single" w:color="000000" w:sz="8" w:space="0"/>
              <w:bottom w:val="single" w:color="000000" w:sz="8" w:space="0"/>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日期</w:t>
            </w:r>
          </w:p>
        </w:tc>
        <w:tc>
          <w:tcPr>
            <w:tcW w:w="1454" w:type="dxa"/>
            <w:vMerge w:val="restart"/>
            <w:tcBorders>
              <w:top w:val="single" w:color="000000" w:sz="8" w:space="0"/>
              <w:left w:val="single" w:color="000000" w:sz="8" w:space="0"/>
              <w:bottom w:val="single" w:color="000000" w:sz="8" w:space="0"/>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地区</w:t>
            </w:r>
          </w:p>
        </w:tc>
        <w:tc>
          <w:tcPr>
            <w:tcW w:w="2888" w:type="dxa"/>
            <w:gridSpan w:val="2"/>
            <w:tcBorders>
              <w:top w:val="single" w:color="000000" w:sz="8" w:space="0"/>
              <w:left w:val="nil"/>
              <w:bottom w:val="single" w:color="000000" w:sz="8" w:space="0"/>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轻质碱</w:t>
            </w:r>
          </w:p>
        </w:tc>
        <w:tc>
          <w:tcPr>
            <w:tcW w:w="2888" w:type="dxa"/>
            <w:gridSpan w:val="2"/>
            <w:tcBorders>
              <w:top w:val="single" w:color="000000" w:sz="8" w:space="0"/>
              <w:left w:val="nil"/>
              <w:bottom w:val="single" w:color="000000" w:sz="8" w:space="0"/>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重质碱</w:t>
            </w:r>
          </w:p>
        </w:tc>
      </w:tr>
      <w:tr>
        <w:tblPrEx>
          <w:tblCellMar>
            <w:top w:w="0" w:type="dxa"/>
            <w:left w:w="108" w:type="dxa"/>
            <w:bottom w:w="0" w:type="dxa"/>
            <w:right w:w="108" w:type="dxa"/>
          </w:tblCellMar>
        </w:tblPrEx>
        <w:trPr>
          <w:trHeight w:val="285" w:hRule="atLeast"/>
        </w:trPr>
        <w:tc>
          <w:tcPr>
            <w:tcW w:w="1702" w:type="dxa"/>
            <w:vMerge w:val="continue"/>
            <w:tcBorders>
              <w:top w:val="single" w:color="000000" w:sz="8" w:space="0"/>
              <w:left w:val="single" w:color="000000" w:sz="8" w:space="0"/>
              <w:bottom w:val="single" w:color="000000" w:sz="8" w:space="0"/>
              <w:right w:val="single" w:color="000000" w:sz="8" w:space="0"/>
            </w:tcBorders>
            <w:vAlign w:val="center"/>
          </w:tcPr>
          <w:p>
            <w:pPr>
              <w:ind w:firstLine="402"/>
              <w:rPr>
                <w:rFonts w:ascii="宋体" w:cs="Times New Roman"/>
                <w:b/>
                <w:bCs/>
                <w:color w:val="000000"/>
                <w:kern w:val="0"/>
                <w:sz w:val="18"/>
                <w:szCs w:val="18"/>
              </w:rPr>
            </w:pPr>
          </w:p>
        </w:tc>
        <w:tc>
          <w:tcPr>
            <w:tcW w:w="1454" w:type="dxa"/>
            <w:vMerge w:val="continue"/>
            <w:tcBorders>
              <w:top w:val="single" w:color="000000" w:sz="8" w:space="0"/>
              <w:left w:val="single" w:color="000000" w:sz="8" w:space="0"/>
              <w:bottom w:val="single" w:color="000000" w:sz="8" w:space="0"/>
              <w:right w:val="single" w:color="000000" w:sz="8" w:space="0"/>
            </w:tcBorders>
            <w:vAlign w:val="center"/>
          </w:tcPr>
          <w:p>
            <w:pPr>
              <w:ind w:firstLine="402"/>
              <w:rPr>
                <w:rFonts w:ascii="宋体" w:cs="Times New Roman"/>
                <w:b/>
                <w:bCs/>
                <w:color w:val="000000"/>
                <w:kern w:val="0"/>
                <w:sz w:val="18"/>
                <w:szCs w:val="18"/>
              </w:rPr>
            </w:pPr>
          </w:p>
        </w:tc>
        <w:tc>
          <w:tcPr>
            <w:tcW w:w="1444" w:type="dxa"/>
            <w:tcBorders>
              <w:top w:val="nil"/>
              <w:left w:val="nil"/>
              <w:bottom w:val="nil"/>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低端价</w:t>
            </w:r>
          </w:p>
        </w:tc>
        <w:tc>
          <w:tcPr>
            <w:tcW w:w="1444" w:type="dxa"/>
            <w:tcBorders>
              <w:top w:val="nil"/>
              <w:left w:val="nil"/>
              <w:bottom w:val="nil"/>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高端价</w:t>
            </w:r>
          </w:p>
        </w:tc>
        <w:tc>
          <w:tcPr>
            <w:tcW w:w="1444" w:type="dxa"/>
            <w:tcBorders>
              <w:top w:val="nil"/>
              <w:left w:val="nil"/>
              <w:bottom w:val="nil"/>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低端价</w:t>
            </w:r>
          </w:p>
        </w:tc>
        <w:tc>
          <w:tcPr>
            <w:tcW w:w="1444" w:type="dxa"/>
            <w:tcBorders>
              <w:top w:val="nil"/>
              <w:left w:val="nil"/>
              <w:bottom w:val="nil"/>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高端价</w:t>
            </w:r>
          </w:p>
        </w:tc>
      </w:tr>
      <w:tr>
        <w:tblPrEx>
          <w:tblCellMar>
            <w:top w:w="0" w:type="dxa"/>
            <w:left w:w="108" w:type="dxa"/>
            <w:bottom w:w="0" w:type="dxa"/>
            <w:right w:w="108" w:type="dxa"/>
          </w:tblCellMar>
        </w:tblPrEx>
        <w:trPr>
          <w:trHeight w:val="462" w:hRule="atLeast"/>
        </w:trPr>
        <w:tc>
          <w:tcPr>
            <w:tcW w:w="1702" w:type="dxa"/>
            <w:tcBorders>
              <w:top w:val="nil"/>
              <w:left w:val="single" w:color="000000" w:sz="8" w:space="0"/>
              <w:bottom w:val="single" w:color="auto" w:sz="4" w:space="0"/>
              <w:right w:val="single" w:color="000000" w:sz="8" w:space="0"/>
            </w:tcBorders>
            <w:shd w:val="clear" w:color="000000" w:fill="FFFFFF"/>
          </w:tcPr>
          <w:p>
            <w:pPr>
              <w:ind w:firstLine="420"/>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rPr>
              <w:t>1</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11</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19</w:t>
            </w:r>
          </w:p>
        </w:tc>
        <w:tc>
          <w:tcPr>
            <w:tcW w:w="1454" w:type="dxa"/>
            <w:tcBorders>
              <w:top w:val="nil"/>
              <w:left w:val="nil"/>
              <w:bottom w:val="single" w:color="auto" w:sz="4"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华东</w:t>
            </w:r>
          </w:p>
        </w:tc>
        <w:tc>
          <w:tcPr>
            <w:tcW w:w="1444" w:type="dxa"/>
            <w:tcBorders>
              <w:top w:val="single" w:color="000000" w:sz="8" w:space="0"/>
              <w:left w:val="nil"/>
              <w:bottom w:val="single" w:color="auto" w:sz="4" w:space="0"/>
              <w:right w:val="single" w:color="000000" w:sz="8" w:space="0"/>
            </w:tcBorders>
            <w:shd w:val="clear" w:color="000000" w:fill="FFFFFF"/>
            <w:vAlign w:val="bottom"/>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3000</w:t>
            </w:r>
          </w:p>
        </w:tc>
        <w:tc>
          <w:tcPr>
            <w:tcW w:w="1444" w:type="dxa"/>
            <w:tcBorders>
              <w:top w:val="single" w:color="000000" w:sz="8" w:space="0"/>
              <w:left w:val="nil"/>
              <w:bottom w:val="single" w:color="auto" w:sz="4" w:space="0"/>
              <w:right w:val="single" w:color="000000" w:sz="8" w:space="0"/>
            </w:tcBorders>
            <w:shd w:val="clear" w:color="000000" w:fill="FFFFFF"/>
            <w:vAlign w:val="center"/>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3850</w:t>
            </w:r>
          </w:p>
        </w:tc>
        <w:tc>
          <w:tcPr>
            <w:tcW w:w="1444" w:type="dxa"/>
            <w:tcBorders>
              <w:top w:val="single" w:color="000000" w:sz="8" w:space="0"/>
              <w:left w:val="nil"/>
              <w:bottom w:val="single" w:color="auto" w:sz="4" w:space="0"/>
              <w:right w:val="single" w:color="000000" w:sz="8" w:space="0"/>
            </w:tcBorders>
            <w:shd w:val="clear" w:color="000000" w:fill="FFFFFF"/>
            <w:vAlign w:val="bottom"/>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3600</w:t>
            </w:r>
          </w:p>
        </w:tc>
        <w:tc>
          <w:tcPr>
            <w:tcW w:w="1444" w:type="dxa"/>
            <w:tcBorders>
              <w:top w:val="single" w:color="000000" w:sz="8" w:space="0"/>
              <w:left w:val="nil"/>
              <w:bottom w:val="single" w:color="auto" w:sz="4" w:space="0"/>
              <w:right w:val="single" w:color="000000" w:sz="8" w:space="0"/>
            </w:tcBorders>
            <w:shd w:val="clear" w:color="000000" w:fill="FFFFFF"/>
            <w:vAlign w:val="center"/>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3800</w:t>
            </w:r>
          </w:p>
        </w:tc>
      </w:tr>
      <w:tr>
        <w:tblPrEx>
          <w:tblCellMar>
            <w:top w:w="0" w:type="dxa"/>
            <w:left w:w="108" w:type="dxa"/>
            <w:bottom w:w="0" w:type="dxa"/>
            <w:right w:w="108" w:type="dxa"/>
          </w:tblCellMar>
        </w:tblPrEx>
        <w:trPr>
          <w:trHeight w:val="90" w:hRule="atLeast"/>
        </w:trPr>
        <w:tc>
          <w:tcPr>
            <w:tcW w:w="1702" w:type="dxa"/>
            <w:tcBorders>
              <w:top w:val="single" w:color="auto" w:sz="4" w:space="0"/>
              <w:left w:val="single" w:color="auto" w:sz="4" w:space="0"/>
              <w:bottom w:val="single" w:color="auto" w:sz="4" w:space="0"/>
              <w:right w:val="single" w:color="auto" w:sz="4" w:space="0"/>
            </w:tcBorders>
            <w:shd w:val="clear" w:color="000000" w:fill="FFFFFF"/>
          </w:tcPr>
          <w:p>
            <w:pPr>
              <w:ind w:firstLine="360" w:firstLineChars="200"/>
              <w:rPr>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rPr>
              <w:t>1</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11</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19</w:t>
            </w:r>
          </w:p>
        </w:tc>
        <w:tc>
          <w:tcPr>
            <w:tcW w:w="1454"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20"/>
              <w:rPr>
                <w:rFonts w:cs="Times New Roman"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华南</w:t>
            </w:r>
          </w:p>
        </w:tc>
        <w:tc>
          <w:tcPr>
            <w:tcW w:w="1444" w:type="dxa"/>
            <w:tcBorders>
              <w:top w:val="single" w:color="auto" w:sz="4" w:space="0"/>
              <w:left w:val="single" w:color="auto" w:sz="4" w:space="0"/>
              <w:bottom w:val="single" w:color="auto" w:sz="4" w:space="0"/>
              <w:right w:val="single" w:color="auto" w:sz="4" w:space="0"/>
            </w:tcBorders>
            <w:shd w:val="clear" w:color="000000" w:fill="FFFFFF"/>
            <w:vAlign w:val="bottom"/>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3600</w:t>
            </w:r>
          </w:p>
        </w:tc>
        <w:tc>
          <w:tcPr>
            <w:tcW w:w="1444" w:type="dxa"/>
            <w:tcBorders>
              <w:top w:val="single" w:color="auto" w:sz="4" w:space="0"/>
              <w:left w:val="single" w:color="auto" w:sz="4" w:space="0"/>
              <w:bottom w:val="single" w:color="auto" w:sz="4" w:space="0"/>
              <w:right w:val="single" w:color="auto" w:sz="4" w:space="0"/>
            </w:tcBorders>
            <w:shd w:val="clear" w:color="000000" w:fill="FFFFFF"/>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3700</w:t>
            </w:r>
          </w:p>
        </w:tc>
        <w:tc>
          <w:tcPr>
            <w:tcW w:w="1444" w:type="dxa"/>
            <w:tcBorders>
              <w:top w:val="single" w:color="auto" w:sz="4" w:space="0"/>
              <w:left w:val="single" w:color="auto" w:sz="4" w:space="0"/>
              <w:bottom w:val="single" w:color="auto" w:sz="4" w:space="0"/>
              <w:right w:val="single" w:color="auto" w:sz="4" w:space="0"/>
            </w:tcBorders>
            <w:shd w:val="clear" w:color="000000" w:fill="FFFFFF"/>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3650</w:t>
            </w:r>
          </w:p>
        </w:tc>
        <w:tc>
          <w:tcPr>
            <w:tcW w:w="1444" w:type="dxa"/>
            <w:tcBorders>
              <w:top w:val="single" w:color="auto" w:sz="4" w:space="0"/>
              <w:left w:val="single" w:color="auto" w:sz="4" w:space="0"/>
              <w:bottom w:val="single" w:color="auto" w:sz="4" w:space="0"/>
              <w:right w:val="single" w:color="auto" w:sz="4" w:space="0"/>
            </w:tcBorders>
            <w:shd w:val="clear" w:color="000000" w:fill="FFFFFF"/>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3800</w:t>
            </w:r>
          </w:p>
        </w:tc>
      </w:tr>
      <w:tr>
        <w:tblPrEx>
          <w:tblCellMar>
            <w:top w:w="0" w:type="dxa"/>
            <w:left w:w="108" w:type="dxa"/>
            <w:bottom w:w="0" w:type="dxa"/>
            <w:right w:w="108" w:type="dxa"/>
          </w:tblCellMar>
        </w:tblPrEx>
        <w:trPr>
          <w:trHeight w:val="285" w:hRule="atLeast"/>
        </w:trPr>
        <w:tc>
          <w:tcPr>
            <w:tcW w:w="1702" w:type="dxa"/>
            <w:tcBorders>
              <w:top w:val="single" w:color="auto" w:sz="4" w:space="0"/>
              <w:left w:val="single" w:color="auto" w:sz="4" w:space="0"/>
              <w:bottom w:val="single" w:color="auto" w:sz="4" w:space="0"/>
              <w:right w:val="single" w:color="auto" w:sz="4" w:space="0"/>
            </w:tcBorders>
            <w:shd w:val="clear" w:color="000000" w:fill="FFFFFF"/>
          </w:tcPr>
          <w:p>
            <w:pPr>
              <w:ind w:firstLine="360" w:firstLineChars="200"/>
              <w:rPr>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rPr>
              <w:t>1</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11</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19</w:t>
            </w:r>
          </w:p>
        </w:tc>
        <w:tc>
          <w:tcPr>
            <w:tcW w:w="1454"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20"/>
              <w:rPr>
                <w:rFonts w:cs="Times New Roman"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华北</w:t>
            </w:r>
          </w:p>
        </w:tc>
        <w:tc>
          <w:tcPr>
            <w:tcW w:w="1444" w:type="dxa"/>
            <w:tcBorders>
              <w:top w:val="single" w:color="auto" w:sz="4" w:space="0"/>
              <w:left w:val="single" w:color="auto" w:sz="4" w:space="0"/>
              <w:bottom w:val="single" w:color="auto" w:sz="4" w:space="0"/>
              <w:right w:val="single" w:color="auto" w:sz="4" w:space="0"/>
            </w:tcBorders>
            <w:shd w:val="clear" w:color="000000" w:fill="FFFFFF"/>
            <w:vAlign w:val="bottom"/>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3700</w:t>
            </w:r>
          </w:p>
        </w:tc>
        <w:tc>
          <w:tcPr>
            <w:tcW w:w="1444"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3900</w:t>
            </w:r>
          </w:p>
        </w:tc>
        <w:tc>
          <w:tcPr>
            <w:tcW w:w="1444" w:type="dxa"/>
            <w:tcBorders>
              <w:top w:val="single" w:color="auto" w:sz="4" w:space="0"/>
              <w:left w:val="single" w:color="auto" w:sz="4" w:space="0"/>
              <w:bottom w:val="single" w:color="auto" w:sz="4" w:space="0"/>
              <w:right w:val="single" w:color="auto" w:sz="4" w:space="0"/>
            </w:tcBorders>
            <w:shd w:val="clear" w:color="000000" w:fill="FFFFFF"/>
            <w:vAlign w:val="bottom"/>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3800</w:t>
            </w:r>
          </w:p>
        </w:tc>
        <w:tc>
          <w:tcPr>
            <w:tcW w:w="1444"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3900</w:t>
            </w:r>
          </w:p>
        </w:tc>
      </w:tr>
      <w:tr>
        <w:tblPrEx>
          <w:tblCellMar>
            <w:top w:w="0" w:type="dxa"/>
            <w:left w:w="108" w:type="dxa"/>
            <w:bottom w:w="0" w:type="dxa"/>
            <w:right w:w="108" w:type="dxa"/>
          </w:tblCellMar>
        </w:tblPrEx>
        <w:trPr>
          <w:trHeight w:val="285" w:hRule="atLeast"/>
        </w:trPr>
        <w:tc>
          <w:tcPr>
            <w:tcW w:w="1702" w:type="dxa"/>
            <w:tcBorders>
              <w:top w:val="single" w:color="auto" w:sz="4" w:space="0"/>
              <w:left w:val="single" w:color="auto" w:sz="4" w:space="0"/>
              <w:bottom w:val="single" w:color="auto" w:sz="4" w:space="0"/>
              <w:right w:val="single" w:color="auto" w:sz="4" w:space="0"/>
            </w:tcBorders>
            <w:shd w:val="clear" w:color="000000" w:fill="FFFFFF"/>
          </w:tcPr>
          <w:p>
            <w:pPr>
              <w:ind w:firstLine="360" w:firstLineChars="200"/>
              <w:rPr>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rPr>
              <w:t>1</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11</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19</w:t>
            </w:r>
          </w:p>
        </w:tc>
        <w:tc>
          <w:tcPr>
            <w:tcW w:w="1454"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20"/>
              <w:rPr>
                <w:rFonts w:cs="Times New Roman"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东北</w:t>
            </w:r>
          </w:p>
        </w:tc>
        <w:tc>
          <w:tcPr>
            <w:tcW w:w="1444" w:type="dxa"/>
            <w:tcBorders>
              <w:top w:val="single" w:color="auto" w:sz="4" w:space="0"/>
              <w:left w:val="single" w:color="auto" w:sz="4" w:space="0"/>
              <w:bottom w:val="single" w:color="auto" w:sz="4" w:space="0"/>
              <w:right w:val="single" w:color="auto" w:sz="4" w:space="0"/>
            </w:tcBorders>
            <w:shd w:val="clear" w:color="000000" w:fill="FFFFFF"/>
            <w:vAlign w:val="bottom"/>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3750</w:t>
            </w:r>
          </w:p>
        </w:tc>
        <w:tc>
          <w:tcPr>
            <w:tcW w:w="1444"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3900</w:t>
            </w:r>
          </w:p>
        </w:tc>
        <w:tc>
          <w:tcPr>
            <w:tcW w:w="1444" w:type="dxa"/>
            <w:tcBorders>
              <w:top w:val="single" w:color="auto" w:sz="4" w:space="0"/>
              <w:left w:val="single" w:color="auto" w:sz="4" w:space="0"/>
              <w:bottom w:val="single" w:color="auto" w:sz="4" w:space="0"/>
              <w:right w:val="single" w:color="auto" w:sz="4" w:space="0"/>
            </w:tcBorders>
            <w:shd w:val="clear" w:color="000000" w:fill="FFFFFF"/>
            <w:vAlign w:val="bottom"/>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3800</w:t>
            </w:r>
          </w:p>
        </w:tc>
        <w:tc>
          <w:tcPr>
            <w:tcW w:w="1444"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3900</w:t>
            </w:r>
          </w:p>
        </w:tc>
      </w:tr>
      <w:tr>
        <w:tblPrEx>
          <w:tblCellMar>
            <w:top w:w="0" w:type="dxa"/>
            <w:left w:w="108" w:type="dxa"/>
            <w:bottom w:w="0" w:type="dxa"/>
            <w:right w:w="108" w:type="dxa"/>
          </w:tblCellMar>
        </w:tblPrEx>
        <w:trPr>
          <w:trHeight w:val="330" w:hRule="atLeast"/>
        </w:trPr>
        <w:tc>
          <w:tcPr>
            <w:tcW w:w="1702" w:type="dxa"/>
            <w:tcBorders>
              <w:top w:val="single" w:color="auto" w:sz="4" w:space="0"/>
              <w:left w:val="single" w:color="auto" w:sz="4" w:space="0"/>
              <w:bottom w:val="single" w:color="auto" w:sz="4" w:space="0"/>
              <w:right w:val="single" w:color="auto" w:sz="4" w:space="0"/>
            </w:tcBorders>
            <w:shd w:val="clear" w:color="000000" w:fill="FFFFFF"/>
          </w:tcPr>
          <w:p>
            <w:pPr>
              <w:ind w:firstLine="360" w:firstLineChars="200"/>
              <w:rPr>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rPr>
              <w:t>1</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11</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19</w:t>
            </w:r>
          </w:p>
        </w:tc>
        <w:tc>
          <w:tcPr>
            <w:tcW w:w="1454"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20"/>
              <w:rPr>
                <w:rFonts w:cs="Times New Roman"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西南</w:t>
            </w:r>
          </w:p>
        </w:tc>
        <w:tc>
          <w:tcPr>
            <w:tcW w:w="1444" w:type="dxa"/>
            <w:tcBorders>
              <w:top w:val="single" w:color="auto" w:sz="4" w:space="0"/>
              <w:left w:val="single" w:color="auto" w:sz="4" w:space="0"/>
              <w:bottom w:val="single" w:color="auto" w:sz="4" w:space="0"/>
              <w:right w:val="single" w:color="auto" w:sz="4" w:space="0"/>
            </w:tcBorders>
            <w:shd w:val="clear" w:color="000000" w:fill="FFFFFF"/>
            <w:vAlign w:val="bottom"/>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3700</w:t>
            </w:r>
          </w:p>
        </w:tc>
        <w:tc>
          <w:tcPr>
            <w:tcW w:w="1444"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3800</w:t>
            </w:r>
          </w:p>
        </w:tc>
        <w:tc>
          <w:tcPr>
            <w:tcW w:w="1444" w:type="dxa"/>
            <w:tcBorders>
              <w:top w:val="single" w:color="auto" w:sz="4" w:space="0"/>
              <w:left w:val="single" w:color="auto" w:sz="4" w:space="0"/>
              <w:bottom w:val="single" w:color="auto" w:sz="4" w:space="0"/>
              <w:right w:val="single" w:color="auto" w:sz="4" w:space="0"/>
            </w:tcBorders>
            <w:shd w:val="clear" w:color="000000" w:fill="FFFFFF"/>
            <w:vAlign w:val="bottom"/>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3900</w:t>
            </w:r>
          </w:p>
        </w:tc>
        <w:tc>
          <w:tcPr>
            <w:tcW w:w="1444"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3950</w:t>
            </w:r>
          </w:p>
        </w:tc>
      </w:tr>
      <w:tr>
        <w:tblPrEx>
          <w:tblCellMar>
            <w:top w:w="0" w:type="dxa"/>
            <w:left w:w="108" w:type="dxa"/>
            <w:bottom w:w="0" w:type="dxa"/>
            <w:right w:w="108" w:type="dxa"/>
          </w:tblCellMar>
        </w:tblPrEx>
        <w:trPr>
          <w:trHeight w:val="285" w:hRule="atLeast"/>
        </w:trPr>
        <w:tc>
          <w:tcPr>
            <w:tcW w:w="1702" w:type="dxa"/>
            <w:tcBorders>
              <w:top w:val="single" w:color="auto" w:sz="4" w:space="0"/>
              <w:left w:val="single" w:color="auto" w:sz="4" w:space="0"/>
              <w:bottom w:val="single" w:color="auto" w:sz="4" w:space="0"/>
              <w:right w:val="single" w:color="auto" w:sz="4" w:space="0"/>
            </w:tcBorders>
            <w:shd w:val="clear" w:color="000000" w:fill="FFFFFF"/>
          </w:tcPr>
          <w:p>
            <w:pPr>
              <w:ind w:firstLine="360" w:firstLineChars="200"/>
              <w:rPr>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rPr>
              <w:t>1</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11</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19</w:t>
            </w:r>
          </w:p>
        </w:tc>
        <w:tc>
          <w:tcPr>
            <w:tcW w:w="1454"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20"/>
              <w:rPr>
                <w:rFonts w:cs="Times New Roman"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华中</w:t>
            </w:r>
          </w:p>
        </w:tc>
        <w:tc>
          <w:tcPr>
            <w:tcW w:w="1444" w:type="dxa"/>
            <w:tcBorders>
              <w:top w:val="single" w:color="auto" w:sz="4" w:space="0"/>
              <w:left w:val="single" w:color="auto" w:sz="4" w:space="0"/>
              <w:bottom w:val="single" w:color="auto" w:sz="4" w:space="0"/>
              <w:right w:val="single" w:color="auto" w:sz="4" w:space="0"/>
            </w:tcBorders>
            <w:shd w:val="clear" w:color="000000" w:fill="FFFFFF"/>
            <w:vAlign w:val="bottom"/>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3200</w:t>
            </w:r>
          </w:p>
        </w:tc>
        <w:tc>
          <w:tcPr>
            <w:tcW w:w="1444"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3400</w:t>
            </w:r>
          </w:p>
        </w:tc>
        <w:tc>
          <w:tcPr>
            <w:tcW w:w="1444" w:type="dxa"/>
            <w:tcBorders>
              <w:top w:val="single" w:color="auto" w:sz="4" w:space="0"/>
              <w:left w:val="single" w:color="auto" w:sz="4" w:space="0"/>
              <w:bottom w:val="single" w:color="auto" w:sz="4" w:space="0"/>
              <w:right w:val="single" w:color="auto" w:sz="4" w:space="0"/>
            </w:tcBorders>
            <w:shd w:val="clear" w:color="000000" w:fill="FFFFFF"/>
            <w:vAlign w:val="bottom"/>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3500</w:t>
            </w:r>
          </w:p>
        </w:tc>
        <w:tc>
          <w:tcPr>
            <w:tcW w:w="1444"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3650</w:t>
            </w:r>
          </w:p>
        </w:tc>
      </w:tr>
      <w:tr>
        <w:tblPrEx>
          <w:tblCellMar>
            <w:top w:w="0" w:type="dxa"/>
            <w:left w:w="108" w:type="dxa"/>
            <w:bottom w:w="0" w:type="dxa"/>
            <w:right w:w="108" w:type="dxa"/>
          </w:tblCellMar>
        </w:tblPrEx>
        <w:trPr>
          <w:trHeight w:val="285" w:hRule="atLeast"/>
        </w:trPr>
        <w:tc>
          <w:tcPr>
            <w:tcW w:w="1702" w:type="dxa"/>
            <w:tcBorders>
              <w:top w:val="single" w:color="auto" w:sz="4" w:space="0"/>
              <w:left w:val="single" w:color="auto" w:sz="4" w:space="0"/>
              <w:bottom w:val="single" w:color="auto" w:sz="4" w:space="0"/>
              <w:right w:val="single" w:color="auto" w:sz="4" w:space="0"/>
            </w:tcBorders>
            <w:shd w:val="clear" w:color="000000" w:fill="FFFFFF"/>
          </w:tcPr>
          <w:p>
            <w:pPr>
              <w:ind w:firstLine="360" w:firstLineChars="200"/>
              <w:rPr>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rPr>
              <w:t>1</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11</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19</w:t>
            </w:r>
          </w:p>
        </w:tc>
        <w:tc>
          <w:tcPr>
            <w:tcW w:w="1454"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20"/>
              <w:rPr>
                <w:rFonts w:cs="Times New Roman"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西北</w:t>
            </w:r>
          </w:p>
        </w:tc>
        <w:tc>
          <w:tcPr>
            <w:tcW w:w="1444" w:type="dxa"/>
            <w:tcBorders>
              <w:top w:val="single" w:color="auto" w:sz="4" w:space="0"/>
              <w:left w:val="single" w:color="auto" w:sz="4" w:space="0"/>
              <w:bottom w:val="single" w:color="auto" w:sz="4" w:space="0"/>
              <w:right w:val="single" w:color="auto" w:sz="4" w:space="0"/>
            </w:tcBorders>
            <w:shd w:val="clear" w:color="000000" w:fill="FFFFFF"/>
            <w:vAlign w:val="bottom"/>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3450</w:t>
            </w:r>
          </w:p>
        </w:tc>
        <w:tc>
          <w:tcPr>
            <w:tcW w:w="1444"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3550</w:t>
            </w:r>
          </w:p>
        </w:tc>
        <w:tc>
          <w:tcPr>
            <w:tcW w:w="1444" w:type="dxa"/>
            <w:tcBorders>
              <w:top w:val="single" w:color="auto" w:sz="4" w:space="0"/>
              <w:left w:val="single" w:color="auto" w:sz="4" w:space="0"/>
              <w:bottom w:val="single" w:color="auto" w:sz="4" w:space="0"/>
              <w:right w:val="single" w:color="auto" w:sz="4" w:space="0"/>
            </w:tcBorders>
            <w:shd w:val="clear" w:color="000000" w:fill="FFFFFF"/>
            <w:vAlign w:val="bottom"/>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3500</w:t>
            </w:r>
          </w:p>
        </w:tc>
        <w:tc>
          <w:tcPr>
            <w:tcW w:w="1444"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3550</w:t>
            </w:r>
          </w:p>
        </w:tc>
      </w:tr>
    </w:tbl>
    <w:p>
      <w:pPr>
        <w:ind w:left="0" w:leftChars="0" w:firstLine="0" w:firstLineChars="0"/>
        <w:rPr>
          <w:rFonts w:hint="eastAsia" w:ascii="宋体" w:hAnsi="宋体" w:eastAsia="宋体" w:cs="宋体"/>
          <w:sz w:val="36"/>
          <w:szCs w:val="36"/>
        </w:rPr>
      </w:pPr>
      <w:bookmarkStart w:id="151" w:name="_Toc515610375"/>
      <w:bookmarkStart w:id="152" w:name="_Toc525289548"/>
      <w:bookmarkStart w:id="153" w:name="_Toc535588710"/>
      <w:bookmarkStart w:id="154" w:name="_Toc4139108"/>
      <w:bookmarkStart w:id="155" w:name="_Toc522870762"/>
      <w:bookmarkStart w:id="156" w:name="_Toc518032001"/>
      <w:bookmarkStart w:id="157" w:name="_Toc534378402"/>
      <w:bookmarkStart w:id="158" w:name="_Toc12609908"/>
      <w:bookmarkStart w:id="159" w:name="_Toc536198169"/>
      <w:bookmarkStart w:id="160" w:name="_Toc534915167"/>
      <w:bookmarkStart w:id="161" w:name="_Toc522870747"/>
      <w:bookmarkStart w:id="162" w:name="_Toc518638261"/>
      <w:bookmarkStart w:id="163" w:name="_Toc520465078"/>
      <w:bookmarkStart w:id="164" w:name="_Toc525912528"/>
      <w:bookmarkStart w:id="165" w:name="_Toc511390007"/>
      <w:bookmarkStart w:id="166" w:name="_Toc516234893"/>
      <w:bookmarkStart w:id="167" w:name="_Toc516839086"/>
      <w:bookmarkStart w:id="168" w:name="_Toc392240279"/>
      <w:bookmarkStart w:id="169" w:name="_Toc1739296"/>
      <w:bookmarkStart w:id="170" w:name="_Toc9597664"/>
      <w:bookmarkStart w:id="171" w:name="_Toc524091683"/>
      <w:bookmarkStart w:id="172" w:name="_Toc8991658"/>
      <w:bookmarkStart w:id="173" w:name="_Toc4596896"/>
      <w:bookmarkStart w:id="174" w:name="_Toc525306476"/>
      <w:bookmarkStart w:id="175" w:name="_Toc522870771"/>
      <w:bookmarkStart w:id="176" w:name="_Toc522870753"/>
      <w:bookmarkStart w:id="177" w:name="_Toc531954274"/>
      <w:bookmarkStart w:id="178" w:name="_Toc525306465"/>
      <w:bookmarkStart w:id="179" w:name="_Toc530128351"/>
      <w:bookmarkStart w:id="180" w:name="_Toc528930995"/>
      <w:bookmarkStart w:id="181" w:name="_Toc532564039"/>
      <w:bookmarkStart w:id="182" w:name="_Toc528919988"/>
      <w:bookmarkStart w:id="183" w:name="_Toc1394102"/>
      <w:bookmarkStart w:id="184" w:name="_Toc536541139"/>
      <w:bookmarkStart w:id="185" w:name="_Toc4767068"/>
      <w:bookmarkStart w:id="186" w:name="_Toc517425040"/>
      <w:bookmarkStart w:id="187" w:name="_Toc519848559"/>
      <w:bookmarkStart w:id="188" w:name="_Toc9583957"/>
      <w:bookmarkStart w:id="189" w:name="_Toc532564262"/>
      <w:bookmarkStart w:id="190" w:name="_Toc4654033"/>
      <w:bookmarkStart w:id="191" w:name="_Toc536789787"/>
      <w:bookmarkStart w:id="192" w:name="_Toc524701466"/>
      <w:bookmarkStart w:id="193" w:name="_Toc1035932"/>
      <w:bookmarkStart w:id="194" w:name="_Toc532564065"/>
      <w:bookmarkStart w:id="195" w:name="_Toc521057603"/>
      <w:bookmarkStart w:id="196" w:name="_Toc533149332"/>
      <w:bookmarkStart w:id="197" w:name="_Toc1139287"/>
      <w:bookmarkStart w:id="198" w:name="_Toc527101792"/>
      <w:bookmarkStart w:id="199" w:name="_Toc522259766"/>
      <w:bookmarkStart w:id="200" w:name="_Toc529526327"/>
      <w:bookmarkStart w:id="201" w:name="_Toc530750141"/>
      <w:bookmarkStart w:id="202" w:name="_Toc10202313"/>
      <w:bookmarkStart w:id="203" w:name="_Toc485981323"/>
      <w:bookmarkStart w:id="204" w:name="_Toc536540309"/>
      <w:bookmarkStart w:id="205" w:name="_Toc528329958"/>
      <w:bookmarkStart w:id="206" w:name="_Toc13217636"/>
      <w:bookmarkStart w:id="207" w:name="_Toc521660549"/>
      <w:bookmarkStart w:id="208" w:name="_Toc527705002"/>
      <w:bookmarkStart w:id="209" w:name="_Toc8313138"/>
      <w:bookmarkStart w:id="210" w:name="_Toc516234899"/>
      <w:bookmarkStart w:id="211" w:name="_Toc8378820"/>
      <w:bookmarkStart w:id="212" w:name="_Toc522280056"/>
      <w:bookmarkStart w:id="213" w:name="_Toc513127192"/>
      <w:r>
        <w:rPr>
          <w:rFonts w:hint="eastAsia" w:ascii="宋体" w:hAnsi="宋体" w:eastAsia="宋体" w:cs="宋体"/>
          <w:b/>
          <w:bCs/>
          <w:sz w:val="36"/>
          <w:szCs w:val="36"/>
        </w:rPr>
        <w:t>烧碱</w:t>
      </w:r>
      <w:bookmarkEnd w:id="64"/>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Start w:id="214" w:name="_Toc8313139"/>
      <w:bookmarkStart w:id="215" w:name="_Toc9597665"/>
      <w:bookmarkStart w:id="216" w:name="_Toc8378821"/>
      <w:bookmarkStart w:id="217" w:name="_Toc4767069"/>
      <w:bookmarkStart w:id="218" w:name="_Toc10202314"/>
      <w:bookmarkStart w:id="219" w:name="_Toc8991659"/>
      <w:bookmarkStart w:id="220" w:name="_Toc300238848"/>
      <w:bookmarkStart w:id="221" w:name="_Toc4596897"/>
      <w:bookmarkStart w:id="222" w:name="_Toc4654034"/>
      <w:bookmarkStart w:id="223" w:name="_Toc12609909"/>
      <w:bookmarkStart w:id="224" w:name="_Toc9583958"/>
      <w:bookmarkStart w:id="225" w:name="_Toc252539754"/>
      <w:bookmarkStart w:id="226" w:name="_Toc250731925"/>
      <w:bookmarkStart w:id="227" w:name="_Toc13217637"/>
      <w:bookmarkStart w:id="228" w:name="_Toc295403449"/>
    </w:p>
    <w:p>
      <w:pPr>
        <w:ind w:firstLine="602"/>
        <w:rPr>
          <w:rFonts w:hint="eastAsia" w:ascii="宋体" w:hAnsi="宋体" w:eastAsia="宋体" w:cs="宋体"/>
          <w:b/>
          <w:bCs/>
          <w:sz w:val="32"/>
          <w:szCs w:val="32"/>
        </w:rPr>
      </w:pPr>
      <w:r>
        <w:rPr>
          <w:rFonts w:hint="eastAsia" w:ascii="宋体" w:hAnsi="宋体" w:eastAsia="宋体" w:cs="宋体"/>
          <w:b/>
          <w:bCs/>
          <w:sz w:val="32"/>
          <w:szCs w:val="32"/>
        </w:rPr>
        <w:t>中国烧碱市场行情综述</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Start w:id="229" w:name="_Toc300238850"/>
      <w:bookmarkStart w:id="230" w:name="_Toc392240280"/>
      <w:bookmarkStart w:id="231" w:name="_Toc295403451"/>
      <w:bookmarkStart w:id="232" w:name="_Toc264643747"/>
    </w:p>
    <w:p>
      <w:pPr>
        <w:ind w:firstLine="600"/>
        <w:rPr>
          <w:rFonts w:hint="eastAsia" w:ascii="宋体" w:hAnsi="宋体" w:eastAsia="宋体" w:cs="宋体"/>
          <w:b/>
          <w:bCs/>
          <w:kern w:val="0"/>
          <w:sz w:val="30"/>
          <w:szCs w:val="30"/>
        </w:rPr>
      </w:pPr>
      <w:bookmarkStart w:id="233" w:name="_Toc4654035"/>
      <w:bookmarkStart w:id="234" w:name="_Toc4767070"/>
      <w:bookmarkStart w:id="235" w:name="_Toc8991660"/>
      <w:bookmarkStart w:id="236" w:name="_Toc9583959"/>
      <w:bookmarkStart w:id="237" w:name="_Toc13217638"/>
      <w:bookmarkStart w:id="238" w:name="_Toc10202315"/>
      <w:bookmarkStart w:id="239" w:name="_Toc4596898"/>
      <w:bookmarkStart w:id="240" w:name="_Toc8378822"/>
      <w:bookmarkStart w:id="241" w:name="_Toc9597666"/>
      <w:bookmarkStart w:id="242" w:name="_Toc8313140"/>
      <w:bookmarkStart w:id="243" w:name="_Toc12609910"/>
      <w:r>
        <w:rPr>
          <w:rFonts w:hint="eastAsia" w:ascii="宋体" w:hAnsi="宋体" w:eastAsia="宋体" w:cs="宋体"/>
          <w:b/>
          <w:bCs/>
          <w:sz w:val="30"/>
          <w:szCs w:val="30"/>
        </w:rPr>
        <w:t>市场综述</w:t>
      </w:r>
      <w:bookmarkEnd w:id="233"/>
      <w:bookmarkEnd w:id="234"/>
      <w:bookmarkEnd w:id="235"/>
      <w:bookmarkEnd w:id="236"/>
      <w:bookmarkEnd w:id="237"/>
      <w:bookmarkEnd w:id="238"/>
      <w:bookmarkEnd w:id="239"/>
      <w:bookmarkEnd w:id="240"/>
      <w:bookmarkEnd w:id="241"/>
      <w:bookmarkEnd w:id="242"/>
      <w:bookmarkEnd w:id="243"/>
      <w:r>
        <w:rPr>
          <w:rFonts w:hint="eastAsia" w:ascii="宋体" w:hAnsi="宋体" w:eastAsia="宋体" w:cs="宋体"/>
          <w:b/>
          <w:bCs/>
          <w:sz w:val="30"/>
          <w:szCs w:val="30"/>
        </w:rPr>
        <w:t>及</w:t>
      </w:r>
      <w:r>
        <w:rPr>
          <w:rFonts w:hint="eastAsia" w:ascii="宋体" w:hAnsi="宋体" w:eastAsia="宋体" w:cs="宋体"/>
          <w:b/>
          <w:bCs/>
          <w:kern w:val="0"/>
          <w:sz w:val="30"/>
          <w:szCs w:val="30"/>
        </w:rPr>
        <w:t>后市预测</w:t>
      </w:r>
    </w:p>
    <w:p>
      <w:pPr>
        <w:pStyle w:val="17"/>
        <w:keepNext w:val="0"/>
        <w:keepLines w:val="0"/>
        <w:widowControl/>
        <w:suppressLineNumbers w:val="0"/>
        <w:rPr>
          <w:rFonts w:hint="eastAsia" w:ascii="宋体" w:hAnsi="宋体" w:eastAsia="宋体" w:cs="宋体"/>
          <w:sz w:val="18"/>
          <w:szCs w:val="18"/>
          <w:lang w:eastAsia="zh-CN"/>
        </w:rPr>
      </w:pPr>
      <w:r>
        <w:rPr>
          <w:rFonts w:hint="eastAsia" w:ascii="宋体" w:hAnsi="宋体" w:eastAsia="宋体" w:cs="宋体"/>
          <w:sz w:val="18"/>
          <w:szCs w:val="18"/>
        </w:rPr>
        <w:t>本周局部地区液碱</w:t>
      </w:r>
      <w:bookmarkStart w:id="244" w:name="_Toc13217640"/>
      <w:bookmarkStart w:id="245" w:name="_Toc8991662"/>
      <w:bookmarkStart w:id="246" w:name="_Toc4596901"/>
      <w:bookmarkStart w:id="247" w:name="_Toc12609912"/>
      <w:bookmarkStart w:id="248" w:name="_Toc8378824"/>
      <w:bookmarkStart w:id="249" w:name="_Toc9597668"/>
      <w:bookmarkStart w:id="250" w:name="_Toc10202317"/>
      <w:bookmarkStart w:id="251" w:name="_Toc4654038"/>
      <w:bookmarkStart w:id="252" w:name="_Toc4767073"/>
      <w:bookmarkStart w:id="253" w:name="_Toc9583961"/>
      <w:bookmarkStart w:id="254" w:name="_Toc8313142"/>
      <w:r>
        <w:rPr>
          <w:rFonts w:hint="eastAsia" w:cs="宋体"/>
          <w:sz w:val="18"/>
          <w:szCs w:val="18"/>
          <w:lang w:eastAsia="zh-CN"/>
        </w:rPr>
        <w:t>行情下行为主</w:t>
      </w:r>
      <w:r>
        <w:rPr>
          <w:rFonts w:hint="eastAsia" w:ascii="宋体" w:hAnsi="宋体" w:eastAsia="宋体" w:cs="宋体"/>
          <w:sz w:val="18"/>
          <w:szCs w:val="18"/>
        </w:rPr>
        <w:t>，华东、华北、华中地区降负最大，达到了10%以上。周内，山东主力下游氧化铝企业采购32碱价格持续下调至900元/吨，受此影响，山东32碱价格跟跌明显，但部分企业考虑到出货及库存压力影响，多数企业32碱成交已跌破900元/吨，山东西南部、及南部市场出货相对平稳，32碱价格较高在930-1050元/吨不等；高度碱出口订单签订较好，企业低库存支撑下，高度碱价格开始反弹，上调幅度在60元/吨。在主产区山东液碱价格下调的利空带领下，其他地区液碱行情不同程度下调，华东地区32碱走货欠佳，市场价格降至1050-1150元/吨，且成交多数商谈为主，高度碱受到订单支撑，压力不大，市场价格在1900-2000元/吨附近，浙江市场受到低价货源冲击，送到萧绍价格跌至1200元/吨；安徽地区受到周边降价影响，价格也呈现下调趋势，32碱价格跌至1100-1150元/吨没，个别订单价格偏高。河南地区受到本月氧化铝采购订单上调较多，且前期散户价格维持较高影响，下游接货显乏力，受到山东价格连续下调影响，价格也呈现下调趋势，32碱跌至3500-3600元/吨（折百价），50碱跌至3600-3700元/吨。下周主产区高度碱受到出口价格好且订单较多支撑，价格仍存涨势，而32碱出货仍存在一定压力，主力下游氧化铝接货有限，或将有继续缓慢压价的可能。</w:t>
      </w:r>
    </w:p>
    <w:p>
      <w:pPr>
        <w:pStyle w:val="17"/>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rPr>
      </w:pPr>
    </w:p>
    <w:p>
      <w:pPr>
        <w:rPr>
          <w:rStyle w:val="31"/>
          <w:rFonts w:cs="宋体"/>
          <w:b/>
          <w:bCs/>
          <w:sz w:val="30"/>
          <w:szCs w:val="30"/>
        </w:rPr>
      </w:pPr>
      <w:r>
        <w:rPr>
          <w:rStyle w:val="31"/>
          <w:rFonts w:hint="eastAsia" w:cs="宋体"/>
          <w:b/>
          <w:bCs/>
          <w:sz w:val="30"/>
          <w:szCs w:val="30"/>
        </w:rPr>
        <w:t>本周国内片碱实际成交周汇总</w:t>
      </w:r>
      <w:bookmarkEnd w:id="229"/>
      <w:bookmarkEnd w:id="230"/>
      <w:bookmarkEnd w:id="231"/>
      <w:bookmarkEnd w:id="232"/>
      <w:bookmarkEnd w:id="244"/>
      <w:bookmarkEnd w:id="245"/>
      <w:bookmarkEnd w:id="246"/>
      <w:bookmarkEnd w:id="247"/>
      <w:bookmarkEnd w:id="248"/>
      <w:bookmarkEnd w:id="249"/>
      <w:bookmarkEnd w:id="250"/>
      <w:bookmarkEnd w:id="251"/>
      <w:bookmarkEnd w:id="252"/>
      <w:bookmarkEnd w:id="253"/>
      <w:bookmarkEnd w:id="254"/>
    </w:p>
    <w:p>
      <w:pPr>
        <w:ind w:firstLine="560"/>
        <w:rPr>
          <w:rFonts w:hint="eastAsia" w:ascii="宋体" w:hAnsi="宋体" w:eastAsia="宋体" w:cs="宋体"/>
          <w:sz w:val="18"/>
          <w:szCs w:val="18"/>
        </w:rPr>
      </w:pPr>
      <w:r>
        <w:rPr>
          <w:rFonts w:hint="eastAsia" w:ascii="宋体" w:hAnsi="宋体" w:eastAsia="宋体" w:cs="宋体"/>
          <w:sz w:val="18"/>
          <w:szCs w:val="18"/>
        </w:rPr>
        <w:t>单位：元/吨</w:t>
      </w:r>
    </w:p>
    <w:tbl>
      <w:tblPr>
        <w:tblStyle w:val="19"/>
        <w:tblW w:w="10020" w:type="dxa"/>
        <w:jc w:val="center"/>
        <w:tblLayout w:type="autofit"/>
        <w:tblCellMar>
          <w:top w:w="0" w:type="dxa"/>
          <w:left w:w="108" w:type="dxa"/>
          <w:bottom w:w="0" w:type="dxa"/>
          <w:right w:w="108" w:type="dxa"/>
        </w:tblCellMar>
      </w:tblPr>
      <w:tblGrid>
        <w:gridCol w:w="1383"/>
        <w:gridCol w:w="566"/>
        <w:gridCol w:w="815"/>
        <w:gridCol w:w="1567"/>
        <w:gridCol w:w="996"/>
        <w:gridCol w:w="996"/>
        <w:gridCol w:w="996"/>
        <w:gridCol w:w="917"/>
        <w:gridCol w:w="917"/>
        <w:gridCol w:w="867"/>
      </w:tblGrid>
      <w:tr>
        <w:tblPrEx>
          <w:tblCellMar>
            <w:top w:w="0" w:type="dxa"/>
            <w:left w:w="108" w:type="dxa"/>
            <w:bottom w:w="0" w:type="dxa"/>
            <w:right w:w="108" w:type="dxa"/>
          </w:tblCellMar>
        </w:tblPrEx>
        <w:trPr>
          <w:trHeight w:val="499"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402" w:firstLineChars="0"/>
              <w:jc w:val="center"/>
              <w:rPr>
                <w:rFonts w:ascii="宋体" w:hAnsi="宋体" w:cs="宋体"/>
                <w:b/>
                <w:bCs/>
                <w:color w:val="000000"/>
                <w:kern w:val="0"/>
                <w:sz w:val="18"/>
                <w:szCs w:val="18"/>
              </w:rPr>
            </w:pPr>
            <w:bookmarkStart w:id="255" w:name="_Toc9597669"/>
            <w:bookmarkStart w:id="256" w:name="_Toc525306466"/>
            <w:bookmarkStart w:id="257" w:name="_Toc522870763"/>
            <w:bookmarkStart w:id="258" w:name="_Toc525289549"/>
            <w:bookmarkStart w:id="259" w:name="_Toc531954275"/>
            <w:bookmarkStart w:id="260" w:name="_Toc532564040"/>
            <w:bookmarkStart w:id="261" w:name="_Toc534378403"/>
            <w:bookmarkStart w:id="262" w:name="_Toc532564263"/>
            <w:bookmarkStart w:id="263" w:name="_Toc8313143"/>
            <w:bookmarkStart w:id="264" w:name="_Toc12609913"/>
            <w:bookmarkStart w:id="265" w:name="_Toc535588711"/>
            <w:bookmarkStart w:id="266" w:name="_Toc13217641"/>
            <w:bookmarkStart w:id="267" w:name="_Toc530128352"/>
            <w:bookmarkStart w:id="268" w:name="_Toc522259767"/>
            <w:bookmarkStart w:id="269" w:name="_Toc9583962"/>
            <w:bookmarkStart w:id="270" w:name="_Toc536540310"/>
            <w:bookmarkStart w:id="271" w:name="_Toc528329959"/>
            <w:bookmarkStart w:id="272" w:name="_Toc524091684"/>
            <w:bookmarkStart w:id="273" w:name="_Toc522280057"/>
            <w:bookmarkStart w:id="274" w:name="_Toc536198170"/>
            <w:bookmarkStart w:id="275" w:name="_Toc532564066"/>
            <w:bookmarkStart w:id="276" w:name="_Toc524701467"/>
            <w:bookmarkStart w:id="277" w:name="_Toc534915168"/>
            <w:bookmarkStart w:id="278" w:name="_Toc528919989"/>
            <w:bookmarkStart w:id="279" w:name="_Toc528930996"/>
            <w:bookmarkStart w:id="280" w:name="_Toc4596902"/>
            <w:bookmarkStart w:id="281" w:name="_Toc1035933"/>
            <w:bookmarkStart w:id="282" w:name="_Toc511390008"/>
            <w:bookmarkStart w:id="283" w:name="_Toc525912529"/>
            <w:bookmarkStart w:id="284" w:name="_Toc527705003"/>
            <w:bookmarkStart w:id="285" w:name="_Toc536541140"/>
            <w:bookmarkStart w:id="286" w:name="_Toc533149333"/>
            <w:bookmarkStart w:id="287" w:name="_Toc522870748"/>
            <w:bookmarkStart w:id="288" w:name="_Toc392240282"/>
            <w:bookmarkStart w:id="289" w:name="_Toc516234900"/>
            <w:bookmarkStart w:id="290" w:name="_Toc295403452"/>
            <w:bookmarkStart w:id="291" w:name="_Toc529526328"/>
            <w:bookmarkStart w:id="292" w:name="_Toc520465079"/>
            <w:bookmarkStart w:id="293" w:name="_Toc527101793"/>
            <w:bookmarkStart w:id="294" w:name="_Toc518032002"/>
            <w:bookmarkStart w:id="295" w:name="_Toc4767074"/>
            <w:bookmarkStart w:id="296" w:name="_Toc530750142"/>
            <w:bookmarkStart w:id="297" w:name="_Toc525306477"/>
            <w:bookmarkStart w:id="298" w:name="_Toc8378825"/>
            <w:bookmarkStart w:id="299" w:name="_Toc485981325"/>
            <w:bookmarkStart w:id="300" w:name="_Toc515610376"/>
            <w:bookmarkStart w:id="301" w:name="_Toc519848560"/>
            <w:bookmarkStart w:id="302" w:name="_Toc300238851"/>
            <w:bookmarkStart w:id="303" w:name="_Toc516839087"/>
            <w:bookmarkStart w:id="304" w:name="_Toc521057604"/>
            <w:bookmarkStart w:id="305" w:name="_Toc513127193"/>
            <w:bookmarkStart w:id="306" w:name="_Toc518638262"/>
            <w:bookmarkStart w:id="307" w:name="_Toc522870754"/>
            <w:bookmarkStart w:id="308" w:name="_Toc517425041"/>
            <w:bookmarkStart w:id="309" w:name="_Toc4139109"/>
            <w:bookmarkStart w:id="310" w:name="_Toc516234894"/>
            <w:bookmarkStart w:id="311" w:name="_Toc536789788"/>
            <w:bookmarkStart w:id="312" w:name="_Toc1139288"/>
            <w:bookmarkStart w:id="313" w:name="_Toc10202318"/>
            <w:bookmarkStart w:id="314" w:name="_Toc1739297"/>
            <w:bookmarkStart w:id="315" w:name="_Toc250731929"/>
            <w:bookmarkStart w:id="316" w:name="_Toc522870772"/>
            <w:bookmarkStart w:id="317" w:name="_Toc521660550"/>
            <w:bookmarkStart w:id="318" w:name="_Toc252539758"/>
            <w:bookmarkStart w:id="319" w:name="_Toc1394103"/>
            <w:bookmarkStart w:id="320" w:name="_Toc233795930"/>
            <w:bookmarkStart w:id="321" w:name="_Toc4654039"/>
            <w:bookmarkStart w:id="322" w:name="_Toc8991663"/>
            <w:r>
              <w:rPr>
                <w:rFonts w:hint="eastAsia" w:ascii="宋体" w:hAnsi="宋体" w:cs="宋体"/>
                <w:b/>
                <w:bCs/>
                <w:color w:val="000000"/>
                <w:kern w:val="0"/>
                <w:sz w:val="18"/>
                <w:szCs w:val="18"/>
              </w:rPr>
              <w:t>产品名称</w:t>
            </w:r>
          </w:p>
        </w:tc>
        <w:tc>
          <w:tcPr>
            <w:tcW w:w="60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地区</w:t>
            </w:r>
          </w:p>
        </w:tc>
        <w:tc>
          <w:tcPr>
            <w:tcW w:w="88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规格</w:t>
            </w:r>
          </w:p>
        </w:tc>
        <w:tc>
          <w:tcPr>
            <w:tcW w:w="180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生产厂家</w:t>
            </w:r>
          </w:p>
        </w:tc>
        <w:tc>
          <w:tcPr>
            <w:tcW w:w="82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left"/>
              <w:rPr>
                <w:rFonts w:ascii="宋体" w:hAnsi="宋体" w:cs="宋体"/>
                <w:b/>
                <w:bCs/>
                <w:color w:val="000000"/>
                <w:kern w:val="0"/>
                <w:sz w:val="18"/>
                <w:szCs w:val="18"/>
              </w:rPr>
            </w:pPr>
            <w:r>
              <w:rPr>
                <w:rFonts w:hint="eastAsia" w:ascii="宋体" w:hAnsi="宋体" w:cs="宋体"/>
                <w:b/>
                <w:bCs/>
                <w:color w:val="000000"/>
                <w:kern w:val="0"/>
                <w:sz w:val="18"/>
                <w:szCs w:val="18"/>
              </w:rPr>
              <w:t>最低价</w:t>
            </w:r>
          </w:p>
        </w:tc>
        <w:tc>
          <w:tcPr>
            <w:tcW w:w="82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最高价</w:t>
            </w:r>
          </w:p>
        </w:tc>
        <w:tc>
          <w:tcPr>
            <w:tcW w:w="60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均价</w:t>
            </w:r>
          </w:p>
        </w:tc>
        <w:tc>
          <w:tcPr>
            <w:tcW w:w="102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价格单位</w:t>
            </w:r>
          </w:p>
        </w:tc>
        <w:tc>
          <w:tcPr>
            <w:tcW w:w="102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价格类型</w:t>
            </w:r>
          </w:p>
        </w:tc>
        <w:tc>
          <w:tcPr>
            <w:tcW w:w="96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96%片碱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暂无报价</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内蒙古中盐吉兰泰</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3000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3000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3000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淄博环拓</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暂无报价</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华北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乌海化工</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华北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内蒙古宜化</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2800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2800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2800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华北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鄂尔多斯化工</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2750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2750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2750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山东</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2800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3000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2900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西北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2500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2800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2650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市场价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西北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宁夏金昱元</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2850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2850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2850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西北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新疆中泰</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西北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新疆天业</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4500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4500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4500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bl>
    <w:p>
      <w:pPr>
        <w:ind w:left="0" w:leftChars="0" w:firstLine="0" w:firstLineChars="0"/>
        <w:rPr>
          <w:rFonts w:hint="eastAsia" w:ascii="宋体" w:hAnsi="宋体" w:eastAsia="宋体" w:cs="宋体"/>
          <w:b/>
          <w:bCs/>
          <w:sz w:val="36"/>
          <w:szCs w:val="36"/>
        </w:rPr>
      </w:pPr>
    </w:p>
    <w:p>
      <w:pPr>
        <w:ind w:left="0" w:leftChars="0" w:firstLine="0" w:firstLineChars="0"/>
        <w:rPr>
          <w:rFonts w:ascii="黑体" w:hAnsi="黑体" w:eastAsia="黑体" w:cs="Times New Roman"/>
          <w:sz w:val="30"/>
          <w:szCs w:val="30"/>
        </w:rPr>
      </w:pPr>
      <w:r>
        <w:rPr>
          <w:rFonts w:hint="eastAsia" w:ascii="宋体" w:hAnsi="宋体" w:eastAsia="宋体" w:cs="宋体"/>
          <w:b/>
          <w:bCs/>
          <w:sz w:val="36"/>
          <w:szCs w:val="36"/>
        </w:rPr>
        <w:t>液氯</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Start w:id="323" w:name="_Toc233795931"/>
      <w:bookmarkEnd w:id="323"/>
      <w:bookmarkStart w:id="324" w:name="_Toc252539759"/>
      <w:bookmarkStart w:id="325" w:name="_Toc392240283"/>
      <w:bookmarkStart w:id="326" w:name="_Toc524701468"/>
      <w:bookmarkStart w:id="327" w:name="_Toc532564041"/>
      <w:bookmarkStart w:id="328" w:name="_Toc13217642"/>
      <w:bookmarkStart w:id="329" w:name="_Toc516234895"/>
      <w:bookmarkStart w:id="330" w:name="_Toc9583963"/>
      <w:bookmarkStart w:id="331" w:name="_Toc9597670"/>
      <w:bookmarkStart w:id="332" w:name="_Toc295403453"/>
      <w:bookmarkStart w:id="333" w:name="_Toc12609914"/>
      <w:bookmarkStart w:id="334" w:name="_Toc10202319"/>
      <w:bookmarkStart w:id="335" w:name="_Toc511390009"/>
      <w:bookmarkStart w:id="336" w:name="_Toc534378404"/>
      <w:bookmarkStart w:id="337" w:name="_Toc536541141"/>
      <w:bookmarkStart w:id="338" w:name="_Toc518638263"/>
      <w:bookmarkStart w:id="339" w:name="_Toc250731930"/>
      <w:bookmarkStart w:id="340" w:name="_Toc529526329"/>
      <w:bookmarkStart w:id="341" w:name="_Toc527705004"/>
      <w:bookmarkStart w:id="342" w:name="_Toc1035934"/>
      <w:bookmarkStart w:id="343" w:name="_Toc528329960"/>
      <w:bookmarkStart w:id="344" w:name="_Toc532564067"/>
      <w:bookmarkStart w:id="345" w:name="_Toc4596903"/>
      <w:bookmarkStart w:id="346" w:name="_Toc8313144"/>
      <w:bookmarkStart w:id="347" w:name="_Toc516839088"/>
      <w:bookmarkStart w:id="348" w:name="_Toc515610377"/>
      <w:bookmarkStart w:id="349" w:name="_Toc530128353"/>
      <w:bookmarkStart w:id="350" w:name="_Toc527101794"/>
      <w:bookmarkStart w:id="351" w:name="_Toc525289550"/>
      <w:bookmarkStart w:id="352" w:name="_Toc4767075"/>
      <w:bookmarkStart w:id="353" w:name="_Toc524091685"/>
      <w:bookmarkStart w:id="354" w:name="_Toc521057605"/>
      <w:bookmarkStart w:id="355" w:name="_Toc185611021"/>
      <w:bookmarkStart w:id="356" w:name="_Toc8991664"/>
      <w:bookmarkStart w:id="357" w:name="_Toc525912530"/>
      <w:bookmarkStart w:id="358" w:name="_Toc525306467"/>
      <w:bookmarkStart w:id="359" w:name="_Toc516234901"/>
      <w:bookmarkStart w:id="360" w:name="_Toc525306478"/>
      <w:bookmarkStart w:id="361" w:name="_Toc536540311"/>
      <w:bookmarkStart w:id="362" w:name="_Toc522870755"/>
      <w:bookmarkStart w:id="363" w:name="_Toc532564264"/>
      <w:bookmarkStart w:id="364" w:name="_Toc8378826"/>
      <w:bookmarkStart w:id="365" w:name="_Toc535588712"/>
      <w:bookmarkStart w:id="366" w:name="_Toc522259768"/>
      <w:bookmarkStart w:id="367" w:name="_Toc531954276"/>
      <w:bookmarkStart w:id="368" w:name="_Toc522870749"/>
      <w:bookmarkStart w:id="369" w:name="_Toc4139110"/>
      <w:bookmarkStart w:id="370" w:name="_Toc528919990"/>
      <w:bookmarkStart w:id="371" w:name="_Toc536198171"/>
      <w:bookmarkStart w:id="372" w:name="_Toc533149334"/>
      <w:bookmarkStart w:id="373" w:name="_Toc534915169"/>
      <w:bookmarkStart w:id="374" w:name="_Toc300238852"/>
      <w:bookmarkStart w:id="375" w:name="_Toc485981326"/>
      <w:bookmarkStart w:id="376" w:name="_Toc1139289"/>
      <w:bookmarkStart w:id="377" w:name="_Toc536789789"/>
      <w:bookmarkStart w:id="378" w:name="_Toc4654040"/>
      <w:bookmarkStart w:id="379" w:name="_Toc522280058"/>
      <w:bookmarkStart w:id="380" w:name="_Toc521660551"/>
      <w:bookmarkStart w:id="381" w:name="_Toc528930997"/>
      <w:bookmarkStart w:id="382" w:name="_Toc522870764"/>
      <w:bookmarkStart w:id="383" w:name="_Toc519848561"/>
      <w:bookmarkStart w:id="384" w:name="_Toc1739298"/>
      <w:bookmarkStart w:id="385" w:name="_Toc1394104"/>
      <w:bookmarkStart w:id="386" w:name="_Toc517425042"/>
      <w:bookmarkStart w:id="387" w:name="_Toc522870773"/>
      <w:bookmarkStart w:id="388" w:name="_Toc530750143"/>
      <w:bookmarkStart w:id="389" w:name="_Toc513127194"/>
      <w:bookmarkStart w:id="390" w:name="_Toc520465080"/>
      <w:bookmarkStart w:id="391" w:name="_Toc518032003"/>
      <w:r>
        <w:rPr>
          <w:rFonts w:ascii="黑体" w:hAnsi="黑体" w:eastAsia="黑体" w:cs="Times New Roman"/>
          <w:b/>
          <w:bCs/>
          <w:sz w:val="30"/>
          <w:szCs w:val="30"/>
        </w:rPr>
        <w:br w:type="textWrapping"/>
      </w:r>
      <w:r>
        <w:rPr>
          <w:rFonts w:hint="eastAsia" w:ascii="宋体" w:hAnsi="宋体" w:eastAsia="宋体" w:cs="宋体"/>
          <w:b/>
          <w:bCs/>
          <w:sz w:val="32"/>
          <w:szCs w:val="32"/>
        </w:rPr>
        <w:t>评述：本周国内液氯市场评述及行情预测</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Start w:id="392" w:name="_Toc8378827"/>
      <w:bookmarkStart w:id="393" w:name="_Toc9583964"/>
      <w:bookmarkStart w:id="394" w:name="_Toc8313145"/>
      <w:bookmarkStart w:id="395" w:name="_Toc13217643"/>
      <w:bookmarkStart w:id="396" w:name="_Toc12609915"/>
      <w:bookmarkStart w:id="397" w:name="_Toc4596904"/>
      <w:bookmarkStart w:id="398" w:name="_Toc10202320"/>
      <w:bookmarkStart w:id="399" w:name="_Toc9597671"/>
      <w:bookmarkStart w:id="400" w:name="_Toc8991665"/>
      <w:bookmarkStart w:id="401" w:name="_Toc4767076"/>
      <w:bookmarkStart w:id="402" w:name="_Toc4654041"/>
      <w:bookmarkStart w:id="403" w:name="_Toc252539760"/>
      <w:bookmarkStart w:id="404" w:name="_Toc250731931"/>
    </w:p>
    <w:p>
      <w:pPr>
        <w:ind w:firstLine="600"/>
        <w:rPr>
          <w:rFonts w:hint="eastAsia" w:ascii="宋体" w:hAnsi="宋体" w:eastAsia="宋体" w:cs="宋体"/>
          <w:b/>
          <w:bCs/>
          <w:sz w:val="30"/>
          <w:szCs w:val="30"/>
        </w:rPr>
      </w:pPr>
      <w:r>
        <w:rPr>
          <w:rFonts w:hint="eastAsia" w:ascii="宋体" w:hAnsi="宋体" w:eastAsia="宋体" w:cs="宋体"/>
          <w:b/>
          <w:bCs/>
          <w:sz w:val="30"/>
          <w:szCs w:val="30"/>
        </w:rPr>
        <w:t>中国液氯市场行情综述</w:t>
      </w:r>
      <w:bookmarkEnd w:id="392"/>
      <w:bookmarkEnd w:id="393"/>
      <w:bookmarkEnd w:id="394"/>
      <w:bookmarkEnd w:id="395"/>
      <w:bookmarkEnd w:id="396"/>
      <w:bookmarkEnd w:id="397"/>
      <w:bookmarkEnd w:id="398"/>
      <w:bookmarkEnd w:id="399"/>
      <w:bookmarkEnd w:id="400"/>
      <w:bookmarkEnd w:id="401"/>
      <w:bookmarkEnd w:id="402"/>
      <w:r>
        <w:rPr>
          <w:rFonts w:hint="eastAsia" w:ascii="宋体" w:hAnsi="宋体" w:eastAsia="宋体" w:cs="宋体"/>
          <w:b/>
          <w:bCs/>
          <w:sz w:val="30"/>
          <w:szCs w:val="30"/>
        </w:rPr>
        <w:t>及后市分析</w:t>
      </w:r>
    </w:p>
    <w:p>
      <w:pPr>
        <w:pStyle w:val="17"/>
        <w:keepNext w:val="0"/>
        <w:keepLines w:val="0"/>
        <w:widowControl/>
        <w:suppressLineNumbers w:val="0"/>
        <w:rPr>
          <w:rFonts w:hint="eastAsia" w:ascii="宋体" w:hAnsi="宋体" w:eastAsia="宋体" w:cs="宋体"/>
          <w:sz w:val="18"/>
          <w:szCs w:val="18"/>
        </w:rPr>
      </w:pPr>
      <w:r>
        <w:rPr>
          <w:rFonts w:hint="eastAsia" w:ascii="宋体" w:hAnsi="宋体" w:eastAsia="宋体" w:cs="宋体"/>
          <w:sz w:val="18"/>
          <w:szCs w:val="18"/>
        </w:rPr>
        <w:t>本周国内液氯市场持续下行运行，截至11月18日，山东槽车主流出厂环比下调300元/吨至300-500元/吨;江苏槽车主流出厂成交环比下调400-700元/吨至150-600元/吨。周内华北市场先跌后涨，受东营企业下游装置计划检修液氯外销及主力下游装置检修不外采影响，市场成交一度惨淡，低端报价把市场成交拉低至1元/吨，市场氛围较差，低价货源流入周边华东、华中区域，周边市场价格受冲击出现下调。随东营企业装置检修计划取消，液氯外销量无新增，低端价格消失，市场迅速止跌反弹。华东市场收其周定价模式影响，反弹暂未显现，维持较低价格成交，华中两湖区域相对稳定，河南市场受影响出现200元/吨左右反弹。市场反弹影响下成交氛围提升，预计下周华北市场波动幅度在400-600元/吨之间。</w:t>
      </w:r>
    </w:p>
    <w:p>
      <w:pPr>
        <w:ind w:firstLine="600"/>
        <w:rPr>
          <w:rFonts w:hint="eastAsia" w:ascii="宋体" w:hAnsi="宋体" w:eastAsia="宋体" w:cs="宋体"/>
          <w:sz w:val="18"/>
          <w:szCs w:val="18"/>
        </w:rPr>
      </w:pPr>
    </w:p>
    <w:p>
      <w:pPr>
        <w:pStyle w:val="17"/>
        <w:ind w:firstLine="602"/>
        <w:rPr>
          <w:rFonts w:cs="Times New Roman"/>
          <w:b/>
          <w:bCs/>
          <w:sz w:val="30"/>
          <w:szCs w:val="30"/>
        </w:rPr>
      </w:pPr>
      <w:bookmarkStart w:id="405" w:name="_Toc13217647"/>
      <w:bookmarkStart w:id="406" w:name="_Toc9597675"/>
      <w:bookmarkStart w:id="407" w:name="_Toc10202324"/>
      <w:bookmarkStart w:id="408" w:name="_Toc9583968"/>
      <w:bookmarkStart w:id="409" w:name="_Toc12609919"/>
      <w:bookmarkStart w:id="410" w:name="_Toc4654045"/>
      <w:bookmarkStart w:id="411" w:name="_Toc8378831"/>
      <w:bookmarkStart w:id="412" w:name="_Toc4596908"/>
      <w:bookmarkStart w:id="413" w:name="_Toc8991669"/>
      <w:bookmarkStart w:id="414" w:name="_Toc4767080"/>
      <w:bookmarkStart w:id="415" w:name="_Toc8313149"/>
      <w:r>
        <w:rPr>
          <w:rFonts w:hint="eastAsia"/>
          <w:b/>
          <w:bCs/>
          <w:sz w:val="30"/>
          <w:szCs w:val="30"/>
        </w:rPr>
        <w:t>国内地区市场价格</w:t>
      </w:r>
      <w:bookmarkEnd w:id="403"/>
      <w:bookmarkEnd w:id="404"/>
      <w:bookmarkEnd w:id="405"/>
      <w:bookmarkEnd w:id="406"/>
      <w:bookmarkEnd w:id="407"/>
      <w:bookmarkEnd w:id="408"/>
      <w:bookmarkEnd w:id="409"/>
      <w:bookmarkEnd w:id="410"/>
      <w:bookmarkEnd w:id="411"/>
      <w:bookmarkEnd w:id="412"/>
      <w:bookmarkEnd w:id="413"/>
      <w:bookmarkEnd w:id="414"/>
      <w:bookmarkEnd w:id="415"/>
    </w:p>
    <w:tbl>
      <w:tblPr>
        <w:tblStyle w:val="19"/>
        <w:tblW w:w="8720" w:type="dxa"/>
        <w:jc w:val="center"/>
        <w:tblLayout w:type="fixed"/>
        <w:tblCellMar>
          <w:top w:w="0" w:type="dxa"/>
          <w:left w:w="108" w:type="dxa"/>
          <w:bottom w:w="0" w:type="dxa"/>
          <w:right w:w="108" w:type="dxa"/>
        </w:tblCellMar>
      </w:tblPr>
      <w:tblGrid>
        <w:gridCol w:w="1744"/>
        <w:gridCol w:w="1744"/>
        <w:gridCol w:w="1744"/>
        <w:gridCol w:w="1744"/>
        <w:gridCol w:w="1744"/>
      </w:tblGrid>
      <w:tr>
        <w:tblPrEx>
          <w:tblCellMar>
            <w:top w:w="0" w:type="dxa"/>
            <w:left w:w="108" w:type="dxa"/>
            <w:bottom w:w="0" w:type="dxa"/>
            <w:right w:w="108" w:type="dxa"/>
          </w:tblCellMar>
        </w:tblPrEx>
        <w:trPr>
          <w:trHeight w:val="255" w:hRule="atLeast"/>
          <w:jc w:val="center"/>
        </w:trPr>
        <w:tc>
          <w:tcPr>
            <w:tcW w:w="1744" w:type="dxa"/>
            <w:vMerge w:val="restart"/>
            <w:tcBorders>
              <w:top w:val="single" w:color="auto" w:sz="4" w:space="0"/>
              <w:left w:val="single" w:color="auto" w:sz="4" w:space="0"/>
              <w:bottom w:val="single" w:color="000000" w:sz="4" w:space="0"/>
              <w:right w:val="single" w:color="auto" w:sz="4" w:space="0"/>
            </w:tcBorders>
            <w:shd w:val="clear" w:color="000000" w:fill="99CCFF"/>
            <w:vAlign w:val="center"/>
          </w:tcPr>
          <w:p>
            <w:pPr>
              <w:ind w:firstLine="402"/>
              <w:rPr>
                <w:rFonts w:ascii="宋体" w:cs="Times New Roman"/>
                <w:b/>
                <w:bCs/>
                <w:color w:val="000000"/>
                <w:kern w:val="0"/>
                <w:sz w:val="18"/>
                <w:szCs w:val="18"/>
              </w:rPr>
            </w:pPr>
            <w:bookmarkStart w:id="416" w:name="_Toc233795926"/>
            <w:bookmarkEnd w:id="416"/>
          </w:p>
          <w:p>
            <w:pPr>
              <w:ind w:firstLine="402"/>
              <w:rPr>
                <w:rFonts w:ascii="宋体" w:cs="Times New Roman"/>
                <w:b/>
                <w:bCs/>
                <w:color w:val="000000"/>
                <w:kern w:val="0"/>
                <w:sz w:val="18"/>
                <w:szCs w:val="18"/>
              </w:rPr>
            </w:pPr>
          </w:p>
        </w:tc>
        <w:tc>
          <w:tcPr>
            <w:tcW w:w="1744" w:type="dxa"/>
            <w:vMerge w:val="restart"/>
            <w:tcBorders>
              <w:top w:val="single" w:color="auto" w:sz="4" w:space="0"/>
              <w:left w:val="single" w:color="auto" w:sz="4" w:space="0"/>
              <w:bottom w:val="single" w:color="auto" w:sz="4" w:space="0"/>
              <w:right w:val="single" w:color="auto" w:sz="4"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地区</w:t>
            </w:r>
          </w:p>
        </w:tc>
        <w:tc>
          <w:tcPr>
            <w:tcW w:w="1744" w:type="dxa"/>
            <w:vMerge w:val="restart"/>
            <w:tcBorders>
              <w:top w:val="single" w:color="auto" w:sz="4" w:space="0"/>
              <w:left w:val="single" w:color="auto" w:sz="4" w:space="0"/>
              <w:bottom w:val="single" w:color="auto" w:sz="4" w:space="0"/>
              <w:right w:val="single" w:color="auto" w:sz="4"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属性</w:t>
            </w:r>
          </w:p>
        </w:tc>
        <w:tc>
          <w:tcPr>
            <w:tcW w:w="3488" w:type="dxa"/>
            <w:gridSpan w:val="2"/>
            <w:tcBorders>
              <w:top w:val="single" w:color="auto" w:sz="4" w:space="0"/>
              <w:left w:val="nil"/>
              <w:bottom w:val="single" w:color="auto" w:sz="4" w:space="0"/>
              <w:right w:val="single" w:color="auto" w:sz="4"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液氯</w:t>
            </w:r>
          </w:p>
        </w:tc>
      </w:tr>
      <w:tr>
        <w:tblPrEx>
          <w:tblCellMar>
            <w:top w:w="0" w:type="dxa"/>
            <w:left w:w="108" w:type="dxa"/>
            <w:bottom w:w="0" w:type="dxa"/>
            <w:right w:w="108" w:type="dxa"/>
          </w:tblCellMar>
        </w:tblPrEx>
        <w:trPr>
          <w:trHeight w:val="255" w:hRule="atLeast"/>
          <w:jc w:val="center"/>
        </w:trPr>
        <w:tc>
          <w:tcPr>
            <w:tcW w:w="1744" w:type="dxa"/>
            <w:vMerge w:val="continue"/>
            <w:tcBorders>
              <w:top w:val="single" w:color="auto" w:sz="4" w:space="0"/>
              <w:left w:val="single" w:color="auto" w:sz="4" w:space="0"/>
              <w:bottom w:val="single" w:color="000000" w:sz="4" w:space="0"/>
              <w:right w:val="single" w:color="auto" w:sz="4" w:space="0"/>
            </w:tcBorders>
            <w:vAlign w:val="center"/>
          </w:tcPr>
          <w:p>
            <w:pPr>
              <w:ind w:firstLine="402"/>
              <w:rPr>
                <w:rFonts w:ascii="宋体" w:cs="Times New Roman"/>
                <w:b/>
                <w:bCs/>
                <w:color w:val="000000"/>
                <w:kern w:val="0"/>
                <w:sz w:val="18"/>
                <w:szCs w:val="18"/>
              </w:rPr>
            </w:pPr>
          </w:p>
        </w:tc>
        <w:tc>
          <w:tcPr>
            <w:tcW w:w="1744" w:type="dxa"/>
            <w:vMerge w:val="continue"/>
            <w:tcBorders>
              <w:top w:val="single" w:color="auto" w:sz="4" w:space="0"/>
              <w:left w:val="single" w:color="auto" w:sz="4" w:space="0"/>
              <w:bottom w:val="single" w:color="auto" w:sz="4" w:space="0"/>
              <w:right w:val="single" w:color="auto" w:sz="4" w:space="0"/>
            </w:tcBorders>
            <w:vAlign w:val="center"/>
          </w:tcPr>
          <w:p>
            <w:pPr>
              <w:ind w:firstLine="402"/>
              <w:rPr>
                <w:rFonts w:ascii="宋体" w:cs="Times New Roman"/>
                <w:b/>
                <w:bCs/>
                <w:color w:val="000000"/>
                <w:kern w:val="0"/>
                <w:sz w:val="18"/>
                <w:szCs w:val="18"/>
              </w:rPr>
            </w:pPr>
          </w:p>
        </w:tc>
        <w:tc>
          <w:tcPr>
            <w:tcW w:w="1744" w:type="dxa"/>
            <w:vMerge w:val="continue"/>
            <w:tcBorders>
              <w:top w:val="single" w:color="auto" w:sz="4" w:space="0"/>
              <w:left w:val="single" w:color="auto" w:sz="4" w:space="0"/>
              <w:bottom w:val="single" w:color="auto" w:sz="4" w:space="0"/>
              <w:right w:val="single" w:color="auto" w:sz="4" w:space="0"/>
            </w:tcBorders>
            <w:vAlign w:val="center"/>
          </w:tcPr>
          <w:p>
            <w:pPr>
              <w:ind w:firstLine="402"/>
              <w:rPr>
                <w:rFonts w:ascii="宋体" w:cs="Times New Roman"/>
                <w:b/>
                <w:bCs/>
                <w:color w:val="000000"/>
                <w:kern w:val="0"/>
                <w:sz w:val="18"/>
                <w:szCs w:val="18"/>
              </w:rPr>
            </w:pPr>
          </w:p>
        </w:tc>
        <w:tc>
          <w:tcPr>
            <w:tcW w:w="1744" w:type="dxa"/>
            <w:tcBorders>
              <w:top w:val="nil"/>
              <w:left w:val="nil"/>
              <w:bottom w:val="single" w:color="auto" w:sz="4" w:space="0"/>
              <w:right w:val="single" w:color="auto" w:sz="4"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低端价</w:t>
            </w:r>
          </w:p>
        </w:tc>
        <w:tc>
          <w:tcPr>
            <w:tcW w:w="1744" w:type="dxa"/>
            <w:tcBorders>
              <w:top w:val="nil"/>
              <w:left w:val="nil"/>
              <w:bottom w:val="single" w:color="auto" w:sz="4" w:space="0"/>
              <w:right w:val="single" w:color="auto" w:sz="4"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高端价</w:t>
            </w:r>
          </w:p>
        </w:tc>
      </w:tr>
      <w:tr>
        <w:tblPrEx>
          <w:tblCellMar>
            <w:top w:w="0" w:type="dxa"/>
            <w:left w:w="108" w:type="dxa"/>
            <w:bottom w:w="0" w:type="dxa"/>
            <w:right w:w="108" w:type="dxa"/>
          </w:tblCellMar>
        </w:tblPrEx>
        <w:trPr>
          <w:trHeight w:val="255" w:hRule="atLeast"/>
          <w:jc w:val="center"/>
        </w:trPr>
        <w:tc>
          <w:tcPr>
            <w:tcW w:w="1744" w:type="dxa"/>
            <w:tcBorders>
              <w:top w:val="nil"/>
              <w:left w:val="single" w:color="auto" w:sz="4" w:space="0"/>
              <w:bottom w:val="single" w:color="auto" w:sz="4" w:space="0"/>
              <w:right w:val="single" w:color="auto" w:sz="4" w:space="0"/>
            </w:tcBorders>
            <w:shd w:val="clear" w:color="000000" w:fill="FFFFFF"/>
          </w:tcPr>
          <w:p>
            <w:pPr>
              <w:ind w:firstLine="360" w:firstLineChars="200"/>
              <w:rPr>
                <w:rFonts w:hint="default" w:ascii="宋体" w:hAnsi="宋体" w:cs="宋体"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rPr>
              <w:t>1</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11</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19</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华北</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山东市场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700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850</w:t>
            </w:r>
          </w:p>
        </w:tc>
      </w:tr>
      <w:tr>
        <w:tblPrEx>
          <w:tblCellMar>
            <w:top w:w="0" w:type="dxa"/>
            <w:left w:w="108" w:type="dxa"/>
            <w:bottom w:w="0" w:type="dxa"/>
            <w:right w:w="108" w:type="dxa"/>
          </w:tblCellMar>
        </w:tblPrEx>
        <w:trPr>
          <w:trHeight w:val="255" w:hRule="atLeast"/>
          <w:jc w:val="center"/>
        </w:trPr>
        <w:tc>
          <w:tcPr>
            <w:tcW w:w="1744" w:type="dxa"/>
            <w:tcBorders>
              <w:top w:val="nil"/>
              <w:left w:val="single" w:color="auto" w:sz="4" w:space="0"/>
              <w:bottom w:val="single" w:color="auto" w:sz="4" w:space="0"/>
              <w:right w:val="single" w:color="auto" w:sz="4" w:space="0"/>
            </w:tcBorders>
            <w:shd w:val="clear" w:color="000000" w:fill="FFFFFF"/>
          </w:tcPr>
          <w:p>
            <w:pPr>
              <w:ind w:firstLine="360" w:firstLineChars="200"/>
              <w:rPr>
                <w:rFonts w:hint="eastAsia" w:ascii="宋体" w:hAnsi="宋体" w:eastAsia="宋体" w:cs="宋体"/>
                <w:color w:val="000000"/>
                <w:kern w:val="0"/>
                <w:sz w:val="18"/>
                <w:szCs w:val="18"/>
                <w:lang w:val="en-US" w:eastAsia="zh-CN"/>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rPr>
              <w:t>1</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11</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19</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华北</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河北市场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default" w:ascii="宋体" w:hAnsi="宋体" w:cs="宋体"/>
                <w:color w:val="000000"/>
                <w:kern w:val="0"/>
                <w:sz w:val="18"/>
                <w:szCs w:val="18"/>
                <w:lang w:val="en-US" w:eastAsia="zh-CN"/>
              </w:rPr>
            </w:pPr>
            <w:r>
              <w:rPr>
                <w:rFonts w:hint="eastAsia" w:ascii="宋体" w:hAnsi="宋体" w:cs="宋体"/>
                <w:color w:val="000000"/>
                <w:kern w:val="0"/>
                <w:sz w:val="18"/>
                <w:szCs w:val="18"/>
              </w:rPr>
              <w:t>800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900</w:t>
            </w:r>
          </w:p>
        </w:tc>
      </w:tr>
      <w:tr>
        <w:tblPrEx>
          <w:tblCellMar>
            <w:top w:w="0" w:type="dxa"/>
            <w:left w:w="108" w:type="dxa"/>
            <w:bottom w:w="0" w:type="dxa"/>
            <w:right w:w="108" w:type="dxa"/>
          </w:tblCellMar>
        </w:tblPrEx>
        <w:trPr>
          <w:trHeight w:val="255" w:hRule="atLeast"/>
          <w:jc w:val="center"/>
        </w:trPr>
        <w:tc>
          <w:tcPr>
            <w:tcW w:w="1744" w:type="dxa"/>
            <w:tcBorders>
              <w:top w:val="nil"/>
              <w:left w:val="single" w:color="auto" w:sz="4" w:space="0"/>
              <w:bottom w:val="single" w:color="auto" w:sz="4" w:space="0"/>
              <w:right w:val="single" w:color="auto" w:sz="4" w:space="0"/>
            </w:tcBorders>
            <w:shd w:val="clear" w:color="000000" w:fill="FFFFFF"/>
          </w:tcPr>
          <w:p>
            <w:pPr>
              <w:ind w:firstLine="360" w:firstLineChars="200"/>
              <w:rPr>
                <w:rFonts w:hint="eastAsia" w:ascii="宋体" w:hAnsi="宋体" w:cs="宋体"/>
                <w:color w:val="000000"/>
                <w:kern w:val="0"/>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rPr>
              <w:t>1</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11</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19</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华中</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河南市场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700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800</w:t>
            </w:r>
          </w:p>
        </w:tc>
      </w:tr>
      <w:tr>
        <w:tblPrEx>
          <w:tblCellMar>
            <w:top w:w="0" w:type="dxa"/>
            <w:left w:w="108" w:type="dxa"/>
            <w:bottom w:w="0" w:type="dxa"/>
            <w:right w:w="108" w:type="dxa"/>
          </w:tblCellMar>
        </w:tblPrEx>
        <w:trPr>
          <w:trHeight w:val="255" w:hRule="atLeast"/>
          <w:jc w:val="center"/>
        </w:trPr>
        <w:tc>
          <w:tcPr>
            <w:tcW w:w="1744" w:type="dxa"/>
            <w:tcBorders>
              <w:top w:val="nil"/>
              <w:left w:val="single" w:color="auto" w:sz="4" w:space="0"/>
              <w:bottom w:val="single" w:color="auto" w:sz="4" w:space="0"/>
              <w:right w:val="single" w:color="auto" w:sz="4" w:space="0"/>
            </w:tcBorders>
            <w:shd w:val="clear" w:color="000000" w:fill="FFFFFF"/>
          </w:tcPr>
          <w:p>
            <w:pPr>
              <w:ind w:firstLine="360" w:firstLineChars="200"/>
              <w:rPr>
                <w:rFonts w:hint="eastAsia" w:ascii="宋体" w:hAnsi="宋体" w:cs="宋体"/>
                <w:color w:val="000000"/>
                <w:kern w:val="0"/>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rPr>
              <w:t>1</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11</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19</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华东</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江苏市场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600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900</w:t>
            </w:r>
          </w:p>
        </w:tc>
      </w:tr>
      <w:tr>
        <w:tblPrEx>
          <w:tblCellMar>
            <w:top w:w="0" w:type="dxa"/>
            <w:left w:w="108" w:type="dxa"/>
            <w:bottom w:w="0" w:type="dxa"/>
            <w:right w:w="108" w:type="dxa"/>
          </w:tblCellMar>
        </w:tblPrEx>
        <w:trPr>
          <w:trHeight w:val="255" w:hRule="atLeast"/>
          <w:jc w:val="center"/>
        </w:trPr>
        <w:tc>
          <w:tcPr>
            <w:tcW w:w="1744" w:type="dxa"/>
            <w:tcBorders>
              <w:top w:val="nil"/>
              <w:left w:val="single" w:color="auto" w:sz="4" w:space="0"/>
              <w:bottom w:val="single" w:color="auto" w:sz="4" w:space="0"/>
              <w:right w:val="single" w:color="auto" w:sz="4" w:space="0"/>
            </w:tcBorders>
            <w:shd w:val="clear" w:color="000000" w:fill="FFFFFF"/>
          </w:tcPr>
          <w:p>
            <w:pPr>
              <w:ind w:firstLine="360" w:firstLineChars="200"/>
              <w:rPr>
                <w:rFonts w:hint="eastAsia" w:ascii="宋体" w:hAnsi="宋体" w:cs="宋体"/>
                <w:color w:val="000000"/>
                <w:kern w:val="0"/>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rPr>
              <w:t>1</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11</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19</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华南</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华南市场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1600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default" w:ascii="宋体" w:hAnsi="宋体" w:cs="宋体"/>
                <w:color w:val="000000"/>
                <w:kern w:val="0"/>
                <w:sz w:val="18"/>
                <w:szCs w:val="18"/>
                <w:lang w:val="en-US" w:eastAsia="zh-CN"/>
              </w:rPr>
            </w:pPr>
            <w:r>
              <w:rPr>
                <w:rFonts w:hint="eastAsia" w:ascii="宋体" w:hAnsi="宋体" w:cs="宋体"/>
                <w:color w:val="000000"/>
                <w:kern w:val="0"/>
                <w:sz w:val="18"/>
                <w:szCs w:val="18"/>
              </w:rPr>
              <w:t>1800</w:t>
            </w:r>
          </w:p>
        </w:tc>
      </w:tr>
      <w:tr>
        <w:tblPrEx>
          <w:tblCellMar>
            <w:top w:w="0" w:type="dxa"/>
            <w:left w:w="108" w:type="dxa"/>
            <w:bottom w:w="0" w:type="dxa"/>
            <w:right w:w="108" w:type="dxa"/>
          </w:tblCellMar>
        </w:tblPrEx>
        <w:trPr>
          <w:trHeight w:val="306" w:hRule="atLeast"/>
          <w:jc w:val="center"/>
        </w:trPr>
        <w:tc>
          <w:tcPr>
            <w:tcW w:w="1744" w:type="dxa"/>
            <w:tcBorders>
              <w:top w:val="nil"/>
              <w:left w:val="single" w:color="auto" w:sz="4" w:space="0"/>
              <w:bottom w:val="single" w:color="auto" w:sz="4" w:space="0"/>
              <w:right w:val="single" w:color="auto" w:sz="4" w:space="0"/>
            </w:tcBorders>
            <w:shd w:val="clear" w:color="000000" w:fill="FFFFFF"/>
          </w:tcPr>
          <w:p>
            <w:pPr>
              <w:ind w:firstLine="360" w:firstLineChars="200"/>
              <w:rPr>
                <w:rFonts w:hint="eastAsia" w:ascii="宋体" w:hAnsi="宋体" w:cs="宋体"/>
                <w:color w:val="000000"/>
                <w:kern w:val="0"/>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rPr>
              <w:t>1</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11</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19</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东北</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东北市场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1000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1300</w:t>
            </w:r>
          </w:p>
        </w:tc>
      </w:tr>
    </w:tbl>
    <w:p>
      <w:pPr>
        <w:tabs>
          <w:tab w:val="left" w:pos="7117"/>
        </w:tabs>
        <w:rPr>
          <w:rFonts w:ascii="Arial" w:hAnsi="Arial" w:cs="Arial"/>
          <w:kern w:val="0"/>
        </w:rPr>
      </w:pPr>
      <w:r>
        <w:rPr>
          <w:rFonts w:hint="eastAsia" w:cs="Times New Roman"/>
          <w:lang w:eastAsia="zh-CN"/>
        </w:rPr>
        <w:tab/>
      </w:r>
    </w:p>
    <w:p>
      <w:pPr>
        <w:ind w:firstLine="800"/>
        <w:rPr>
          <w:rFonts w:ascii="方正粗宋简体" w:eastAsia="方正粗宋简体" w:cs="Times New Roman"/>
          <w:spacing w:val="20"/>
          <w:sz w:val="36"/>
          <w:szCs w:val="36"/>
        </w:rPr>
      </w:pPr>
      <w:r>
        <w:rPr>
          <w:rFonts w:hint="eastAsia" w:ascii="方正粗宋简体" w:eastAsia="方正粗宋简体" w:cs="方正粗宋简体"/>
          <w:spacing w:val="20"/>
          <w:sz w:val="36"/>
          <w:szCs w:val="36"/>
        </w:rPr>
        <w:t>更多精彩敬请关注：</w:t>
      </w:r>
      <w:r>
        <w:fldChar w:fldCharType="begin"/>
      </w:r>
      <w:r>
        <w:instrText xml:space="preserve"> HYPERLINK "http://www.chinaccm.com/" </w:instrText>
      </w:r>
      <w:r>
        <w:fldChar w:fldCharType="separate"/>
      </w:r>
      <w:r>
        <w:rPr>
          <w:rStyle w:val="22"/>
          <w:rFonts w:hint="eastAsia" w:ascii="方正粗宋简体" w:eastAsia="方正粗宋简体" w:cs="方正粗宋简体"/>
          <w:spacing w:val="20"/>
          <w:sz w:val="36"/>
          <w:szCs w:val="36"/>
        </w:rPr>
        <w:t>中华商务网</w:t>
      </w:r>
      <w:r>
        <w:rPr>
          <w:rStyle w:val="22"/>
          <w:rFonts w:hint="eastAsia" w:ascii="方正粗宋简体" w:eastAsia="方正粗宋简体" w:cs="方正粗宋简体"/>
          <w:spacing w:val="20"/>
          <w:sz w:val="36"/>
          <w:szCs w:val="36"/>
        </w:rPr>
        <w:fldChar w:fldCharType="end"/>
      </w:r>
    </w:p>
    <w:p>
      <w:pPr>
        <w:ind w:firstLine="800"/>
        <w:rPr>
          <w:rFonts w:eastAsia="方正粗宋简体" w:cs="Times New Roman"/>
          <w:spacing w:val="20"/>
          <w:sz w:val="36"/>
          <w:szCs w:val="36"/>
        </w:rPr>
      </w:pPr>
      <w:r>
        <w:rPr>
          <w:rFonts w:hint="eastAsia" w:ascii="方正粗宋简体" w:eastAsia="方正粗宋简体" w:cs="方正粗宋简体"/>
          <w:spacing w:val="20"/>
          <w:sz w:val="36"/>
          <w:szCs w:val="36"/>
        </w:rPr>
        <w:t>返回本期目录</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粗宋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1"/>
      <w:jc w:val="center"/>
    </w:pPr>
    <w:r>
      <w:rPr>
        <w:b/>
        <w:bCs/>
      </w:rPr>
      <w:fldChar w:fldCharType="begin"/>
    </w:r>
    <w:r>
      <w:rPr>
        <w:b/>
        <w:bCs/>
      </w:rPr>
      <w:instrText xml:space="preserve">PAGE</w:instrText>
    </w:r>
    <w:r>
      <w:rPr>
        <w:b/>
        <w:bCs/>
      </w:rPr>
      <w:fldChar w:fldCharType="separate"/>
    </w:r>
    <w:r>
      <w:rPr>
        <w:b/>
        <w:bCs/>
      </w:rPr>
      <w:t>8</w:t>
    </w:r>
    <w:r>
      <w:rPr>
        <w:b/>
        <w:bCs/>
      </w:rPr>
      <w:fldChar w:fldCharType="end"/>
    </w:r>
    <w:r>
      <w:rPr>
        <w:lang w:val="zh-CN"/>
      </w:rPr>
      <w:t xml:space="preserve">/ </w:t>
    </w:r>
    <w:r>
      <w:rPr>
        <w:b/>
        <w:bCs/>
      </w:rPr>
      <w:fldChar w:fldCharType="begin"/>
    </w:r>
    <w:r>
      <w:rPr>
        <w:b/>
        <w:bCs/>
      </w:rPr>
      <w:instrText xml:space="preserve">NUMPAGES</w:instrText>
    </w:r>
    <w:r>
      <w:rPr>
        <w:b/>
        <w:bCs/>
      </w:rPr>
      <w:fldChar w:fldCharType="separate"/>
    </w:r>
    <w:r>
      <w:rPr>
        <w:b/>
        <w:bCs/>
      </w:rPr>
      <w:t>9</w:t>
    </w:r>
    <w:r>
      <w:rPr>
        <w:b/>
        <w:bCs/>
      </w:rPr>
      <w:fldChar w:fldCharType="end"/>
    </w:r>
  </w:p>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20"/>
      </w:pPr>
      <w:r>
        <w:separator/>
      </w:r>
    </w:p>
  </w:footnote>
  <w:footnote w:type="continuationSeparator" w:id="1">
    <w:p>
      <w:pPr>
        <w:spacing w:before="0" w:after="0"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jc w:val="both"/>
    </w:pPr>
    <w:r>
      <w:drawing>
        <wp:anchor distT="0" distB="0" distL="114300" distR="114300" simplePos="0" relativeHeight="251661312" behindDoc="1" locked="0" layoutInCell="1" allowOverlap="1">
          <wp:simplePos x="0" y="0"/>
          <wp:positionH relativeFrom="column">
            <wp:posOffset>-1144270</wp:posOffset>
          </wp:positionH>
          <wp:positionV relativeFrom="paragraph">
            <wp:posOffset>-614045</wp:posOffset>
          </wp:positionV>
          <wp:extent cx="7639050" cy="10817860"/>
          <wp:effectExtent l="0" t="0" r="0" b="2540"/>
          <wp:wrapNone/>
          <wp:docPr id="1"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内页.jpg"/>
                  <pic:cNvPicPr>
                    <a:picLocks noChangeAspect="1" noChangeArrowheads="1"/>
                  </pic:cNvPicPr>
                </pic:nvPicPr>
                <pic:blipFill>
                  <a:blip r:embed="rId1"/>
                  <a:srcRect/>
                  <a:stretch>
                    <a:fillRect/>
                  </a:stretch>
                </pic:blipFill>
                <pic:spPr>
                  <a:xfrm>
                    <a:off x="0" y="0"/>
                    <a:ext cx="7639050" cy="10817860"/>
                  </a:xfrm>
                  <a:prstGeom prst="rect">
                    <a:avLst/>
                  </a:prstGeom>
                  <a:noFill/>
                </pic:spPr>
              </pic:pic>
            </a:graphicData>
          </a:graphic>
        </wp:anchor>
      </w:drawing>
    </w:r>
  </w:p>
  <w:p>
    <w:pPr>
      <w:pStyle w:val="13"/>
      <w:pBdr>
        <w:bottom w:val="none" w:color="auto" w:sz="0" w:space="0"/>
      </w:pBdr>
      <w:ind w:firstLine="360"/>
    </w:pPr>
  </w:p>
  <w:p>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DB6F57"/>
    <w:multiLevelType w:val="multilevel"/>
    <w:tmpl w:val="77DB6F57"/>
    <w:lvl w:ilvl="0" w:tentative="0">
      <w:start w:val="1"/>
      <w:numFmt w:val="japaneseCounting"/>
      <w:lvlText w:val="%1、"/>
      <w:lvlJc w:val="left"/>
      <w:pPr>
        <w:ind w:left="7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013C8"/>
    <w:rsid w:val="0000072B"/>
    <w:rsid w:val="00000DE4"/>
    <w:rsid w:val="00002CE3"/>
    <w:rsid w:val="00003AD1"/>
    <w:rsid w:val="000053FD"/>
    <w:rsid w:val="00010DB4"/>
    <w:rsid w:val="000112E5"/>
    <w:rsid w:val="000115DD"/>
    <w:rsid w:val="000154EF"/>
    <w:rsid w:val="000161BE"/>
    <w:rsid w:val="000238EC"/>
    <w:rsid w:val="00026A36"/>
    <w:rsid w:val="00034D9D"/>
    <w:rsid w:val="00040E93"/>
    <w:rsid w:val="00041E0E"/>
    <w:rsid w:val="0004320C"/>
    <w:rsid w:val="000458DF"/>
    <w:rsid w:val="00045C9C"/>
    <w:rsid w:val="00047875"/>
    <w:rsid w:val="0005078A"/>
    <w:rsid w:val="00057044"/>
    <w:rsid w:val="00057676"/>
    <w:rsid w:val="0005772F"/>
    <w:rsid w:val="0006570B"/>
    <w:rsid w:val="00065726"/>
    <w:rsid w:val="0006615F"/>
    <w:rsid w:val="00072E1F"/>
    <w:rsid w:val="00072FE0"/>
    <w:rsid w:val="00074455"/>
    <w:rsid w:val="000750A4"/>
    <w:rsid w:val="00075E22"/>
    <w:rsid w:val="0007741E"/>
    <w:rsid w:val="00082C26"/>
    <w:rsid w:val="000833E8"/>
    <w:rsid w:val="000849A7"/>
    <w:rsid w:val="00084DF0"/>
    <w:rsid w:val="00085917"/>
    <w:rsid w:val="00085D38"/>
    <w:rsid w:val="00086B3D"/>
    <w:rsid w:val="00086FC3"/>
    <w:rsid w:val="00092F1B"/>
    <w:rsid w:val="0009407D"/>
    <w:rsid w:val="00095266"/>
    <w:rsid w:val="00096A95"/>
    <w:rsid w:val="00097923"/>
    <w:rsid w:val="000A004B"/>
    <w:rsid w:val="000A2BF8"/>
    <w:rsid w:val="000B13BE"/>
    <w:rsid w:val="000B40FF"/>
    <w:rsid w:val="000B43A4"/>
    <w:rsid w:val="000B7162"/>
    <w:rsid w:val="000C3714"/>
    <w:rsid w:val="000C4607"/>
    <w:rsid w:val="000C4E1E"/>
    <w:rsid w:val="000C72ED"/>
    <w:rsid w:val="000C7673"/>
    <w:rsid w:val="000D1869"/>
    <w:rsid w:val="000D33D7"/>
    <w:rsid w:val="000D3DBE"/>
    <w:rsid w:val="000D714C"/>
    <w:rsid w:val="000D7623"/>
    <w:rsid w:val="000E1971"/>
    <w:rsid w:val="000E26FB"/>
    <w:rsid w:val="000E41C2"/>
    <w:rsid w:val="000F061D"/>
    <w:rsid w:val="000F4985"/>
    <w:rsid w:val="000F4BC2"/>
    <w:rsid w:val="000F582E"/>
    <w:rsid w:val="000F7599"/>
    <w:rsid w:val="00100773"/>
    <w:rsid w:val="001007EB"/>
    <w:rsid w:val="001055DB"/>
    <w:rsid w:val="00105BD3"/>
    <w:rsid w:val="00105C40"/>
    <w:rsid w:val="00105F09"/>
    <w:rsid w:val="001078AB"/>
    <w:rsid w:val="0011225E"/>
    <w:rsid w:val="00113EEE"/>
    <w:rsid w:val="001164A9"/>
    <w:rsid w:val="00120F03"/>
    <w:rsid w:val="00123320"/>
    <w:rsid w:val="001250EB"/>
    <w:rsid w:val="00125B5F"/>
    <w:rsid w:val="0012620F"/>
    <w:rsid w:val="00126E84"/>
    <w:rsid w:val="00127B86"/>
    <w:rsid w:val="00135248"/>
    <w:rsid w:val="001364CB"/>
    <w:rsid w:val="00136A19"/>
    <w:rsid w:val="00140B0E"/>
    <w:rsid w:val="00140D2D"/>
    <w:rsid w:val="001410DE"/>
    <w:rsid w:val="0014366D"/>
    <w:rsid w:val="00143AA9"/>
    <w:rsid w:val="0014784B"/>
    <w:rsid w:val="00151371"/>
    <w:rsid w:val="00153176"/>
    <w:rsid w:val="00154128"/>
    <w:rsid w:val="00161430"/>
    <w:rsid w:val="00163783"/>
    <w:rsid w:val="0016388A"/>
    <w:rsid w:val="001651B3"/>
    <w:rsid w:val="0016559E"/>
    <w:rsid w:val="001673A2"/>
    <w:rsid w:val="00180C42"/>
    <w:rsid w:val="001825CB"/>
    <w:rsid w:val="00183B6E"/>
    <w:rsid w:val="00185CCE"/>
    <w:rsid w:val="00190ADA"/>
    <w:rsid w:val="0019124A"/>
    <w:rsid w:val="0019158A"/>
    <w:rsid w:val="00192B10"/>
    <w:rsid w:val="00192EAB"/>
    <w:rsid w:val="001A0058"/>
    <w:rsid w:val="001A10C8"/>
    <w:rsid w:val="001A49CA"/>
    <w:rsid w:val="001A5B29"/>
    <w:rsid w:val="001A5B52"/>
    <w:rsid w:val="001B0C21"/>
    <w:rsid w:val="001B1452"/>
    <w:rsid w:val="001B3397"/>
    <w:rsid w:val="001B4CFA"/>
    <w:rsid w:val="001B7EEE"/>
    <w:rsid w:val="001C0884"/>
    <w:rsid w:val="001C0EDA"/>
    <w:rsid w:val="001C20CD"/>
    <w:rsid w:val="001C2D4D"/>
    <w:rsid w:val="001C42B0"/>
    <w:rsid w:val="001C4856"/>
    <w:rsid w:val="001C4858"/>
    <w:rsid w:val="001C7398"/>
    <w:rsid w:val="001D3943"/>
    <w:rsid w:val="001D4D78"/>
    <w:rsid w:val="001D64D8"/>
    <w:rsid w:val="001E070F"/>
    <w:rsid w:val="001E117C"/>
    <w:rsid w:val="001E158A"/>
    <w:rsid w:val="001E24A4"/>
    <w:rsid w:val="001E29F8"/>
    <w:rsid w:val="001E2FFF"/>
    <w:rsid w:val="001E5FA6"/>
    <w:rsid w:val="001E6FCE"/>
    <w:rsid w:val="001F103D"/>
    <w:rsid w:val="001F13A5"/>
    <w:rsid w:val="001F200E"/>
    <w:rsid w:val="001F2855"/>
    <w:rsid w:val="001F3EA0"/>
    <w:rsid w:val="001F633B"/>
    <w:rsid w:val="001F66E4"/>
    <w:rsid w:val="001F7A1C"/>
    <w:rsid w:val="001F7E71"/>
    <w:rsid w:val="00201281"/>
    <w:rsid w:val="00204238"/>
    <w:rsid w:val="002104EA"/>
    <w:rsid w:val="00210AE7"/>
    <w:rsid w:val="00212EE0"/>
    <w:rsid w:val="00216403"/>
    <w:rsid w:val="00220AF1"/>
    <w:rsid w:val="00222BDD"/>
    <w:rsid w:val="0022387E"/>
    <w:rsid w:val="0022444B"/>
    <w:rsid w:val="00230B31"/>
    <w:rsid w:val="00234B30"/>
    <w:rsid w:val="0023620E"/>
    <w:rsid w:val="002378AC"/>
    <w:rsid w:val="00237D68"/>
    <w:rsid w:val="00237DF9"/>
    <w:rsid w:val="00240A04"/>
    <w:rsid w:val="00243FEA"/>
    <w:rsid w:val="002444B7"/>
    <w:rsid w:val="00244AC5"/>
    <w:rsid w:val="00252D6D"/>
    <w:rsid w:val="002545A5"/>
    <w:rsid w:val="00257E3C"/>
    <w:rsid w:val="002630BB"/>
    <w:rsid w:val="002636AD"/>
    <w:rsid w:val="00266C25"/>
    <w:rsid w:val="0027124C"/>
    <w:rsid w:val="002712B6"/>
    <w:rsid w:val="002728D7"/>
    <w:rsid w:val="00272EBF"/>
    <w:rsid w:val="00273011"/>
    <w:rsid w:val="00274A48"/>
    <w:rsid w:val="002763CA"/>
    <w:rsid w:val="0027644F"/>
    <w:rsid w:val="00277D27"/>
    <w:rsid w:val="00277D2C"/>
    <w:rsid w:val="0028310C"/>
    <w:rsid w:val="002831C3"/>
    <w:rsid w:val="0028492A"/>
    <w:rsid w:val="002854EB"/>
    <w:rsid w:val="0028570C"/>
    <w:rsid w:val="00292924"/>
    <w:rsid w:val="00293574"/>
    <w:rsid w:val="002935B1"/>
    <w:rsid w:val="002970A0"/>
    <w:rsid w:val="002A3052"/>
    <w:rsid w:val="002A3F05"/>
    <w:rsid w:val="002A4958"/>
    <w:rsid w:val="002B0DE2"/>
    <w:rsid w:val="002B37BA"/>
    <w:rsid w:val="002B425B"/>
    <w:rsid w:val="002B7C0C"/>
    <w:rsid w:val="002C0194"/>
    <w:rsid w:val="002C3A87"/>
    <w:rsid w:val="002C5DD5"/>
    <w:rsid w:val="002C6A4E"/>
    <w:rsid w:val="002D01CD"/>
    <w:rsid w:val="002D12C9"/>
    <w:rsid w:val="002D3A69"/>
    <w:rsid w:val="002D67FA"/>
    <w:rsid w:val="002D7AAD"/>
    <w:rsid w:val="002D7DFD"/>
    <w:rsid w:val="002E11E0"/>
    <w:rsid w:val="002E3CE5"/>
    <w:rsid w:val="002E3DB4"/>
    <w:rsid w:val="002E415C"/>
    <w:rsid w:val="002E4AEB"/>
    <w:rsid w:val="002E7AC7"/>
    <w:rsid w:val="002F1450"/>
    <w:rsid w:val="002F25A4"/>
    <w:rsid w:val="002F27CF"/>
    <w:rsid w:val="002F2E99"/>
    <w:rsid w:val="002F4A91"/>
    <w:rsid w:val="002F750E"/>
    <w:rsid w:val="002F772D"/>
    <w:rsid w:val="003064EB"/>
    <w:rsid w:val="0030711E"/>
    <w:rsid w:val="00312DC6"/>
    <w:rsid w:val="0031346C"/>
    <w:rsid w:val="00317D90"/>
    <w:rsid w:val="003205ED"/>
    <w:rsid w:val="00320744"/>
    <w:rsid w:val="00322DF7"/>
    <w:rsid w:val="00323B86"/>
    <w:rsid w:val="00323D45"/>
    <w:rsid w:val="0032476E"/>
    <w:rsid w:val="00325D41"/>
    <w:rsid w:val="003332DC"/>
    <w:rsid w:val="00336FB6"/>
    <w:rsid w:val="00337551"/>
    <w:rsid w:val="00340FF3"/>
    <w:rsid w:val="00344BEC"/>
    <w:rsid w:val="0034603D"/>
    <w:rsid w:val="003462AE"/>
    <w:rsid w:val="003503A7"/>
    <w:rsid w:val="00350C00"/>
    <w:rsid w:val="00353E3A"/>
    <w:rsid w:val="00356333"/>
    <w:rsid w:val="00361079"/>
    <w:rsid w:val="00361916"/>
    <w:rsid w:val="003625BB"/>
    <w:rsid w:val="003626D2"/>
    <w:rsid w:val="00363F08"/>
    <w:rsid w:val="00365AAF"/>
    <w:rsid w:val="0036609F"/>
    <w:rsid w:val="00366C6D"/>
    <w:rsid w:val="003707D9"/>
    <w:rsid w:val="00373108"/>
    <w:rsid w:val="00373679"/>
    <w:rsid w:val="00375D35"/>
    <w:rsid w:val="00375F29"/>
    <w:rsid w:val="0037795E"/>
    <w:rsid w:val="0038128C"/>
    <w:rsid w:val="0038187C"/>
    <w:rsid w:val="00383FE2"/>
    <w:rsid w:val="00384728"/>
    <w:rsid w:val="003849D1"/>
    <w:rsid w:val="00384E33"/>
    <w:rsid w:val="0038683B"/>
    <w:rsid w:val="00387F03"/>
    <w:rsid w:val="00392106"/>
    <w:rsid w:val="00392ABF"/>
    <w:rsid w:val="00393B99"/>
    <w:rsid w:val="0039401A"/>
    <w:rsid w:val="00395627"/>
    <w:rsid w:val="003A0AB2"/>
    <w:rsid w:val="003A1531"/>
    <w:rsid w:val="003A331B"/>
    <w:rsid w:val="003A791A"/>
    <w:rsid w:val="003B061D"/>
    <w:rsid w:val="003B15E0"/>
    <w:rsid w:val="003B58B8"/>
    <w:rsid w:val="003B5B43"/>
    <w:rsid w:val="003B64C7"/>
    <w:rsid w:val="003B7808"/>
    <w:rsid w:val="003C0792"/>
    <w:rsid w:val="003C0CB1"/>
    <w:rsid w:val="003C191D"/>
    <w:rsid w:val="003C4F50"/>
    <w:rsid w:val="003C7FFE"/>
    <w:rsid w:val="003D0F4C"/>
    <w:rsid w:val="003D13FD"/>
    <w:rsid w:val="003D4003"/>
    <w:rsid w:val="003D6138"/>
    <w:rsid w:val="003E1038"/>
    <w:rsid w:val="003E1A1D"/>
    <w:rsid w:val="003E2858"/>
    <w:rsid w:val="003E67E3"/>
    <w:rsid w:val="003E70AE"/>
    <w:rsid w:val="003E79A5"/>
    <w:rsid w:val="003F3177"/>
    <w:rsid w:val="003F31AD"/>
    <w:rsid w:val="003F5A2E"/>
    <w:rsid w:val="003F653C"/>
    <w:rsid w:val="003F7207"/>
    <w:rsid w:val="00402154"/>
    <w:rsid w:val="00404EBF"/>
    <w:rsid w:val="00405BA5"/>
    <w:rsid w:val="00407D4B"/>
    <w:rsid w:val="00411747"/>
    <w:rsid w:val="00411CC6"/>
    <w:rsid w:val="00412C07"/>
    <w:rsid w:val="004143B0"/>
    <w:rsid w:val="00415F5A"/>
    <w:rsid w:val="00416039"/>
    <w:rsid w:val="004203C1"/>
    <w:rsid w:val="00420B7E"/>
    <w:rsid w:val="00420C59"/>
    <w:rsid w:val="00421767"/>
    <w:rsid w:val="0042197D"/>
    <w:rsid w:val="00422CED"/>
    <w:rsid w:val="00423EC4"/>
    <w:rsid w:val="00424644"/>
    <w:rsid w:val="004249E5"/>
    <w:rsid w:val="004257BC"/>
    <w:rsid w:val="0042596D"/>
    <w:rsid w:val="00427C92"/>
    <w:rsid w:val="00433B13"/>
    <w:rsid w:val="00433DB4"/>
    <w:rsid w:val="004379B7"/>
    <w:rsid w:val="00440901"/>
    <w:rsid w:val="00444981"/>
    <w:rsid w:val="004450A9"/>
    <w:rsid w:val="0044559F"/>
    <w:rsid w:val="00446F72"/>
    <w:rsid w:val="00450306"/>
    <w:rsid w:val="004523E1"/>
    <w:rsid w:val="00454B72"/>
    <w:rsid w:val="0045664F"/>
    <w:rsid w:val="00456670"/>
    <w:rsid w:val="004600EA"/>
    <w:rsid w:val="00461E50"/>
    <w:rsid w:val="004667F7"/>
    <w:rsid w:val="00466A46"/>
    <w:rsid w:val="00466F83"/>
    <w:rsid w:val="00467D8A"/>
    <w:rsid w:val="00471833"/>
    <w:rsid w:val="00472BB7"/>
    <w:rsid w:val="00475F92"/>
    <w:rsid w:val="00482EAC"/>
    <w:rsid w:val="0048308D"/>
    <w:rsid w:val="00486295"/>
    <w:rsid w:val="00486621"/>
    <w:rsid w:val="00486BF4"/>
    <w:rsid w:val="0049002D"/>
    <w:rsid w:val="00491A4E"/>
    <w:rsid w:val="00493DEF"/>
    <w:rsid w:val="0049446C"/>
    <w:rsid w:val="004954AD"/>
    <w:rsid w:val="004954D8"/>
    <w:rsid w:val="004A28C3"/>
    <w:rsid w:val="004B0CDC"/>
    <w:rsid w:val="004B2730"/>
    <w:rsid w:val="004B3E19"/>
    <w:rsid w:val="004B63A7"/>
    <w:rsid w:val="004B7BA6"/>
    <w:rsid w:val="004C2399"/>
    <w:rsid w:val="004C5799"/>
    <w:rsid w:val="004C76E1"/>
    <w:rsid w:val="004D0C5E"/>
    <w:rsid w:val="004D32D7"/>
    <w:rsid w:val="004D515A"/>
    <w:rsid w:val="004D60A3"/>
    <w:rsid w:val="004D773F"/>
    <w:rsid w:val="004D7C15"/>
    <w:rsid w:val="004E044E"/>
    <w:rsid w:val="004E128B"/>
    <w:rsid w:val="004E1435"/>
    <w:rsid w:val="004E3A3B"/>
    <w:rsid w:val="004E3C75"/>
    <w:rsid w:val="004E6ABF"/>
    <w:rsid w:val="004E73EE"/>
    <w:rsid w:val="004E7B26"/>
    <w:rsid w:val="004E7E31"/>
    <w:rsid w:val="004F1861"/>
    <w:rsid w:val="004F3262"/>
    <w:rsid w:val="004F4195"/>
    <w:rsid w:val="004F76E6"/>
    <w:rsid w:val="00500399"/>
    <w:rsid w:val="0050040A"/>
    <w:rsid w:val="005017D2"/>
    <w:rsid w:val="005020F8"/>
    <w:rsid w:val="00505022"/>
    <w:rsid w:val="005060EF"/>
    <w:rsid w:val="0050664D"/>
    <w:rsid w:val="00506FA1"/>
    <w:rsid w:val="00507CF3"/>
    <w:rsid w:val="00513273"/>
    <w:rsid w:val="00513E34"/>
    <w:rsid w:val="00514979"/>
    <w:rsid w:val="005203DB"/>
    <w:rsid w:val="00520DB2"/>
    <w:rsid w:val="0052355E"/>
    <w:rsid w:val="00523E89"/>
    <w:rsid w:val="005270C8"/>
    <w:rsid w:val="00527A76"/>
    <w:rsid w:val="0053120E"/>
    <w:rsid w:val="0053159E"/>
    <w:rsid w:val="0053365B"/>
    <w:rsid w:val="005337DE"/>
    <w:rsid w:val="00533B75"/>
    <w:rsid w:val="00537D9E"/>
    <w:rsid w:val="00543B15"/>
    <w:rsid w:val="005532E1"/>
    <w:rsid w:val="00553BB2"/>
    <w:rsid w:val="00556CFB"/>
    <w:rsid w:val="0056058C"/>
    <w:rsid w:val="0056078B"/>
    <w:rsid w:val="005622FD"/>
    <w:rsid w:val="005641D1"/>
    <w:rsid w:val="00564366"/>
    <w:rsid w:val="00565264"/>
    <w:rsid w:val="0057264B"/>
    <w:rsid w:val="0057406A"/>
    <w:rsid w:val="005806E8"/>
    <w:rsid w:val="005808B0"/>
    <w:rsid w:val="00581D0F"/>
    <w:rsid w:val="00582D5D"/>
    <w:rsid w:val="00583120"/>
    <w:rsid w:val="00584324"/>
    <w:rsid w:val="005845E2"/>
    <w:rsid w:val="005863FC"/>
    <w:rsid w:val="00587197"/>
    <w:rsid w:val="00590C7A"/>
    <w:rsid w:val="00596F7F"/>
    <w:rsid w:val="005A17DA"/>
    <w:rsid w:val="005A3CE4"/>
    <w:rsid w:val="005A4A6C"/>
    <w:rsid w:val="005A4B57"/>
    <w:rsid w:val="005A7F2C"/>
    <w:rsid w:val="005B0FEB"/>
    <w:rsid w:val="005B43FC"/>
    <w:rsid w:val="005B4468"/>
    <w:rsid w:val="005B7361"/>
    <w:rsid w:val="005B7EF1"/>
    <w:rsid w:val="005C08DC"/>
    <w:rsid w:val="005C2914"/>
    <w:rsid w:val="005C2CDA"/>
    <w:rsid w:val="005C64CC"/>
    <w:rsid w:val="005C6A97"/>
    <w:rsid w:val="005D007D"/>
    <w:rsid w:val="005D0F14"/>
    <w:rsid w:val="005D1745"/>
    <w:rsid w:val="005D2CD0"/>
    <w:rsid w:val="005D4721"/>
    <w:rsid w:val="005D4AC0"/>
    <w:rsid w:val="005E040B"/>
    <w:rsid w:val="005E2B07"/>
    <w:rsid w:val="005E2EA6"/>
    <w:rsid w:val="005E79C5"/>
    <w:rsid w:val="005E7FFC"/>
    <w:rsid w:val="005F0487"/>
    <w:rsid w:val="005F08A1"/>
    <w:rsid w:val="005F0F47"/>
    <w:rsid w:val="005F3B12"/>
    <w:rsid w:val="005F4E29"/>
    <w:rsid w:val="005F5483"/>
    <w:rsid w:val="005F638F"/>
    <w:rsid w:val="005F6651"/>
    <w:rsid w:val="005F6FE0"/>
    <w:rsid w:val="005F7C84"/>
    <w:rsid w:val="005F7FA9"/>
    <w:rsid w:val="0060433C"/>
    <w:rsid w:val="006048F9"/>
    <w:rsid w:val="0060727C"/>
    <w:rsid w:val="00611B81"/>
    <w:rsid w:val="00617680"/>
    <w:rsid w:val="00621A8B"/>
    <w:rsid w:val="0062439F"/>
    <w:rsid w:val="006255B2"/>
    <w:rsid w:val="006343B6"/>
    <w:rsid w:val="00636747"/>
    <w:rsid w:val="006405B5"/>
    <w:rsid w:val="00642549"/>
    <w:rsid w:val="0064324B"/>
    <w:rsid w:val="00647952"/>
    <w:rsid w:val="00650ED7"/>
    <w:rsid w:val="00653539"/>
    <w:rsid w:val="00655D34"/>
    <w:rsid w:val="00656C22"/>
    <w:rsid w:val="006571C4"/>
    <w:rsid w:val="00663B7D"/>
    <w:rsid w:val="00664441"/>
    <w:rsid w:val="006663D0"/>
    <w:rsid w:val="006721AE"/>
    <w:rsid w:val="00672F39"/>
    <w:rsid w:val="00673444"/>
    <w:rsid w:val="00674179"/>
    <w:rsid w:val="00674239"/>
    <w:rsid w:val="006752F3"/>
    <w:rsid w:val="00682577"/>
    <w:rsid w:val="00682B94"/>
    <w:rsid w:val="006834E1"/>
    <w:rsid w:val="0068540E"/>
    <w:rsid w:val="00687E6F"/>
    <w:rsid w:val="006941E2"/>
    <w:rsid w:val="0069452D"/>
    <w:rsid w:val="00695E33"/>
    <w:rsid w:val="00696EDF"/>
    <w:rsid w:val="0069725C"/>
    <w:rsid w:val="00697663"/>
    <w:rsid w:val="006A02D9"/>
    <w:rsid w:val="006A08B4"/>
    <w:rsid w:val="006A112D"/>
    <w:rsid w:val="006A1E67"/>
    <w:rsid w:val="006A224F"/>
    <w:rsid w:val="006A3076"/>
    <w:rsid w:val="006A7371"/>
    <w:rsid w:val="006B06FF"/>
    <w:rsid w:val="006B3B80"/>
    <w:rsid w:val="006B3FA3"/>
    <w:rsid w:val="006B5764"/>
    <w:rsid w:val="006B5ECD"/>
    <w:rsid w:val="006B637D"/>
    <w:rsid w:val="006B7E7C"/>
    <w:rsid w:val="006C2EE4"/>
    <w:rsid w:val="006C3B06"/>
    <w:rsid w:val="006C3F16"/>
    <w:rsid w:val="006C3F53"/>
    <w:rsid w:val="006C43CA"/>
    <w:rsid w:val="006C47AF"/>
    <w:rsid w:val="006C5409"/>
    <w:rsid w:val="006C6A4D"/>
    <w:rsid w:val="006C7204"/>
    <w:rsid w:val="006D003B"/>
    <w:rsid w:val="006D0085"/>
    <w:rsid w:val="006D1855"/>
    <w:rsid w:val="006D37BF"/>
    <w:rsid w:val="006D5F81"/>
    <w:rsid w:val="006D6B32"/>
    <w:rsid w:val="006E0A38"/>
    <w:rsid w:val="006E0B28"/>
    <w:rsid w:val="006E6D87"/>
    <w:rsid w:val="006E7CAC"/>
    <w:rsid w:val="006F134F"/>
    <w:rsid w:val="006F7052"/>
    <w:rsid w:val="006F722A"/>
    <w:rsid w:val="007000A7"/>
    <w:rsid w:val="00700544"/>
    <w:rsid w:val="00702144"/>
    <w:rsid w:val="00702423"/>
    <w:rsid w:val="00705AF2"/>
    <w:rsid w:val="007135D7"/>
    <w:rsid w:val="0071409C"/>
    <w:rsid w:val="007151B5"/>
    <w:rsid w:val="007154FE"/>
    <w:rsid w:val="007160AF"/>
    <w:rsid w:val="007172BE"/>
    <w:rsid w:val="00717A21"/>
    <w:rsid w:val="00720B90"/>
    <w:rsid w:val="00720C71"/>
    <w:rsid w:val="0072188E"/>
    <w:rsid w:val="00723244"/>
    <w:rsid w:val="0072434B"/>
    <w:rsid w:val="0072549A"/>
    <w:rsid w:val="007260DF"/>
    <w:rsid w:val="007261DC"/>
    <w:rsid w:val="0072776C"/>
    <w:rsid w:val="0073241A"/>
    <w:rsid w:val="00734F14"/>
    <w:rsid w:val="00737C28"/>
    <w:rsid w:val="00740DDF"/>
    <w:rsid w:val="00741EF7"/>
    <w:rsid w:val="00744A47"/>
    <w:rsid w:val="00745B76"/>
    <w:rsid w:val="00750DEB"/>
    <w:rsid w:val="0075263D"/>
    <w:rsid w:val="007564ED"/>
    <w:rsid w:val="00761333"/>
    <w:rsid w:val="00761729"/>
    <w:rsid w:val="007619F9"/>
    <w:rsid w:val="00761A35"/>
    <w:rsid w:val="00761E5C"/>
    <w:rsid w:val="007636CB"/>
    <w:rsid w:val="007642A5"/>
    <w:rsid w:val="00764918"/>
    <w:rsid w:val="00764AC7"/>
    <w:rsid w:val="00766A49"/>
    <w:rsid w:val="00767097"/>
    <w:rsid w:val="0076746D"/>
    <w:rsid w:val="0076752D"/>
    <w:rsid w:val="00770753"/>
    <w:rsid w:val="00770A8C"/>
    <w:rsid w:val="007731FD"/>
    <w:rsid w:val="00773E14"/>
    <w:rsid w:val="00774026"/>
    <w:rsid w:val="0077403D"/>
    <w:rsid w:val="00774768"/>
    <w:rsid w:val="00774E6C"/>
    <w:rsid w:val="00775A5B"/>
    <w:rsid w:val="00776665"/>
    <w:rsid w:val="00776CEA"/>
    <w:rsid w:val="00776E29"/>
    <w:rsid w:val="007801FD"/>
    <w:rsid w:val="0078208E"/>
    <w:rsid w:val="00783C73"/>
    <w:rsid w:val="00784886"/>
    <w:rsid w:val="007859E5"/>
    <w:rsid w:val="007879A5"/>
    <w:rsid w:val="00787A5E"/>
    <w:rsid w:val="00791E94"/>
    <w:rsid w:val="007935DB"/>
    <w:rsid w:val="00797726"/>
    <w:rsid w:val="007A141A"/>
    <w:rsid w:val="007A167E"/>
    <w:rsid w:val="007A223B"/>
    <w:rsid w:val="007A339C"/>
    <w:rsid w:val="007A5962"/>
    <w:rsid w:val="007A6F27"/>
    <w:rsid w:val="007B1517"/>
    <w:rsid w:val="007B3BE3"/>
    <w:rsid w:val="007B5EC4"/>
    <w:rsid w:val="007C224C"/>
    <w:rsid w:val="007C32F6"/>
    <w:rsid w:val="007C5699"/>
    <w:rsid w:val="007D0A5B"/>
    <w:rsid w:val="007D1E1E"/>
    <w:rsid w:val="007D29D0"/>
    <w:rsid w:val="007D6B00"/>
    <w:rsid w:val="007E0972"/>
    <w:rsid w:val="007E0AED"/>
    <w:rsid w:val="007E0F08"/>
    <w:rsid w:val="007E21DF"/>
    <w:rsid w:val="007E3310"/>
    <w:rsid w:val="007E3FCF"/>
    <w:rsid w:val="007E6632"/>
    <w:rsid w:val="007F1C52"/>
    <w:rsid w:val="007F2624"/>
    <w:rsid w:val="007F4D63"/>
    <w:rsid w:val="007F6E36"/>
    <w:rsid w:val="008007E4"/>
    <w:rsid w:val="00802025"/>
    <w:rsid w:val="008021EC"/>
    <w:rsid w:val="00803FAD"/>
    <w:rsid w:val="008074F4"/>
    <w:rsid w:val="00811242"/>
    <w:rsid w:val="008125AA"/>
    <w:rsid w:val="008144B6"/>
    <w:rsid w:val="00815E03"/>
    <w:rsid w:val="0082114E"/>
    <w:rsid w:val="008225A9"/>
    <w:rsid w:val="00822A25"/>
    <w:rsid w:val="00824742"/>
    <w:rsid w:val="00824FA2"/>
    <w:rsid w:val="008260E8"/>
    <w:rsid w:val="00831C9E"/>
    <w:rsid w:val="008331F6"/>
    <w:rsid w:val="008342A1"/>
    <w:rsid w:val="00835DE0"/>
    <w:rsid w:val="0083646C"/>
    <w:rsid w:val="00842CA3"/>
    <w:rsid w:val="0084330D"/>
    <w:rsid w:val="00846284"/>
    <w:rsid w:val="008479E5"/>
    <w:rsid w:val="00850EDB"/>
    <w:rsid w:val="00851423"/>
    <w:rsid w:val="0085483C"/>
    <w:rsid w:val="00854E9B"/>
    <w:rsid w:val="0086256C"/>
    <w:rsid w:val="00863F79"/>
    <w:rsid w:val="00864D7D"/>
    <w:rsid w:val="00865BDE"/>
    <w:rsid w:val="00865E0C"/>
    <w:rsid w:val="0087043F"/>
    <w:rsid w:val="008736C7"/>
    <w:rsid w:val="00873BF8"/>
    <w:rsid w:val="00875927"/>
    <w:rsid w:val="0087619A"/>
    <w:rsid w:val="00885B66"/>
    <w:rsid w:val="00885E16"/>
    <w:rsid w:val="0088626E"/>
    <w:rsid w:val="0088702D"/>
    <w:rsid w:val="0089028B"/>
    <w:rsid w:val="00890D02"/>
    <w:rsid w:val="0089201C"/>
    <w:rsid w:val="00892DB9"/>
    <w:rsid w:val="00892F48"/>
    <w:rsid w:val="00892F70"/>
    <w:rsid w:val="0089332E"/>
    <w:rsid w:val="008A450F"/>
    <w:rsid w:val="008A670B"/>
    <w:rsid w:val="008B7EB0"/>
    <w:rsid w:val="008C0312"/>
    <w:rsid w:val="008C17FA"/>
    <w:rsid w:val="008C26E2"/>
    <w:rsid w:val="008C28FC"/>
    <w:rsid w:val="008C7ED3"/>
    <w:rsid w:val="008D073F"/>
    <w:rsid w:val="008D0C34"/>
    <w:rsid w:val="008D4155"/>
    <w:rsid w:val="008D4780"/>
    <w:rsid w:val="008D7D72"/>
    <w:rsid w:val="008E3A8F"/>
    <w:rsid w:val="008E404C"/>
    <w:rsid w:val="008E4FA8"/>
    <w:rsid w:val="008E5DCD"/>
    <w:rsid w:val="008F10C3"/>
    <w:rsid w:val="008F1168"/>
    <w:rsid w:val="008F2440"/>
    <w:rsid w:val="008F3C41"/>
    <w:rsid w:val="008F6424"/>
    <w:rsid w:val="008F6D7F"/>
    <w:rsid w:val="008F7717"/>
    <w:rsid w:val="009012E8"/>
    <w:rsid w:val="009022E7"/>
    <w:rsid w:val="00910573"/>
    <w:rsid w:val="00914930"/>
    <w:rsid w:val="00915028"/>
    <w:rsid w:val="0091563D"/>
    <w:rsid w:val="0091594B"/>
    <w:rsid w:val="00915F8E"/>
    <w:rsid w:val="00916007"/>
    <w:rsid w:val="00917402"/>
    <w:rsid w:val="00917719"/>
    <w:rsid w:val="00921AD3"/>
    <w:rsid w:val="00923481"/>
    <w:rsid w:val="00927579"/>
    <w:rsid w:val="00927582"/>
    <w:rsid w:val="00927A24"/>
    <w:rsid w:val="00930667"/>
    <w:rsid w:val="00933A2A"/>
    <w:rsid w:val="00934CB5"/>
    <w:rsid w:val="00935B31"/>
    <w:rsid w:val="009362A6"/>
    <w:rsid w:val="00936C2E"/>
    <w:rsid w:val="00937BDF"/>
    <w:rsid w:val="009408F7"/>
    <w:rsid w:val="009410E0"/>
    <w:rsid w:val="009446CC"/>
    <w:rsid w:val="00944FE5"/>
    <w:rsid w:val="0094505E"/>
    <w:rsid w:val="00945E43"/>
    <w:rsid w:val="00951818"/>
    <w:rsid w:val="0095410F"/>
    <w:rsid w:val="009636D6"/>
    <w:rsid w:val="00964957"/>
    <w:rsid w:val="0096603F"/>
    <w:rsid w:val="009717F9"/>
    <w:rsid w:val="0097234A"/>
    <w:rsid w:val="00972CDC"/>
    <w:rsid w:val="00974B42"/>
    <w:rsid w:val="00974B5A"/>
    <w:rsid w:val="0097588D"/>
    <w:rsid w:val="00975E1F"/>
    <w:rsid w:val="0098318F"/>
    <w:rsid w:val="00985AB5"/>
    <w:rsid w:val="00986800"/>
    <w:rsid w:val="00987611"/>
    <w:rsid w:val="00987A4D"/>
    <w:rsid w:val="00990249"/>
    <w:rsid w:val="00993180"/>
    <w:rsid w:val="00994DAD"/>
    <w:rsid w:val="009A11CE"/>
    <w:rsid w:val="009A11FC"/>
    <w:rsid w:val="009A59EE"/>
    <w:rsid w:val="009A5F44"/>
    <w:rsid w:val="009A618C"/>
    <w:rsid w:val="009B48C6"/>
    <w:rsid w:val="009B641F"/>
    <w:rsid w:val="009B7481"/>
    <w:rsid w:val="009B7B38"/>
    <w:rsid w:val="009C2D4D"/>
    <w:rsid w:val="009C625C"/>
    <w:rsid w:val="009C65CE"/>
    <w:rsid w:val="009C674A"/>
    <w:rsid w:val="009D072C"/>
    <w:rsid w:val="009D1E3F"/>
    <w:rsid w:val="009D2716"/>
    <w:rsid w:val="009D36E4"/>
    <w:rsid w:val="009E04BE"/>
    <w:rsid w:val="009E0607"/>
    <w:rsid w:val="009E2348"/>
    <w:rsid w:val="009E3765"/>
    <w:rsid w:val="009E450F"/>
    <w:rsid w:val="009E4FC8"/>
    <w:rsid w:val="009E57C4"/>
    <w:rsid w:val="009E64F8"/>
    <w:rsid w:val="009F08C2"/>
    <w:rsid w:val="009F4929"/>
    <w:rsid w:val="009F531E"/>
    <w:rsid w:val="009F6A41"/>
    <w:rsid w:val="00A01564"/>
    <w:rsid w:val="00A0531F"/>
    <w:rsid w:val="00A05991"/>
    <w:rsid w:val="00A0658F"/>
    <w:rsid w:val="00A06602"/>
    <w:rsid w:val="00A1019C"/>
    <w:rsid w:val="00A10EAD"/>
    <w:rsid w:val="00A12A78"/>
    <w:rsid w:val="00A13E5A"/>
    <w:rsid w:val="00A13F55"/>
    <w:rsid w:val="00A15832"/>
    <w:rsid w:val="00A1633B"/>
    <w:rsid w:val="00A16859"/>
    <w:rsid w:val="00A17E67"/>
    <w:rsid w:val="00A17FAC"/>
    <w:rsid w:val="00A23F31"/>
    <w:rsid w:val="00A244F2"/>
    <w:rsid w:val="00A27328"/>
    <w:rsid w:val="00A3138F"/>
    <w:rsid w:val="00A31F3B"/>
    <w:rsid w:val="00A33147"/>
    <w:rsid w:val="00A33B3F"/>
    <w:rsid w:val="00A33CC8"/>
    <w:rsid w:val="00A34650"/>
    <w:rsid w:val="00A34872"/>
    <w:rsid w:val="00A36214"/>
    <w:rsid w:val="00A40B63"/>
    <w:rsid w:val="00A424D6"/>
    <w:rsid w:val="00A4587B"/>
    <w:rsid w:val="00A52C76"/>
    <w:rsid w:val="00A52EE9"/>
    <w:rsid w:val="00A53539"/>
    <w:rsid w:val="00A62604"/>
    <w:rsid w:val="00A63A78"/>
    <w:rsid w:val="00A64EA0"/>
    <w:rsid w:val="00A700B3"/>
    <w:rsid w:val="00A70BCC"/>
    <w:rsid w:val="00A710C7"/>
    <w:rsid w:val="00A7278E"/>
    <w:rsid w:val="00A73C84"/>
    <w:rsid w:val="00A74680"/>
    <w:rsid w:val="00A75296"/>
    <w:rsid w:val="00A75A57"/>
    <w:rsid w:val="00A775B8"/>
    <w:rsid w:val="00A81795"/>
    <w:rsid w:val="00A82147"/>
    <w:rsid w:val="00A842A6"/>
    <w:rsid w:val="00A8549B"/>
    <w:rsid w:val="00A8638B"/>
    <w:rsid w:val="00A873D2"/>
    <w:rsid w:val="00A909B6"/>
    <w:rsid w:val="00A914AA"/>
    <w:rsid w:val="00A91EBB"/>
    <w:rsid w:val="00AA0BB4"/>
    <w:rsid w:val="00AA20B6"/>
    <w:rsid w:val="00AA4C1F"/>
    <w:rsid w:val="00AA57D9"/>
    <w:rsid w:val="00AA5889"/>
    <w:rsid w:val="00AB03F0"/>
    <w:rsid w:val="00AB1C0A"/>
    <w:rsid w:val="00AB1F42"/>
    <w:rsid w:val="00AB48D2"/>
    <w:rsid w:val="00AB5851"/>
    <w:rsid w:val="00AB610C"/>
    <w:rsid w:val="00AB6505"/>
    <w:rsid w:val="00AB7BFE"/>
    <w:rsid w:val="00AC0BBE"/>
    <w:rsid w:val="00AC2F5A"/>
    <w:rsid w:val="00AD43FE"/>
    <w:rsid w:val="00AD4573"/>
    <w:rsid w:val="00AD5A9D"/>
    <w:rsid w:val="00AD6808"/>
    <w:rsid w:val="00AE0A18"/>
    <w:rsid w:val="00AE2069"/>
    <w:rsid w:val="00AE20CF"/>
    <w:rsid w:val="00AE3905"/>
    <w:rsid w:val="00AE3F8C"/>
    <w:rsid w:val="00AE5DE8"/>
    <w:rsid w:val="00AF0F65"/>
    <w:rsid w:val="00AF20FE"/>
    <w:rsid w:val="00AF25E1"/>
    <w:rsid w:val="00AF5311"/>
    <w:rsid w:val="00AF5BF1"/>
    <w:rsid w:val="00AF783D"/>
    <w:rsid w:val="00B021C0"/>
    <w:rsid w:val="00B02C53"/>
    <w:rsid w:val="00B049BC"/>
    <w:rsid w:val="00B05414"/>
    <w:rsid w:val="00B05606"/>
    <w:rsid w:val="00B0739C"/>
    <w:rsid w:val="00B1158A"/>
    <w:rsid w:val="00B11A21"/>
    <w:rsid w:val="00B13152"/>
    <w:rsid w:val="00B142A2"/>
    <w:rsid w:val="00B17B07"/>
    <w:rsid w:val="00B20CBC"/>
    <w:rsid w:val="00B25128"/>
    <w:rsid w:val="00B260C3"/>
    <w:rsid w:val="00B26986"/>
    <w:rsid w:val="00B30D40"/>
    <w:rsid w:val="00B31BC4"/>
    <w:rsid w:val="00B34D11"/>
    <w:rsid w:val="00B40A83"/>
    <w:rsid w:val="00B41197"/>
    <w:rsid w:val="00B46E60"/>
    <w:rsid w:val="00B5189A"/>
    <w:rsid w:val="00B51A50"/>
    <w:rsid w:val="00B51C04"/>
    <w:rsid w:val="00B52C30"/>
    <w:rsid w:val="00B5300C"/>
    <w:rsid w:val="00B5325A"/>
    <w:rsid w:val="00B60F55"/>
    <w:rsid w:val="00B6114B"/>
    <w:rsid w:val="00B633CB"/>
    <w:rsid w:val="00B63456"/>
    <w:rsid w:val="00B64108"/>
    <w:rsid w:val="00B66A74"/>
    <w:rsid w:val="00B67096"/>
    <w:rsid w:val="00B734BA"/>
    <w:rsid w:val="00B7594B"/>
    <w:rsid w:val="00B765BD"/>
    <w:rsid w:val="00B80825"/>
    <w:rsid w:val="00B8159F"/>
    <w:rsid w:val="00B83020"/>
    <w:rsid w:val="00B84EB7"/>
    <w:rsid w:val="00B90A51"/>
    <w:rsid w:val="00B90D4A"/>
    <w:rsid w:val="00B93CDD"/>
    <w:rsid w:val="00B95C6E"/>
    <w:rsid w:val="00BA71BD"/>
    <w:rsid w:val="00BA7BA1"/>
    <w:rsid w:val="00BA7D07"/>
    <w:rsid w:val="00BB16E1"/>
    <w:rsid w:val="00BB2918"/>
    <w:rsid w:val="00BB3E08"/>
    <w:rsid w:val="00BC3627"/>
    <w:rsid w:val="00BC5BD7"/>
    <w:rsid w:val="00BC67F8"/>
    <w:rsid w:val="00BC69B0"/>
    <w:rsid w:val="00BD3D76"/>
    <w:rsid w:val="00BD6104"/>
    <w:rsid w:val="00BD7667"/>
    <w:rsid w:val="00BE1352"/>
    <w:rsid w:val="00BE2C34"/>
    <w:rsid w:val="00BE38E4"/>
    <w:rsid w:val="00BE642F"/>
    <w:rsid w:val="00BE7A8B"/>
    <w:rsid w:val="00BF0ECD"/>
    <w:rsid w:val="00BF454B"/>
    <w:rsid w:val="00BF4934"/>
    <w:rsid w:val="00BF6D83"/>
    <w:rsid w:val="00BF7D26"/>
    <w:rsid w:val="00C00D6E"/>
    <w:rsid w:val="00C015DE"/>
    <w:rsid w:val="00C017FE"/>
    <w:rsid w:val="00C02268"/>
    <w:rsid w:val="00C04852"/>
    <w:rsid w:val="00C10F0C"/>
    <w:rsid w:val="00C11F61"/>
    <w:rsid w:val="00C1280D"/>
    <w:rsid w:val="00C1328E"/>
    <w:rsid w:val="00C13A91"/>
    <w:rsid w:val="00C15291"/>
    <w:rsid w:val="00C153B1"/>
    <w:rsid w:val="00C20132"/>
    <w:rsid w:val="00C23B49"/>
    <w:rsid w:val="00C254E6"/>
    <w:rsid w:val="00C27C8E"/>
    <w:rsid w:val="00C31207"/>
    <w:rsid w:val="00C328A4"/>
    <w:rsid w:val="00C34791"/>
    <w:rsid w:val="00C378FA"/>
    <w:rsid w:val="00C412D4"/>
    <w:rsid w:val="00C41E7F"/>
    <w:rsid w:val="00C445B3"/>
    <w:rsid w:val="00C44B07"/>
    <w:rsid w:val="00C4540B"/>
    <w:rsid w:val="00C47C2A"/>
    <w:rsid w:val="00C5055D"/>
    <w:rsid w:val="00C514C7"/>
    <w:rsid w:val="00C51686"/>
    <w:rsid w:val="00C52912"/>
    <w:rsid w:val="00C52E4F"/>
    <w:rsid w:val="00C5446B"/>
    <w:rsid w:val="00C54ADE"/>
    <w:rsid w:val="00C560F3"/>
    <w:rsid w:val="00C573FC"/>
    <w:rsid w:val="00C60172"/>
    <w:rsid w:val="00C61ECF"/>
    <w:rsid w:val="00C632D9"/>
    <w:rsid w:val="00C6616D"/>
    <w:rsid w:val="00C70AD6"/>
    <w:rsid w:val="00C76BD7"/>
    <w:rsid w:val="00C8000C"/>
    <w:rsid w:val="00C8048C"/>
    <w:rsid w:val="00C82185"/>
    <w:rsid w:val="00C83A27"/>
    <w:rsid w:val="00C9137A"/>
    <w:rsid w:val="00C91F22"/>
    <w:rsid w:val="00C96363"/>
    <w:rsid w:val="00C97AD4"/>
    <w:rsid w:val="00CA1673"/>
    <w:rsid w:val="00CA497F"/>
    <w:rsid w:val="00CA4CC2"/>
    <w:rsid w:val="00CA51D1"/>
    <w:rsid w:val="00CA777D"/>
    <w:rsid w:val="00CB0F82"/>
    <w:rsid w:val="00CB2545"/>
    <w:rsid w:val="00CB4193"/>
    <w:rsid w:val="00CB4EE1"/>
    <w:rsid w:val="00CB50EB"/>
    <w:rsid w:val="00CC2134"/>
    <w:rsid w:val="00CD3857"/>
    <w:rsid w:val="00CD3BAF"/>
    <w:rsid w:val="00CD4DE4"/>
    <w:rsid w:val="00CE58D6"/>
    <w:rsid w:val="00CF2A3C"/>
    <w:rsid w:val="00CF307C"/>
    <w:rsid w:val="00CF39CD"/>
    <w:rsid w:val="00CF43F8"/>
    <w:rsid w:val="00CF488B"/>
    <w:rsid w:val="00CF4E40"/>
    <w:rsid w:val="00CF5611"/>
    <w:rsid w:val="00CF71AE"/>
    <w:rsid w:val="00D00A08"/>
    <w:rsid w:val="00D013C8"/>
    <w:rsid w:val="00D022E4"/>
    <w:rsid w:val="00D03ED4"/>
    <w:rsid w:val="00D043E7"/>
    <w:rsid w:val="00D0593E"/>
    <w:rsid w:val="00D116BB"/>
    <w:rsid w:val="00D14E9C"/>
    <w:rsid w:val="00D205C2"/>
    <w:rsid w:val="00D22E99"/>
    <w:rsid w:val="00D23F9B"/>
    <w:rsid w:val="00D24CD9"/>
    <w:rsid w:val="00D257E5"/>
    <w:rsid w:val="00D2635F"/>
    <w:rsid w:val="00D27BAE"/>
    <w:rsid w:val="00D32A4D"/>
    <w:rsid w:val="00D35966"/>
    <w:rsid w:val="00D36CAE"/>
    <w:rsid w:val="00D36EF5"/>
    <w:rsid w:val="00D3773D"/>
    <w:rsid w:val="00D42F9A"/>
    <w:rsid w:val="00D431F2"/>
    <w:rsid w:val="00D47173"/>
    <w:rsid w:val="00D50CC7"/>
    <w:rsid w:val="00D5399D"/>
    <w:rsid w:val="00D700BE"/>
    <w:rsid w:val="00D72263"/>
    <w:rsid w:val="00D726A4"/>
    <w:rsid w:val="00D73706"/>
    <w:rsid w:val="00D745C3"/>
    <w:rsid w:val="00D7566A"/>
    <w:rsid w:val="00D764E1"/>
    <w:rsid w:val="00D76C80"/>
    <w:rsid w:val="00D839AE"/>
    <w:rsid w:val="00D865B9"/>
    <w:rsid w:val="00D86AD0"/>
    <w:rsid w:val="00D90CA5"/>
    <w:rsid w:val="00D90FDC"/>
    <w:rsid w:val="00D910C0"/>
    <w:rsid w:val="00D93F80"/>
    <w:rsid w:val="00D94DAB"/>
    <w:rsid w:val="00D9559B"/>
    <w:rsid w:val="00D96DE5"/>
    <w:rsid w:val="00DA05D3"/>
    <w:rsid w:val="00DA1F2B"/>
    <w:rsid w:val="00DA2865"/>
    <w:rsid w:val="00DA39CD"/>
    <w:rsid w:val="00DA4C07"/>
    <w:rsid w:val="00DA5671"/>
    <w:rsid w:val="00DA5725"/>
    <w:rsid w:val="00DA66D7"/>
    <w:rsid w:val="00DB70BA"/>
    <w:rsid w:val="00DB7174"/>
    <w:rsid w:val="00DC02BE"/>
    <w:rsid w:val="00DC10FE"/>
    <w:rsid w:val="00DD0254"/>
    <w:rsid w:val="00DD0617"/>
    <w:rsid w:val="00DD75AF"/>
    <w:rsid w:val="00DE0831"/>
    <w:rsid w:val="00DE08B6"/>
    <w:rsid w:val="00DE1E51"/>
    <w:rsid w:val="00DE1FB5"/>
    <w:rsid w:val="00DE27B8"/>
    <w:rsid w:val="00DE45DF"/>
    <w:rsid w:val="00DE4F0D"/>
    <w:rsid w:val="00DE583F"/>
    <w:rsid w:val="00DE5E9E"/>
    <w:rsid w:val="00DE7324"/>
    <w:rsid w:val="00DF78F8"/>
    <w:rsid w:val="00E0152D"/>
    <w:rsid w:val="00E0263D"/>
    <w:rsid w:val="00E05488"/>
    <w:rsid w:val="00E075D9"/>
    <w:rsid w:val="00E12CCA"/>
    <w:rsid w:val="00E141AC"/>
    <w:rsid w:val="00E14507"/>
    <w:rsid w:val="00E16F09"/>
    <w:rsid w:val="00E21243"/>
    <w:rsid w:val="00E242FE"/>
    <w:rsid w:val="00E26184"/>
    <w:rsid w:val="00E26B1F"/>
    <w:rsid w:val="00E32EB6"/>
    <w:rsid w:val="00E34E9A"/>
    <w:rsid w:val="00E35E51"/>
    <w:rsid w:val="00E403E5"/>
    <w:rsid w:val="00E40936"/>
    <w:rsid w:val="00E4197D"/>
    <w:rsid w:val="00E4253D"/>
    <w:rsid w:val="00E42BD5"/>
    <w:rsid w:val="00E42E35"/>
    <w:rsid w:val="00E45DBB"/>
    <w:rsid w:val="00E50F72"/>
    <w:rsid w:val="00E51CFA"/>
    <w:rsid w:val="00E51E94"/>
    <w:rsid w:val="00E53C80"/>
    <w:rsid w:val="00E54662"/>
    <w:rsid w:val="00E54C5D"/>
    <w:rsid w:val="00E55032"/>
    <w:rsid w:val="00E55D31"/>
    <w:rsid w:val="00E56CED"/>
    <w:rsid w:val="00E6203C"/>
    <w:rsid w:val="00E630E8"/>
    <w:rsid w:val="00E679A7"/>
    <w:rsid w:val="00E703BA"/>
    <w:rsid w:val="00E70F83"/>
    <w:rsid w:val="00E7238F"/>
    <w:rsid w:val="00E7364E"/>
    <w:rsid w:val="00E745C6"/>
    <w:rsid w:val="00E74E3E"/>
    <w:rsid w:val="00E755AA"/>
    <w:rsid w:val="00E7639A"/>
    <w:rsid w:val="00E81716"/>
    <w:rsid w:val="00E81B53"/>
    <w:rsid w:val="00E82B80"/>
    <w:rsid w:val="00E82CFA"/>
    <w:rsid w:val="00E83A76"/>
    <w:rsid w:val="00E849EF"/>
    <w:rsid w:val="00E86451"/>
    <w:rsid w:val="00E86E39"/>
    <w:rsid w:val="00E872DE"/>
    <w:rsid w:val="00E904FB"/>
    <w:rsid w:val="00E90807"/>
    <w:rsid w:val="00E9158D"/>
    <w:rsid w:val="00E91A68"/>
    <w:rsid w:val="00E92017"/>
    <w:rsid w:val="00E92B36"/>
    <w:rsid w:val="00E92DD7"/>
    <w:rsid w:val="00E94998"/>
    <w:rsid w:val="00E952E4"/>
    <w:rsid w:val="00E965B4"/>
    <w:rsid w:val="00EA18E3"/>
    <w:rsid w:val="00EA260C"/>
    <w:rsid w:val="00EA550D"/>
    <w:rsid w:val="00EA656B"/>
    <w:rsid w:val="00EB014D"/>
    <w:rsid w:val="00EB11AE"/>
    <w:rsid w:val="00EB31D2"/>
    <w:rsid w:val="00EB42E6"/>
    <w:rsid w:val="00EC0F19"/>
    <w:rsid w:val="00EC2277"/>
    <w:rsid w:val="00EC6DA6"/>
    <w:rsid w:val="00EC7C2F"/>
    <w:rsid w:val="00EC7F7C"/>
    <w:rsid w:val="00ED12C0"/>
    <w:rsid w:val="00ED13BF"/>
    <w:rsid w:val="00ED16F7"/>
    <w:rsid w:val="00ED7695"/>
    <w:rsid w:val="00EE0015"/>
    <w:rsid w:val="00EE164B"/>
    <w:rsid w:val="00EE2304"/>
    <w:rsid w:val="00EE7804"/>
    <w:rsid w:val="00EF7B64"/>
    <w:rsid w:val="00F019D3"/>
    <w:rsid w:val="00F0287F"/>
    <w:rsid w:val="00F062F8"/>
    <w:rsid w:val="00F0655A"/>
    <w:rsid w:val="00F10F92"/>
    <w:rsid w:val="00F11086"/>
    <w:rsid w:val="00F122BB"/>
    <w:rsid w:val="00F17C41"/>
    <w:rsid w:val="00F21A41"/>
    <w:rsid w:val="00F22F19"/>
    <w:rsid w:val="00F25810"/>
    <w:rsid w:val="00F26194"/>
    <w:rsid w:val="00F26A57"/>
    <w:rsid w:val="00F30E7A"/>
    <w:rsid w:val="00F331BE"/>
    <w:rsid w:val="00F34B21"/>
    <w:rsid w:val="00F351E8"/>
    <w:rsid w:val="00F35DB5"/>
    <w:rsid w:val="00F378EE"/>
    <w:rsid w:val="00F4062B"/>
    <w:rsid w:val="00F40B0F"/>
    <w:rsid w:val="00F41922"/>
    <w:rsid w:val="00F4206D"/>
    <w:rsid w:val="00F421B4"/>
    <w:rsid w:val="00F46A1F"/>
    <w:rsid w:val="00F50E9F"/>
    <w:rsid w:val="00F52099"/>
    <w:rsid w:val="00F54650"/>
    <w:rsid w:val="00F54F2B"/>
    <w:rsid w:val="00F55A21"/>
    <w:rsid w:val="00F56B77"/>
    <w:rsid w:val="00F5736E"/>
    <w:rsid w:val="00F5787A"/>
    <w:rsid w:val="00F60A0A"/>
    <w:rsid w:val="00F61DEB"/>
    <w:rsid w:val="00F64519"/>
    <w:rsid w:val="00F662D9"/>
    <w:rsid w:val="00F66669"/>
    <w:rsid w:val="00F66CE5"/>
    <w:rsid w:val="00F708E1"/>
    <w:rsid w:val="00F70E4F"/>
    <w:rsid w:val="00F76CD7"/>
    <w:rsid w:val="00F77473"/>
    <w:rsid w:val="00F800D5"/>
    <w:rsid w:val="00F83C9F"/>
    <w:rsid w:val="00F87861"/>
    <w:rsid w:val="00F91123"/>
    <w:rsid w:val="00F91E8D"/>
    <w:rsid w:val="00F93826"/>
    <w:rsid w:val="00F94816"/>
    <w:rsid w:val="00F974D5"/>
    <w:rsid w:val="00F97DAE"/>
    <w:rsid w:val="00FA166F"/>
    <w:rsid w:val="00FA2047"/>
    <w:rsid w:val="00FA6490"/>
    <w:rsid w:val="00FB164A"/>
    <w:rsid w:val="00FB1EDD"/>
    <w:rsid w:val="00FB3554"/>
    <w:rsid w:val="00FB54E9"/>
    <w:rsid w:val="00FB718A"/>
    <w:rsid w:val="00FB79BF"/>
    <w:rsid w:val="00FC26DE"/>
    <w:rsid w:val="00FC3FF0"/>
    <w:rsid w:val="00FD005A"/>
    <w:rsid w:val="00FD138F"/>
    <w:rsid w:val="00FD22CD"/>
    <w:rsid w:val="00FD366D"/>
    <w:rsid w:val="00FD4C8A"/>
    <w:rsid w:val="00FD61D3"/>
    <w:rsid w:val="00FD7572"/>
    <w:rsid w:val="00FD7747"/>
    <w:rsid w:val="00FE2332"/>
    <w:rsid w:val="00FE2E58"/>
    <w:rsid w:val="00FE42AC"/>
    <w:rsid w:val="00FE4912"/>
    <w:rsid w:val="00FE4D0A"/>
    <w:rsid w:val="00FE7C37"/>
    <w:rsid w:val="00FF5698"/>
    <w:rsid w:val="00FF6B16"/>
    <w:rsid w:val="012865F6"/>
    <w:rsid w:val="01334AEA"/>
    <w:rsid w:val="01353601"/>
    <w:rsid w:val="01366761"/>
    <w:rsid w:val="0139646B"/>
    <w:rsid w:val="013A42C6"/>
    <w:rsid w:val="01586820"/>
    <w:rsid w:val="01614037"/>
    <w:rsid w:val="016B5827"/>
    <w:rsid w:val="01953446"/>
    <w:rsid w:val="01AD71B5"/>
    <w:rsid w:val="01C815C2"/>
    <w:rsid w:val="01D93776"/>
    <w:rsid w:val="01EC6D31"/>
    <w:rsid w:val="01F577B9"/>
    <w:rsid w:val="02094A42"/>
    <w:rsid w:val="02176BD3"/>
    <w:rsid w:val="022167D2"/>
    <w:rsid w:val="02236008"/>
    <w:rsid w:val="022E0E86"/>
    <w:rsid w:val="023545E6"/>
    <w:rsid w:val="023B2320"/>
    <w:rsid w:val="02483CA8"/>
    <w:rsid w:val="025741D3"/>
    <w:rsid w:val="0259405D"/>
    <w:rsid w:val="025A55EE"/>
    <w:rsid w:val="025B3962"/>
    <w:rsid w:val="02674E0B"/>
    <w:rsid w:val="027D7E05"/>
    <w:rsid w:val="028D7E5D"/>
    <w:rsid w:val="0293261F"/>
    <w:rsid w:val="02A87A41"/>
    <w:rsid w:val="02AC0079"/>
    <w:rsid w:val="02BF2027"/>
    <w:rsid w:val="02C35F1A"/>
    <w:rsid w:val="02CD7F2A"/>
    <w:rsid w:val="02E1043D"/>
    <w:rsid w:val="02EB2C65"/>
    <w:rsid w:val="02EC4EBD"/>
    <w:rsid w:val="02FE6E3A"/>
    <w:rsid w:val="031E4A8F"/>
    <w:rsid w:val="032376BD"/>
    <w:rsid w:val="0336482E"/>
    <w:rsid w:val="03395DA9"/>
    <w:rsid w:val="03576141"/>
    <w:rsid w:val="03576E79"/>
    <w:rsid w:val="0368562A"/>
    <w:rsid w:val="036A3A59"/>
    <w:rsid w:val="036B397B"/>
    <w:rsid w:val="038B5487"/>
    <w:rsid w:val="039454F7"/>
    <w:rsid w:val="03954B71"/>
    <w:rsid w:val="03A32B9E"/>
    <w:rsid w:val="03E02912"/>
    <w:rsid w:val="03F74F5B"/>
    <w:rsid w:val="03F94C81"/>
    <w:rsid w:val="03FB760D"/>
    <w:rsid w:val="040C03BD"/>
    <w:rsid w:val="041550AB"/>
    <w:rsid w:val="042A0F92"/>
    <w:rsid w:val="042D7FDB"/>
    <w:rsid w:val="043D0A97"/>
    <w:rsid w:val="044B6D70"/>
    <w:rsid w:val="04545041"/>
    <w:rsid w:val="045A3333"/>
    <w:rsid w:val="045D4337"/>
    <w:rsid w:val="04654320"/>
    <w:rsid w:val="04683E89"/>
    <w:rsid w:val="047B4DBC"/>
    <w:rsid w:val="04856FDE"/>
    <w:rsid w:val="049E4FF2"/>
    <w:rsid w:val="04A17507"/>
    <w:rsid w:val="04AC619C"/>
    <w:rsid w:val="04B510B6"/>
    <w:rsid w:val="04B775CE"/>
    <w:rsid w:val="04C83E06"/>
    <w:rsid w:val="04DD75FA"/>
    <w:rsid w:val="04E9799A"/>
    <w:rsid w:val="04F543C1"/>
    <w:rsid w:val="05382FEF"/>
    <w:rsid w:val="0543483B"/>
    <w:rsid w:val="054826E6"/>
    <w:rsid w:val="05486BF5"/>
    <w:rsid w:val="05527BDA"/>
    <w:rsid w:val="05574FD0"/>
    <w:rsid w:val="055C366D"/>
    <w:rsid w:val="056070D9"/>
    <w:rsid w:val="057C5446"/>
    <w:rsid w:val="058548CC"/>
    <w:rsid w:val="0592632F"/>
    <w:rsid w:val="059D0C5B"/>
    <w:rsid w:val="05AA6458"/>
    <w:rsid w:val="05AD79F9"/>
    <w:rsid w:val="05AE0EA7"/>
    <w:rsid w:val="05CB7009"/>
    <w:rsid w:val="05D8436B"/>
    <w:rsid w:val="05E53B6E"/>
    <w:rsid w:val="05F40042"/>
    <w:rsid w:val="05F74F4C"/>
    <w:rsid w:val="06104D92"/>
    <w:rsid w:val="06421F4B"/>
    <w:rsid w:val="0643268C"/>
    <w:rsid w:val="06510741"/>
    <w:rsid w:val="065C721B"/>
    <w:rsid w:val="066332AC"/>
    <w:rsid w:val="06870DAC"/>
    <w:rsid w:val="06922C24"/>
    <w:rsid w:val="06AB5C2D"/>
    <w:rsid w:val="06B70CF8"/>
    <w:rsid w:val="06BE741B"/>
    <w:rsid w:val="06BF4FE7"/>
    <w:rsid w:val="06CB3731"/>
    <w:rsid w:val="06CD277C"/>
    <w:rsid w:val="06FB3FAC"/>
    <w:rsid w:val="07023E05"/>
    <w:rsid w:val="072421F9"/>
    <w:rsid w:val="072735AD"/>
    <w:rsid w:val="0731498B"/>
    <w:rsid w:val="073E72DB"/>
    <w:rsid w:val="07407187"/>
    <w:rsid w:val="07533009"/>
    <w:rsid w:val="075549A0"/>
    <w:rsid w:val="07740842"/>
    <w:rsid w:val="07773497"/>
    <w:rsid w:val="077C5429"/>
    <w:rsid w:val="07890D0A"/>
    <w:rsid w:val="079567B9"/>
    <w:rsid w:val="07984BBF"/>
    <w:rsid w:val="07AE4A7D"/>
    <w:rsid w:val="07DD4E6B"/>
    <w:rsid w:val="08016807"/>
    <w:rsid w:val="080240DB"/>
    <w:rsid w:val="08025890"/>
    <w:rsid w:val="0807682C"/>
    <w:rsid w:val="08351D21"/>
    <w:rsid w:val="084B29F8"/>
    <w:rsid w:val="085A0272"/>
    <w:rsid w:val="085E1882"/>
    <w:rsid w:val="08843124"/>
    <w:rsid w:val="08866A3B"/>
    <w:rsid w:val="088922B0"/>
    <w:rsid w:val="08A26006"/>
    <w:rsid w:val="08A903BD"/>
    <w:rsid w:val="08AD72E0"/>
    <w:rsid w:val="08BC3F7D"/>
    <w:rsid w:val="08BD74A5"/>
    <w:rsid w:val="08C1740A"/>
    <w:rsid w:val="08D0436B"/>
    <w:rsid w:val="090313D1"/>
    <w:rsid w:val="091B1A08"/>
    <w:rsid w:val="091F10BB"/>
    <w:rsid w:val="09281147"/>
    <w:rsid w:val="092C60BB"/>
    <w:rsid w:val="092F2E32"/>
    <w:rsid w:val="093F027C"/>
    <w:rsid w:val="09410D16"/>
    <w:rsid w:val="09593BE6"/>
    <w:rsid w:val="095A6794"/>
    <w:rsid w:val="095D5BC8"/>
    <w:rsid w:val="096C6451"/>
    <w:rsid w:val="096F58A8"/>
    <w:rsid w:val="097B6FF1"/>
    <w:rsid w:val="09987D9A"/>
    <w:rsid w:val="09996C4F"/>
    <w:rsid w:val="09A068DB"/>
    <w:rsid w:val="09A85A1F"/>
    <w:rsid w:val="09CE0444"/>
    <w:rsid w:val="09D346B2"/>
    <w:rsid w:val="09DF4FD2"/>
    <w:rsid w:val="09F35F63"/>
    <w:rsid w:val="0A1366BF"/>
    <w:rsid w:val="0A1428E0"/>
    <w:rsid w:val="0A1519B0"/>
    <w:rsid w:val="0A152E7E"/>
    <w:rsid w:val="0A2D1211"/>
    <w:rsid w:val="0A302E3B"/>
    <w:rsid w:val="0A461ACB"/>
    <w:rsid w:val="0A4A207C"/>
    <w:rsid w:val="0A66188B"/>
    <w:rsid w:val="0A724BFD"/>
    <w:rsid w:val="0A7C32A0"/>
    <w:rsid w:val="0A841691"/>
    <w:rsid w:val="0A863285"/>
    <w:rsid w:val="0A890607"/>
    <w:rsid w:val="0AA70C4A"/>
    <w:rsid w:val="0AA8524A"/>
    <w:rsid w:val="0AB61A9C"/>
    <w:rsid w:val="0AFC736D"/>
    <w:rsid w:val="0B036737"/>
    <w:rsid w:val="0B083774"/>
    <w:rsid w:val="0B1655A3"/>
    <w:rsid w:val="0B18134C"/>
    <w:rsid w:val="0B1F782B"/>
    <w:rsid w:val="0B255A7F"/>
    <w:rsid w:val="0B277035"/>
    <w:rsid w:val="0B4F7BEA"/>
    <w:rsid w:val="0B6A1FAD"/>
    <w:rsid w:val="0B71544D"/>
    <w:rsid w:val="0B724EE3"/>
    <w:rsid w:val="0B727572"/>
    <w:rsid w:val="0B83453C"/>
    <w:rsid w:val="0B9904E2"/>
    <w:rsid w:val="0B9C51ED"/>
    <w:rsid w:val="0BA13902"/>
    <w:rsid w:val="0BA90B00"/>
    <w:rsid w:val="0BB56ECA"/>
    <w:rsid w:val="0BC604FD"/>
    <w:rsid w:val="0BD47E03"/>
    <w:rsid w:val="0BD71EE3"/>
    <w:rsid w:val="0BEE0FE3"/>
    <w:rsid w:val="0BFF5725"/>
    <w:rsid w:val="0C047856"/>
    <w:rsid w:val="0C083ECC"/>
    <w:rsid w:val="0C172775"/>
    <w:rsid w:val="0C323679"/>
    <w:rsid w:val="0C343982"/>
    <w:rsid w:val="0C647074"/>
    <w:rsid w:val="0C695DCD"/>
    <w:rsid w:val="0C890544"/>
    <w:rsid w:val="0CA66CC1"/>
    <w:rsid w:val="0CA858AC"/>
    <w:rsid w:val="0CAC78A5"/>
    <w:rsid w:val="0CB30323"/>
    <w:rsid w:val="0CC017E9"/>
    <w:rsid w:val="0CE73CE2"/>
    <w:rsid w:val="0CFF137A"/>
    <w:rsid w:val="0D063221"/>
    <w:rsid w:val="0D0E3B3C"/>
    <w:rsid w:val="0D1E1A87"/>
    <w:rsid w:val="0D2E6DBA"/>
    <w:rsid w:val="0D377313"/>
    <w:rsid w:val="0D4956AC"/>
    <w:rsid w:val="0D5C40F9"/>
    <w:rsid w:val="0D671781"/>
    <w:rsid w:val="0D6A3A1C"/>
    <w:rsid w:val="0D6F211C"/>
    <w:rsid w:val="0D791FF1"/>
    <w:rsid w:val="0D7F2DE6"/>
    <w:rsid w:val="0D816C41"/>
    <w:rsid w:val="0D8E74B5"/>
    <w:rsid w:val="0D9747C3"/>
    <w:rsid w:val="0DA059E8"/>
    <w:rsid w:val="0DA31144"/>
    <w:rsid w:val="0DA75987"/>
    <w:rsid w:val="0DB57890"/>
    <w:rsid w:val="0DC05632"/>
    <w:rsid w:val="0DC171BD"/>
    <w:rsid w:val="0DDF2CA9"/>
    <w:rsid w:val="0DDF6DC0"/>
    <w:rsid w:val="0DE622E8"/>
    <w:rsid w:val="0DFA218B"/>
    <w:rsid w:val="0DFC4CE7"/>
    <w:rsid w:val="0E037EF0"/>
    <w:rsid w:val="0E0646C5"/>
    <w:rsid w:val="0E106155"/>
    <w:rsid w:val="0E1378E5"/>
    <w:rsid w:val="0E266E25"/>
    <w:rsid w:val="0E2813BC"/>
    <w:rsid w:val="0E330069"/>
    <w:rsid w:val="0E35000C"/>
    <w:rsid w:val="0E547FCB"/>
    <w:rsid w:val="0E594580"/>
    <w:rsid w:val="0E5A009E"/>
    <w:rsid w:val="0E5A539A"/>
    <w:rsid w:val="0E6A7FD0"/>
    <w:rsid w:val="0E70433F"/>
    <w:rsid w:val="0E7C335A"/>
    <w:rsid w:val="0E8858EA"/>
    <w:rsid w:val="0E89241D"/>
    <w:rsid w:val="0E9A42BB"/>
    <w:rsid w:val="0EA904FB"/>
    <w:rsid w:val="0EAB4CB7"/>
    <w:rsid w:val="0ECB511F"/>
    <w:rsid w:val="0EED106D"/>
    <w:rsid w:val="0F0C2FDE"/>
    <w:rsid w:val="0F1126A3"/>
    <w:rsid w:val="0F130CA2"/>
    <w:rsid w:val="0F1D780D"/>
    <w:rsid w:val="0F2E276F"/>
    <w:rsid w:val="0F3B63A1"/>
    <w:rsid w:val="0F595056"/>
    <w:rsid w:val="0F6C01DF"/>
    <w:rsid w:val="0F717475"/>
    <w:rsid w:val="0FA16C1B"/>
    <w:rsid w:val="0FA91437"/>
    <w:rsid w:val="0FAD679A"/>
    <w:rsid w:val="0FC9079A"/>
    <w:rsid w:val="0FCE492A"/>
    <w:rsid w:val="0FEF5CB8"/>
    <w:rsid w:val="0FF22D75"/>
    <w:rsid w:val="100148E0"/>
    <w:rsid w:val="10063A9E"/>
    <w:rsid w:val="101007C5"/>
    <w:rsid w:val="101B49EE"/>
    <w:rsid w:val="10455784"/>
    <w:rsid w:val="104760F9"/>
    <w:rsid w:val="104B3260"/>
    <w:rsid w:val="10574567"/>
    <w:rsid w:val="106C52C8"/>
    <w:rsid w:val="106F5023"/>
    <w:rsid w:val="107C6290"/>
    <w:rsid w:val="10B54DD1"/>
    <w:rsid w:val="10C922FB"/>
    <w:rsid w:val="10E13F79"/>
    <w:rsid w:val="10FC00C4"/>
    <w:rsid w:val="11123A01"/>
    <w:rsid w:val="1116234C"/>
    <w:rsid w:val="11163CBA"/>
    <w:rsid w:val="112D6FE6"/>
    <w:rsid w:val="1131360B"/>
    <w:rsid w:val="113A2D61"/>
    <w:rsid w:val="11491BDE"/>
    <w:rsid w:val="114B66D1"/>
    <w:rsid w:val="114C30E7"/>
    <w:rsid w:val="1152164B"/>
    <w:rsid w:val="115B59BF"/>
    <w:rsid w:val="116C0DA5"/>
    <w:rsid w:val="11A06C53"/>
    <w:rsid w:val="11A93C51"/>
    <w:rsid w:val="11CB369C"/>
    <w:rsid w:val="11CD5F3B"/>
    <w:rsid w:val="11D60FB3"/>
    <w:rsid w:val="11D846FA"/>
    <w:rsid w:val="11F41F32"/>
    <w:rsid w:val="12091ED4"/>
    <w:rsid w:val="121E275B"/>
    <w:rsid w:val="121E5941"/>
    <w:rsid w:val="123329CA"/>
    <w:rsid w:val="12335050"/>
    <w:rsid w:val="124B4831"/>
    <w:rsid w:val="124C21D7"/>
    <w:rsid w:val="126B642D"/>
    <w:rsid w:val="126C5C67"/>
    <w:rsid w:val="127C6F0A"/>
    <w:rsid w:val="12807BCB"/>
    <w:rsid w:val="12904C2A"/>
    <w:rsid w:val="1294653E"/>
    <w:rsid w:val="12D648E2"/>
    <w:rsid w:val="12DD29B7"/>
    <w:rsid w:val="12E74761"/>
    <w:rsid w:val="12F24647"/>
    <w:rsid w:val="12F91650"/>
    <w:rsid w:val="130C0C4A"/>
    <w:rsid w:val="130E10EA"/>
    <w:rsid w:val="13162309"/>
    <w:rsid w:val="1326106F"/>
    <w:rsid w:val="132D662A"/>
    <w:rsid w:val="13345CE6"/>
    <w:rsid w:val="133C140F"/>
    <w:rsid w:val="13417428"/>
    <w:rsid w:val="134B6AE4"/>
    <w:rsid w:val="135D0BF3"/>
    <w:rsid w:val="136F5708"/>
    <w:rsid w:val="138C04F1"/>
    <w:rsid w:val="138C1E03"/>
    <w:rsid w:val="13947FC7"/>
    <w:rsid w:val="139F4C26"/>
    <w:rsid w:val="13BD3962"/>
    <w:rsid w:val="13C34CA9"/>
    <w:rsid w:val="13D429E2"/>
    <w:rsid w:val="13EB11F7"/>
    <w:rsid w:val="13EF32B1"/>
    <w:rsid w:val="13F73898"/>
    <w:rsid w:val="140677C1"/>
    <w:rsid w:val="14137E8C"/>
    <w:rsid w:val="141B3E3E"/>
    <w:rsid w:val="142F45F6"/>
    <w:rsid w:val="14326994"/>
    <w:rsid w:val="14494DA0"/>
    <w:rsid w:val="14532C5D"/>
    <w:rsid w:val="14573098"/>
    <w:rsid w:val="14584197"/>
    <w:rsid w:val="1462559C"/>
    <w:rsid w:val="1466116F"/>
    <w:rsid w:val="146F074D"/>
    <w:rsid w:val="14784453"/>
    <w:rsid w:val="147B1568"/>
    <w:rsid w:val="147C5C40"/>
    <w:rsid w:val="148C6287"/>
    <w:rsid w:val="14962E1C"/>
    <w:rsid w:val="14AA1ABA"/>
    <w:rsid w:val="14B91A4D"/>
    <w:rsid w:val="14C667C2"/>
    <w:rsid w:val="14CD0851"/>
    <w:rsid w:val="14CD3865"/>
    <w:rsid w:val="14CE79A3"/>
    <w:rsid w:val="14E00236"/>
    <w:rsid w:val="15030BEA"/>
    <w:rsid w:val="15034109"/>
    <w:rsid w:val="151379CF"/>
    <w:rsid w:val="151765DE"/>
    <w:rsid w:val="152016D6"/>
    <w:rsid w:val="152045C7"/>
    <w:rsid w:val="1526060F"/>
    <w:rsid w:val="154467AE"/>
    <w:rsid w:val="158D2680"/>
    <w:rsid w:val="15951836"/>
    <w:rsid w:val="159E1414"/>
    <w:rsid w:val="159F491B"/>
    <w:rsid w:val="15AC6DF7"/>
    <w:rsid w:val="15B0154E"/>
    <w:rsid w:val="15BA7261"/>
    <w:rsid w:val="15C13076"/>
    <w:rsid w:val="15C147C6"/>
    <w:rsid w:val="15D36EB1"/>
    <w:rsid w:val="15E11224"/>
    <w:rsid w:val="15F91225"/>
    <w:rsid w:val="15F96D2E"/>
    <w:rsid w:val="15FC0E4B"/>
    <w:rsid w:val="16001B5A"/>
    <w:rsid w:val="16004BF4"/>
    <w:rsid w:val="16142C2C"/>
    <w:rsid w:val="162A219C"/>
    <w:rsid w:val="163B3001"/>
    <w:rsid w:val="164160AE"/>
    <w:rsid w:val="16435C12"/>
    <w:rsid w:val="1645490F"/>
    <w:rsid w:val="165F2F19"/>
    <w:rsid w:val="1665701B"/>
    <w:rsid w:val="16794E7B"/>
    <w:rsid w:val="16817317"/>
    <w:rsid w:val="169D76D1"/>
    <w:rsid w:val="16C22502"/>
    <w:rsid w:val="16E82364"/>
    <w:rsid w:val="16F11D52"/>
    <w:rsid w:val="16F54AFF"/>
    <w:rsid w:val="17173AA4"/>
    <w:rsid w:val="1728225C"/>
    <w:rsid w:val="17377E89"/>
    <w:rsid w:val="174626B0"/>
    <w:rsid w:val="17493299"/>
    <w:rsid w:val="17597E67"/>
    <w:rsid w:val="17650887"/>
    <w:rsid w:val="17706F19"/>
    <w:rsid w:val="17771166"/>
    <w:rsid w:val="17856D8D"/>
    <w:rsid w:val="17AF112D"/>
    <w:rsid w:val="17B515F1"/>
    <w:rsid w:val="17C12A54"/>
    <w:rsid w:val="17CB2969"/>
    <w:rsid w:val="17CE67EB"/>
    <w:rsid w:val="17D17B3F"/>
    <w:rsid w:val="17E920D7"/>
    <w:rsid w:val="17F714D7"/>
    <w:rsid w:val="18061B56"/>
    <w:rsid w:val="180F2A86"/>
    <w:rsid w:val="18224EC6"/>
    <w:rsid w:val="18384184"/>
    <w:rsid w:val="1840362C"/>
    <w:rsid w:val="184F0751"/>
    <w:rsid w:val="185464EA"/>
    <w:rsid w:val="185D6678"/>
    <w:rsid w:val="18613E8C"/>
    <w:rsid w:val="1867600E"/>
    <w:rsid w:val="186A1A3A"/>
    <w:rsid w:val="186B591E"/>
    <w:rsid w:val="188A4289"/>
    <w:rsid w:val="18A14D73"/>
    <w:rsid w:val="18AD4CE8"/>
    <w:rsid w:val="18B466FE"/>
    <w:rsid w:val="18C74DB8"/>
    <w:rsid w:val="18D10787"/>
    <w:rsid w:val="18E221CE"/>
    <w:rsid w:val="18F84E79"/>
    <w:rsid w:val="190A77DB"/>
    <w:rsid w:val="190E6FE5"/>
    <w:rsid w:val="1911312B"/>
    <w:rsid w:val="191D4EF9"/>
    <w:rsid w:val="19330B5D"/>
    <w:rsid w:val="193D0AFF"/>
    <w:rsid w:val="193E0D82"/>
    <w:rsid w:val="195F5834"/>
    <w:rsid w:val="1978453B"/>
    <w:rsid w:val="197A2FEA"/>
    <w:rsid w:val="199961DA"/>
    <w:rsid w:val="19AA4281"/>
    <w:rsid w:val="19C52BBD"/>
    <w:rsid w:val="19C714AA"/>
    <w:rsid w:val="19C865E2"/>
    <w:rsid w:val="19E45DAB"/>
    <w:rsid w:val="1A046DA2"/>
    <w:rsid w:val="1A0C340A"/>
    <w:rsid w:val="1A11680F"/>
    <w:rsid w:val="1A1A1834"/>
    <w:rsid w:val="1A1C545B"/>
    <w:rsid w:val="1A2D3805"/>
    <w:rsid w:val="1A311A98"/>
    <w:rsid w:val="1A3A659C"/>
    <w:rsid w:val="1A4651C2"/>
    <w:rsid w:val="1A552047"/>
    <w:rsid w:val="1A6E6D3E"/>
    <w:rsid w:val="1A7B7A96"/>
    <w:rsid w:val="1A8041FE"/>
    <w:rsid w:val="1AAB3465"/>
    <w:rsid w:val="1AB024CB"/>
    <w:rsid w:val="1AB0474F"/>
    <w:rsid w:val="1AB766D3"/>
    <w:rsid w:val="1AC90E4F"/>
    <w:rsid w:val="1AE454B6"/>
    <w:rsid w:val="1AF23753"/>
    <w:rsid w:val="1AF65E5B"/>
    <w:rsid w:val="1AFD26C4"/>
    <w:rsid w:val="1B0F3D95"/>
    <w:rsid w:val="1B130874"/>
    <w:rsid w:val="1B1E4633"/>
    <w:rsid w:val="1B1E5671"/>
    <w:rsid w:val="1B3E20F2"/>
    <w:rsid w:val="1B407D7B"/>
    <w:rsid w:val="1B487BD1"/>
    <w:rsid w:val="1B535595"/>
    <w:rsid w:val="1B5D4216"/>
    <w:rsid w:val="1B6A0D2E"/>
    <w:rsid w:val="1B6A6A0C"/>
    <w:rsid w:val="1B700828"/>
    <w:rsid w:val="1B70460E"/>
    <w:rsid w:val="1B7A32F1"/>
    <w:rsid w:val="1B8F2AC9"/>
    <w:rsid w:val="1B9202B4"/>
    <w:rsid w:val="1B925769"/>
    <w:rsid w:val="1BAA0B19"/>
    <w:rsid w:val="1BBA7630"/>
    <w:rsid w:val="1BBC5DF0"/>
    <w:rsid w:val="1BDC49BF"/>
    <w:rsid w:val="1BEC3992"/>
    <w:rsid w:val="1BF251FB"/>
    <w:rsid w:val="1BFA1C6C"/>
    <w:rsid w:val="1C03524A"/>
    <w:rsid w:val="1C1E7791"/>
    <w:rsid w:val="1C2B67E9"/>
    <w:rsid w:val="1C2C1439"/>
    <w:rsid w:val="1C4C0DD0"/>
    <w:rsid w:val="1C510956"/>
    <w:rsid w:val="1C530D68"/>
    <w:rsid w:val="1C6170B4"/>
    <w:rsid w:val="1C622547"/>
    <w:rsid w:val="1C6F7740"/>
    <w:rsid w:val="1C891F29"/>
    <w:rsid w:val="1C953F06"/>
    <w:rsid w:val="1C9B2749"/>
    <w:rsid w:val="1CB3000F"/>
    <w:rsid w:val="1CBA0992"/>
    <w:rsid w:val="1CBB30DA"/>
    <w:rsid w:val="1CC75091"/>
    <w:rsid w:val="1CD860BB"/>
    <w:rsid w:val="1CDE5D67"/>
    <w:rsid w:val="1CF06119"/>
    <w:rsid w:val="1CFA7100"/>
    <w:rsid w:val="1D015DC5"/>
    <w:rsid w:val="1D1A225D"/>
    <w:rsid w:val="1D2319D6"/>
    <w:rsid w:val="1D237A71"/>
    <w:rsid w:val="1D2427FA"/>
    <w:rsid w:val="1D343108"/>
    <w:rsid w:val="1D3736FF"/>
    <w:rsid w:val="1D5E1FCF"/>
    <w:rsid w:val="1D683FDB"/>
    <w:rsid w:val="1D6C20FF"/>
    <w:rsid w:val="1D7338A6"/>
    <w:rsid w:val="1DC07CB1"/>
    <w:rsid w:val="1DCF4037"/>
    <w:rsid w:val="1DD7185B"/>
    <w:rsid w:val="1DDD3152"/>
    <w:rsid w:val="1DE031DC"/>
    <w:rsid w:val="1DE91C96"/>
    <w:rsid w:val="1DEC11FC"/>
    <w:rsid w:val="1DF474F7"/>
    <w:rsid w:val="1DF9717F"/>
    <w:rsid w:val="1E014C06"/>
    <w:rsid w:val="1E166D72"/>
    <w:rsid w:val="1E172307"/>
    <w:rsid w:val="1E2A13EE"/>
    <w:rsid w:val="1E400032"/>
    <w:rsid w:val="1E4F567E"/>
    <w:rsid w:val="1E5429AD"/>
    <w:rsid w:val="1E6208DA"/>
    <w:rsid w:val="1E6B7817"/>
    <w:rsid w:val="1EA17D82"/>
    <w:rsid w:val="1EA56EB4"/>
    <w:rsid w:val="1EA57985"/>
    <w:rsid w:val="1EA80D12"/>
    <w:rsid w:val="1EA91AD4"/>
    <w:rsid w:val="1EB26E40"/>
    <w:rsid w:val="1EE4682E"/>
    <w:rsid w:val="1EF15311"/>
    <w:rsid w:val="1F0A2C65"/>
    <w:rsid w:val="1F1A1E89"/>
    <w:rsid w:val="1F1B7192"/>
    <w:rsid w:val="1F1C3E22"/>
    <w:rsid w:val="1F2914FD"/>
    <w:rsid w:val="1F2E5969"/>
    <w:rsid w:val="1F312568"/>
    <w:rsid w:val="1F392C4A"/>
    <w:rsid w:val="1F43662E"/>
    <w:rsid w:val="1F7D19DD"/>
    <w:rsid w:val="1F85078D"/>
    <w:rsid w:val="1F8B680B"/>
    <w:rsid w:val="1F9644DB"/>
    <w:rsid w:val="1F9B15F7"/>
    <w:rsid w:val="1FA92C1C"/>
    <w:rsid w:val="1FB40E7B"/>
    <w:rsid w:val="1FC65118"/>
    <w:rsid w:val="1FD1160B"/>
    <w:rsid w:val="1FDA713B"/>
    <w:rsid w:val="20081DAE"/>
    <w:rsid w:val="200C3229"/>
    <w:rsid w:val="2017654A"/>
    <w:rsid w:val="202D044D"/>
    <w:rsid w:val="203175DD"/>
    <w:rsid w:val="203239BF"/>
    <w:rsid w:val="20470A0A"/>
    <w:rsid w:val="20645B40"/>
    <w:rsid w:val="206A1AAA"/>
    <w:rsid w:val="206B21A0"/>
    <w:rsid w:val="207700AF"/>
    <w:rsid w:val="209D1AF5"/>
    <w:rsid w:val="20A21432"/>
    <w:rsid w:val="20A73498"/>
    <w:rsid w:val="20A7605B"/>
    <w:rsid w:val="20B10650"/>
    <w:rsid w:val="20B8519B"/>
    <w:rsid w:val="20C22B0F"/>
    <w:rsid w:val="20D54872"/>
    <w:rsid w:val="2120667F"/>
    <w:rsid w:val="212577C9"/>
    <w:rsid w:val="2129013A"/>
    <w:rsid w:val="212E4010"/>
    <w:rsid w:val="213132B3"/>
    <w:rsid w:val="21381DD1"/>
    <w:rsid w:val="214977FA"/>
    <w:rsid w:val="21647229"/>
    <w:rsid w:val="217D203E"/>
    <w:rsid w:val="218D0082"/>
    <w:rsid w:val="219E0E63"/>
    <w:rsid w:val="21A26A39"/>
    <w:rsid w:val="21A93D88"/>
    <w:rsid w:val="21B2378E"/>
    <w:rsid w:val="21CD5E7B"/>
    <w:rsid w:val="21DA52C9"/>
    <w:rsid w:val="21E309CC"/>
    <w:rsid w:val="21ED16BA"/>
    <w:rsid w:val="21F062E3"/>
    <w:rsid w:val="220652F8"/>
    <w:rsid w:val="22140ABA"/>
    <w:rsid w:val="22312FB7"/>
    <w:rsid w:val="223566E9"/>
    <w:rsid w:val="22576B66"/>
    <w:rsid w:val="22621347"/>
    <w:rsid w:val="22681EF8"/>
    <w:rsid w:val="22750885"/>
    <w:rsid w:val="22781FE1"/>
    <w:rsid w:val="228C1924"/>
    <w:rsid w:val="228C390B"/>
    <w:rsid w:val="229E5134"/>
    <w:rsid w:val="22B53309"/>
    <w:rsid w:val="22C258C9"/>
    <w:rsid w:val="22C473F8"/>
    <w:rsid w:val="22DD0E5E"/>
    <w:rsid w:val="22E81814"/>
    <w:rsid w:val="22E97D7C"/>
    <w:rsid w:val="22F42586"/>
    <w:rsid w:val="22F90566"/>
    <w:rsid w:val="22F96E4B"/>
    <w:rsid w:val="231321D1"/>
    <w:rsid w:val="231B3006"/>
    <w:rsid w:val="232806A2"/>
    <w:rsid w:val="232B699C"/>
    <w:rsid w:val="23362C8A"/>
    <w:rsid w:val="233D2C59"/>
    <w:rsid w:val="23455C1C"/>
    <w:rsid w:val="234F5AAB"/>
    <w:rsid w:val="23533094"/>
    <w:rsid w:val="236D4DD4"/>
    <w:rsid w:val="23780829"/>
    <w:rsid w:val="239A31CC"/>
    <w:rsid w:val="23A51F6E"/>
    <w:rsid w:val="23B3714F"/>
    <w:rsid w:val="23BB66DD"/>
    <w:rsid w:val="23BF31DF"/>
    <w:rsid w:val="23BF7F74"/>
    <w:rsid w:val="23DB48B8"/>
    <w:rsid w:val="23E75641"/>
    <w:rsid w:val="23FF7E8C"/>
    <w:rsid w:val="24134ABC"/>
    <w:rsid w:val="241B325F"/>
    <w:rsid w:val="244D7E8B"/>
    <w:rsid w:val="247038A3"/>
    <w:rsid w:val="247D3D24"/>
    <w:rsid w:val="248017D2"/>
    <w:rsid w:val="248C0836"/>
    <w:rsid w:val="248D61C8"/>
    <w:rsid w:val="24961F17"/>
    <w:rsid w:val="24A6149A"/>
    <w:rsid w:val="24BE0E0C"/>
    <w:rsid w:val="24C42B0E"/>
    <w:rsid w:val="24C74AE7"/>
    <w:rsid w:val="24E5063A"/>
    <w:rsid w:val="24EE6EEF"/>
    <w:rsid w:val="24F92F44"/>
    <w:rsid w:val="24FA063C"/>
    <w:rsid w:val="250D391A"/>
    <w:rsid w:val="250E36D4"/>
    <w:rsid w:val="251131AC"/>
    <w:rsid w:val="251147F6"/>
    <w:rsid w:val="252C7CDE"/>
    <w:rsid w:val="252E0C75"/>
    <w:rsid w:val="253123D4"/>
    <w:rsid w:val="2531647C"/>
    <w:rsid w:val="25424FFD"/>
    <w:rsid w:val="25452935"/>
    <w:rsid w:val="255A3A3C"/>
    <w:rsid w:val="255C23D7"/>
    <w:rsid w:val="25653EB8"/>
    <w:rsid w:val="25744003"/>
    <w:rsid w:val="25A42C90"/>
    <w:rsid w:val="25A726E9"/>
    <w:rsid w:val="25A85AF5"/>
    <w:rsid w:val="25A934D1"/>
    <w:rsid w:val="25B21C3C"/>
    <w:rsid w:val="25BB5832"/>
    <w:rsid w:val="25BE537E"/>
    <w:rsid w:val="25CC34A8"/>
    <w:rsid w:val="25D52CE8"/>
    <w:rsid w:val="25E64559"/>
    <w:rsid w:val="25EA196B"/>
    <w:rsid w:val="25F762BD"/>
    <w:rsid w:val="260B23EF"/>
    <w:rsid w:val="261E712D"/>
    <w:rsid w:val="26222797"/>
    <w:rsid w:val="262D7561"/>
    <w:rsid w:val="26365347"/>
    <w:rsid w:val="2638215F"/>
    <w:rsid w:val="263E2FE7"/>
    <w:rsid w:val="26411875"/>
    <w:rsid w:val="264B33E4"/>
    <w:rsid w:val="264C0BF1"/>
    <w:rsid w:val="265879E5"/>
    <w:rsid w:val="2673690C"/>
    <w:rsid w:val="26B1588A"/>
    <w:rsid w:val="26BE1C99"/>
    <w:rsid w:val="26BF5437"/>
    <w:rsid w:val="26C2123A"/>
    <w:rsid w:val="26C82103"/>
    <w:rsid w:val="26D85F28"/>
    <w:rsid w:val="26E76F45"/>
    <w:rsid w:val="26F86BDF"/>
    <w:rsid w:val="26FD676D"/>
    <w:rsid w:val="27107CBF"/>
    <w:rsid w:val="27192C51"/>
    <w:rsid w:val="27196C26"/>
    <w:rsid w:val="27545AF9"/>
    <w:rsid w:val="275F15A6"/>
    <w:rsid w:val="276F5660"/>
    <w:rsid w:val="278F2DB3"/>
    <w:rsid w:val="27DC7CB0"/>
    <w:rsid w:val="27DD580C"/>
    <w:rsid w:val="281F172E"/>
    <w:rsid w:val="28253ED3"/>
    <w:rsid w:val="28505A49"/>
    <w:rsid w:val="285F0DD4"/>
    <w:rsid w:val="286B34B1"/>
    <w:rsid w:val="28746CFC"/>
    <w:rsid w:val="287A5596"/>
    <w:rsid w:val="28874CB1"/>
    <w:rsid w:val="28A6059D"/>
    <w:rsid w:val="28B71259"/>
    <w:rsid w:val="28BA77FC"/>
    <w:rsid w:val="28CA68D3"/>
    <w:rsid w:val="28DF3919"/>
    <w:rsid w:val="28E0275D"/>
    <w:rsid w:val="28E250B0"/>
    <w:rsid w:val="28F23F4E"/>
    <w:rsid w:val="29105112"/>
    <w:rsid w:val="29165A8E"/>
    <w:rsid w:val="292447BB"/>
    <w:rsid w:val="292E73B9"/>
    <w:rsid w:val="293A6C6F"/>
    <w:rsid w:val="2946761F"/>
    <w:rsid w:val="294F6A51"/>
    <w:rsid w:val="295900AA"/>
    <w:rsid w:val="296D1228"/>
    <w:rsid w:val="297E316C"/>
    <w:rsid w:val="2986681D"/>
    <w:rsid w:val="299E51AB"/>
    <w:rsid w:val="29A25E9A"/>
    <w:rsid w:val="29AE0772"/>
    <w:rsid w:val="29BC0DD8"/>
    <w:rsid w:val="29D354ED"/>
    <w:rsid w:val="29DA178D"/>
    <w:rsid w:val="29ED7A0D"/>
    <w:rsid w:val="29FD573C"/>
    <w:rsid w:val="2A0F4DF1"/>
    <w:rsid w:val="2A1255D9"/>
    <w:rsid w:val="2A223C0F"/>
    <w:rsid w:val="2A2F0F84"/>
    <w:rsid w:val="2A430EFC"/>
    <w:rsid w:val="2A451F15"/>
    <w:rsid w:val="2A513500"/>
    <w:rsid w:val="2A73233A"/>
    <w:rsid w:val="2A795464"/>
    <w:rsid w:val="2A85494B"/>
    <w:rsid w:val="2ABA0BA9"/>
    <w:rsid w:val="2AD333D3"/>
    <w:rsid w:val="2AE01EA0"/>
    <w:rsid w:val="2B0B0E1A"/>
    <w:rsid w:val="2B0E711C"/>
    <w:rsid w:val="2B167EC5"/>
    <w:rsid w:val="2B185B0D"/>
    <w:rsid w:val="2B1B66E6"/>
    <w:rsid w:val="2B24515F"/>
    <w:rsid w:val="2B264B60"/>
    <w:rsid w:val="2B28757D"/>
    <w:rsid w:val="2B325797"/>
    <w:rsid w:val="2B485786"/>
    <w:rsid w:val="2B584813"/>
    <w:rsid w:val="2B874A72"/>
    <w:rsid w:val="2B90764A"/>
    <w:rsid w:val="2BB82A37"/>
    <w:rsid w:val="2BCC41E9"/>
    <w:rsid w:val="2BDF32EE"/>
    <w:rsid w:val="2BF10248"/>
    <w:rsid w:val="2BF66797"/>
    <w:rsid w:val="2BFA48BC"/>
    <w:rsid w:val="2BFC1E1F"/>
    <w:rsid w:val="2C012BF1"/>
    <w:rsid w:val="2C1F7200"/>
    <w:rsid w:val="2C2448FD"/>
    <w:rsid w:val="2C2A3D1C"/>
    <w:rsid w:val="2C2F57E0"/>
    <w:rsid w:val="2C377469"/>
    <w:rsid w:val="2C4347F7"/>
    <w:rsid w:val="2C44598A"/>
    <w:rsid w:val="2C587B92"/>
    <w:rsid w:val="2C5E430A"/>
    <w:rsid w:val="2C636A2D"/>
    <w:rsid w:val="2C765D7F"/>
    <w:rsid w:val="2C794137"/>
    <w:rsid w:val="2C7A1C49"/>
    <w:rsid w:val="2C866239"/>
    <w:rsid w:val="2C9211FF"/>
    <w:rsid w:val="2C971D65"/>
    <w:rsid w:val="2CAF0D94"/>
    <w:rsid w:val="2CAF6841"/>
    <w:rsid w:val="2CBE60B3"/>
    <w:rsid w:val="2CC422A3"/>
    <w:rsid w:val="2CF86E98"/>
    <w:rsid w:val="2CFA7183"/>
    <w:rsid w:val="2CFE3CD7"/>
    <w:rsid w:val="2D0B7F5E"/>
    <w:rsid w:val="2D230F2D"/>
    <w:rsid w:val="2D234107"/>
    <w:rsid w:val="2D2E2A75"/>
    <w:rsid w:val="2D3C1E3B"/>
    <w:rsid w:val="2D3F3099"/>
    <w:rsid w:val="2D5C7090"/>
    <w:rsid w:val="2D6D0FF9"/>
    <w:rsid w:val="2D6E058D"/>
    <w:rsid w:val="2D6E1455"/>
    <w:rsid w:val="2D7174F8"/>
    <w:rsid w:val="2D7D0DBB"/>
    <w:rsid w:val="2D926C97"/>
    <w:rsid w:val="2D980E6A"/>
    <w:rsid w:val="2DBE47DC"/>
    <w:rsid w:val="2DE170CF"/>
    <w:rsid w:val="2DE60EDD"/>
    <w:rsid w:val="2DEA5255"/>
    <w:rsid w:val="2E066521"/>
    <w:rsid w:val="2E12121F"/>
    <w:rsid w:val="2E163FD0"/>
    <w:rsid w:val="2E1843DE"/>
    <w:rsid w:val="2E1B43EA"/>
    <w:rsid w:val="2E3428A1"/>
    <w:rsid w:val="2E3C2824"/>
    <w:rsid w:val="2E3E56C0"/>
    <w:rsid w:val="2E4658C1"/>
    <w:rsid w:val="2E504770"/>
    <w:rsid w:val="2E50628F"/>
    <w:rsid w:val="2E5A124A"/>
    <w:rsid w:val="2E5D760A"/>
    <w:rsid w:val="2E6D69D9"/>
    <w:rsid w:val="2E8621CD"/>
    <w:rsid w:val="2E991281"/>
    <w:rsid w:val="2E997E89"/>
    <w:rsid w:val="2EA02B25"/>
    <w:rsid w:val="2EA36A1F"/>
    <w:rsid w:val="2EA422D0"/>
    <w:rsid w:val="2EBB4636"/>
    <w:rsid w:val="2EBD789D"/>
    <w:rsid w:val="2EBE2280"/>
    <w:rsid w:val="2EFB73F6"/>
    <w:rsid w:val="2F1733A1"/>
    <w:rsid w:val="2F17473F"/>
    <w:rsid w:val="2F442B77"/>
    <w:rsid w:val="2F4F3535"/>
    <w:rsid w:val="2F5F5466"/>
    <w:rsid w:val="2F753772"/>
    <w:rsid w:val="2F7863FE"/>
    <w:rsid w:val="2F7E591D"/>
    <w:rsid w:val="2F802200"/>
    <w:rsid w:val="2F83148E"/>
    <w:rsid w:val="2FA20646"/>
    <w:rsid w:val="2FBB2155"/>
    <w:rsid w:val="2FD00CD8"/>
    <w:rsid w:val="2FD201CC"/>
    <w:rsid w:val="2FE92E77"/>
    <w:rsid w:val="2FFD3006"/>
    <w:rsid w:val="300710B9"/>
    <w:rsid w:val="301469DB"/>
    <w:rsid w:val="302C3B9A"/>
    <w:rsid w:val="30443666"/>
    <w:rsid w:val="30445BE2"/>
    <w:rsid w:val="304478B7"/>
    <w:rsid w:val="30567232"/>
    <w:rsid w:val="30604C95"/>
    <w:rsid w:val="306C30FE"/>
    <w:rsid w:val="306C68A0"/>
    <w:rsid w:val="308244A3"/>
    <w:rsid w:val="30836AC6"/>
    <w:rsid w:val="30961E79"/>
    <w:rsid w:val="30A35382"/>
    <w:rsid w:val="30D70886"/>
    <w:rsid w:val="30E71295"/>
    <w:rsid w:val="30F8032D"/>
    <w:rsid w:val="30FD6F78"/>
    <w:rsid w:val="31054673"/>
    <w:rsid w:val="31067C15"/>
    <w:rsid w:val="310E621B"/>
    <w:rsid w:val="31120F72"/>
    <w:rsid w:val="31232DF8"/>
    <w:rsid w:val="312416D2"/>
    <w:rsid w:val="31373757"/>
    <w:rsid w:val="31455588"/>
    <w:rsid w:val="31487165"/>
    <w:rsid w:val="31633599"/>
    <w:rsid w:val="317871ED"/>
    <w:rsid w:val="318800B8"/>
    <w:rsid w:val="318B7C3C"/>
    <w:rsid w:val="318D38AC"/>
    <w:rsid w:val="31A279BF"/>
    <w:rsid w:val="31A34525"/>
    <w:rsid w:val="31A67991"/>
    <w:rsid w:val="31B932FD"/>
    <w:rsid w:val="31C66375"/>
    <w:rsid w:val="31CB7ECB"/>
    <w:rsid w:val="31DD66AD"/>
    <w:rsid w:val="31F951CC"/>
    <w:rsid w:val="321118AC"/>
    <w:rsid w:val="321A19AC"/>
    <w:rsid w:val="322E440E"/>
    <w:rsid w:val="32351768"/>
    <w:rsid w:val="323B473C"/>
    <w:rsid w:val="324D7492"/>
    <w:rsid w:val="325011D1"/>
    <w:rsid w:val="32573668"/>
    <w:rsid w:val="327169B3"/>
    <w:rsid w:val="329711D4"/>
    <w:rsid w:val="32997590"/>
    <w:rsid w:val="329D03CE"/>
    <w:rsid w:val="329F67D2"/>
    <w:rsid w:val="32B413B0"/>
    <w:rsid w:val="32BD5199"/>
    <w:rsid w:val="32CF7AFB"/>
    <w:rsid w:val="32D85F2B"/>
    <w:rsid w:val="32DA04F5"/>
    <w:rsid w:val="32DF5292"/>
    <w:rsid w:val="330149DB"/>
    <w:rsid w:val="33123062"/>
    <w:rsid w:val="331B49F3"/>
    <w:rsid w:val="3321145D"/>
    <w:rsid w:val="33272875"/>
    <w:rsid w:val="33325630"/>
    <w:rsid w:val="33423785"/>
    <w:rsid w:val="33525A0A"/>
    <w:rsid w:val="335912D0"/>
    <w:rsid w:val="33653948"/>
    <w:rsid w:val="3386387A"/>
    <w:rsid w:val="33896F89"/>
    <w:rsid w:val="33984B88"/>
    <w:rsid w:val="339B73EA"/>
    <w:rsid w:val="33A00C03"/>
    <w:rsid w:val="33A06C52"/>
    <w:rsid w:val="33C62097"/>
    <w:rsid w:val="33C76DA6"/>
    <w:rsid w:val="33D17B6B"/>
    <w:rsid w:val="33D405E1"/>
    <w:rsid w:val="33D67664"/>
    <w:rsid w:val="33D81A95"/>
    <w:rsid w:val="33F45FEE"/>
    <w:rsid w:val="33F6199A"/>
    <w:rsid w:val="33FF5135"/>
    <w:rsid w:val="342C42DC"/>
    <w:rsid w:val="34384B37"/>
    <w:rsid w:val="343D3244"/>
    <w:rsid w:val="343D7CBD"/>
    <w:rsid w:val="3440451E"/>
    <w:rsid w:val="34827BA1"/>
    <w:rsid w:val="34940D04"/>
    <w:rsid w:val="34A7148E"/>
    <w:rsid w:val="34B7051A"/>
    <w:rsid w:val="34BE693E"/>
    <w:rsid w:val="34C23899"/>
    <w:rsid w:val="34C93547"/>
    <w:rsid w:val="34DF2DE7"/>
    <w:rsid w:val="34E50B27"/>
    <w:rsid w:val="34F833CD"/>
    <w:rsid w:val="34F9054D"/>
    <w:rsid w:val="35065A01"/>
    <w:rsid w:val="35183E71"/>
    <w:rsid w:val="35234A71"/>
    <w:rsid w:val="353730C5"/>
    <w:rsid w:val="35557C7A"/>
    <w:rsid w:val="35742838"/>
    <w:rsid w:val="357B6CAB"/>
    <w:rsid w:val="3588299B"/>
    <w:rsid w:val="358F0843"/>
    <w:rsid w:val="359F5629"/>
    <w:rsid w:val="35C50C14"/>
    <w:rsid w:val="35CA1A52"/>
    <w:rsid w:val="35CA6697"/>
    <w:rsid w:val="35CD6A24"/>
    <w:rsid w:val="35DA7511"/>
    <w:rsid w:val="35E314D0"/>
    <w:rsid w:val="35E66485"/>
    <w:rsid w:val="3606082A"/>
    <w:rsid w:val="3612427D"/>
    <w:rsid w:val="361B2B11"/>
    <w:rsid w:val="361E281C"/>
    <w:rsid w:val="36264F54"/>
    <w:rsid w:val="36303022"/>
    <w:rsid w:val="36316BE9"/>
    <w:rsid w:val="36607940"/>
    <w:rsid w:val="3679122E"/>
    <w:rsid w:val="369F6B64"/>
    <w:rsid w:val="36A57CBE"/>
    <w:rsid w:val="36B66767"/>
    <w:rsid w:val="36B80F79"/>
    <w:rsid w:val="36C17239"/>
    <w:rsid w:val="36CF52A1"/>
    <w:rsid w:val="36D705F1"/>
    <w:rsid w:val="36E22959"/>
    <w:rsid w:val="36E42503"/>
    <w:rsid w:val="36EC3FED"/>
    <w:rsid w:val="36F122F6"/>
    <w:rsid w:val="370C60AE"/>
    <w:rsid w:val="37127CD6"/>
    <w:rsid w:val="371B097C"/>
    <w:rsid w:val="37381588"/>
    <w:rsid w:val="374B61EE"/>
    <w:rsid w:val="3757126C"/>
    <w:rsid w:val="376C6EF7"/>
    <w:rsid w:val="37846C52"/>
    <w:rsid w:val="378F174A"/>
    <w:rsid w:val="37AA2055"/>
    <w:rsid w:val="37C67B3A"/>
    <w:rsid w:val="37C80B52"/>
    <w:rsid w:val="37CC1A51"/>
    <w:rsid w:val="37DA37B0"/>
    <w:rsid w:val="37DD4560"/>
    <w:rsid w:val="37E856F7"/>
    <w:rsid w:val="37F20161"/>
    <w:rsid w:val="37FF790F"/>
    <w:rsid w:val="38005669"/>
    <w:rsid w:val="3801773F"/>
    <w:rsid w:val="380C4B30"/>
    <w:rsid w:val="382617B5"/>
    <w:rsid w:val="382D4B7C"/>
    <w:rsid w:val="38330778"/>
    <w:rsid w:val="38352242"/>
    <w:rsid w:val="38515BD6"/>
    <w:rsid w:val="388532B9"/>
    <w:rsid w:val="389C6B7F"/>
    <w:rsid w:val="38AB399D"/>
    <w:rsid w:val="38AC3553"/>
    <w:rsid w:val="38AF7D4D"/>
    <w:rsid w:val="38B7769F"/>
    <w:rsid w:val="38CD7203"/>
    <w:rsid w:val="38CE672F"/>
    <w:rsid w:val="38DE5926"/>
    <w:rsid w:val="38E24762"/>
    <w:rsid w:val="38F3390A"/>
    <w:rsid w:val="38FA5A2E"/>
    <w:rsid w:val="38FB076B"/>
    <w:rsid w:val="39020711"/>
    <w:rsid w:val="39094032"/>
    <w:rsid w:val="394D6230"/>
    <w:rsid w:val="394F4317"/>
    <w:rsid w:val="394F7D39"/>
    <w:rsid w:val="396C2796"/>
    <w:rsid w:val="3980152A"/>
    <w:rsid w:val="399223FA"/>
    <w:rsid w:val="39955780"/>
    <w:rsid w:val="39984343"/>
    <w:rsid w:val="39AE0D4E"/>
    <w:rsid w:val="39D9306F"/>
    <w:rsid w:val="39D93A75"/>
    <w:rsid w:val="3A03584E"/>
    <w:rsid w:val="3A197AC1"/>
    <w:rsid w:val="3A4D56C0"/>
    <w:rsid w:val="3A592602"/>
    <w:rsid w:val="3A65734A"/>
    <w:rsid w:val="3A667B5A"/>
    <w:rsid w:val="3A825A80"/>
    <w:rsid w:val="3A8274D0"/>
    <w:rsid w:val="3A8867F1"/>
    <w:rsid w:val="3A9123C0"/>
    <w:rsid w:val="3A966318"/>
    <w:rsid w:val="3AA77AD9"/>
    <w:rsid w:val="3AAD45FC"/>
    <w:rsid w:val="3AB23C7E"/>
    <w:rsid w:val="3AB60ECB"/>
    <w:rsid w:val="3AB853FB"/>
    <w:rsid w:val="3AC76667"/>
    <w:rsid w:val="3ADF50E9"/>
    <w:rsid w:val="3AE3199B"/>
    <w:rsid w:val="3AFF438C"/>
    <w:rsid w:val="3B184D6B"/>
    <w:rsid w:val="3B1F53C7"/>
    <w:rsid w:val="3B254B37"/>
    <w:rsid w:val="3B2D44E1"/>
    <w:rsid w:val="3B3576D3"/>
    <w:rsid w:val="3B543871"/>
    <w:rsid w:val="3B594B04"/>
    <w:rsid w:val="3B751CEA"/>
    <w:rsid w:val="3B7F5143"/>
    <w:rsid w:val="3BAD4609"/>
    <w:rsid w:val="3BB67BD3"/>
    <w:rsid w:val="3BC07525"/>
    <w:rsid w:val="3BCD1350"/>
    <w:rsid w:val="3BD30166"/>
    <w:rsid w:val="3BEB277F"/>
    <w:rsid w:val="3BFA6E54"/>
    <w:rsid w:val="3C264D71"/>
    <w:rsid w:val="3C2D6A5B"/>
    <w:rsid w:val="3C3C4BDF"/>
    <w:rsid w:val="3C567AB8"/>
    <w:rsid w:val="3C5F10D6"/>
    <w:rsid w:val="3C6A413D"/>
    <w:rsid w:val="3C6D3275"/>
    <w:rsid w:val="3C781BB3"/>
    <w:rsid w:val="3C791086"/>
    <w:rsid w:val="3C855AD3"/>
    <w:rsid w:val="3CA86192"/>
    <w:rsid w:val="3CB23C34"/>
    <w:rsid w:val="3CB4347A"/>
    <w:rsid w:val="3CBA2CF3"/>
    <w:rsid w:val="3CCF420F"/>
    <w:rsid w:val="3CD238C1"/>
    <w:rsid w:val="3CF81306"/>
    <w:rsid w:val="3D010241"/>
    <w:rsid w:val="3D096174"/>
    <w:rsid w:val="3D1C0412"/>
    <w:rsid w:val="3D1E3E3D"/>
    <w:rsid w:val="3D3C6B94"/>
    <w:rsid w:val="3D462A0C"/>
    <w:rsid w:val="3D5E43CB"/>
    <w:rsid w:val="3D5F6BC7"/>
    <w:rsid w:val="3D6019E2"/>
    <w:rsid w:val="3D694746"/>
    <w:rsid w:val="3D74565B"/>
    <w:rsid w:val="3D8A359B"/>
    <w:rsid w:val="3D9C426A"/>
    <w:rsid w:val="3DC60BCF"/>
    <w:rsid w:val="3DC64DA2"/>
    <w:rsid w:val="3DCD01FD"/>
    <w:rsid w:val="3DCE207B"/>
    <w:rsid w:val="3DFB79C8"/>
    <w:rsid w:val="3E09094A"/>
    <w:rsid w:val="3E1F20D1"/>
    <w:rsid w:val="3E2A514D"/>
    <w:rsid w:val="3E2F3C9F"/>
    <w:rsid w:val="3E390D8A"/>
    <w:rsid w:val="3E3D6876"/>
    <w:rsid w:val="3E3F15FA"/>
    <w:rsid w:val="3E462F2B"/>
    <w:rsid w:val="3E4B28C5"/>
    <w:rsid w:val="3E5B0170"/>
    <w:rsid w:val="3E5B2B8D"/>
    <w:rsid w:val="3E725CD8"/>
    <w:rsid w:val="3E8C1578"/>
    <w:rsid w:val="3E8E6E11"/>
    <w:rsid w:val="3E996D0A"/>
    <w:rsid w:val="3E9D2EF8"/>
    <w:rsid w:val="3E9E4576"/>
    <w:rsid w:val="3EA83A40"/>
    <w:rsid w:val="3EB274D1"/>
    <w:rsid w:val="3EBE0E18"/>
    <w:rsid w:val="3ECA19EE"/>
    <w:rsid w:val="3ECB10CB"/>
    <w:rsid w:val="3EE11814"/>
    <w:rsid w:val="3EED44F7"/>
    <w:rsid w:val="3EF44EB8"/>
    <w:rsid w:val="3EF9734A"/>
    <w:rsid w:val="3F076806"/>
    <w:rsid w:val="3F150C00"/>
    <w:rsid w:val="3F172AAE"/>
    <w:rsid w:val="3F263F12"/>
    <w:rsid w:val="3F287E14"/>
    <w:rsid w:val="3F353321"/>
    <w:rsid w:val="3F663508"/>
    <w:rsid w:val="3F6B4D22"/>
    <w:rsid w:val="3F6D245D"/>
    <w:rsid w:val="3F7529B9"/>
    <w:rsid w:val="3F7C17DC"/>
    <w:rsid w:val="3F972198"/>
    <w:rsid w:val="3FB57674"/>
    <w:rsid w:val="3FBE091A"/>
    <w:rsid w:val="3FC204DD"/>
    <w:rsid w:val="3FCA2DCB"/>
    <w:rsid w:val="3FDA50D4"/>
    <w:rsid w:val="3FEA1764"/>
    <w:rsid w:val="400E7B1A"/>
    <w:rsid w:val="401477C2"/>
    <w:rsid w:val="40224A29"/>
    <w:rsid w:val="40290224"/>
    <w:rsid w:val="402B380D"/>
    <w:rsid w:val="404919BE"/>
    <w:rsid w:val="40513099"/>
    <w:rsid w:val="405465C5"/>
    <w:rsid w:val="407812DD"/>
    <w:rsid w:val="40865790"/>
    <w:rsid w:val="40A724DA"/>
    <w:rsid w:val="40BE43E7"/>
    <w:rsid w:val="40C62591"/>
    <w:rsid w:val="40E71174"/>
    <w:rsid w:val="40F26B70"/>
    <w:rsid w:val="40F7535A"/>
    <w:rsid w:val="40FC1C32"/>
    <w:rsid w:val="41183806"/>
    <w:rsid w:val="411C7A1B"/>
    <w:rsid w:val="412D189F"/>
    <w:rsid w:val="41612651"/>
    <w:rsid w:val="4184289C"/>
    <w:rsid w:val="419B5453"/>
    <w:rsid w:val="419F5C58"/>
    <w:rsid w:val="41A512B2"/>
    <w:rsid w:val="41B55023"/>
    <w:rsid w:val="41BD2E20"/>
    <w:rsid w:val="41ED3FB2"/>
    <w:rsid w:val="41ED63ED"/>
    <w:rsid w:val="42096089"/>
    <w:rsid w:val="42106C73"/>
    <w:rsid w:val="42203EF6"/>
    <w:rsid w:val="42257DBD"/>
    <w:rsid w:val="423C58E6"/>
    <w:rsid w:val="424A0CB6"/>
    <w:rsid w:val="424A6830"/>
    <w:rsid w:val="425B7929"/>
    <w:rsid w:val="425D4AC9"/>
    <w:rsid w:val="42643689"/>
    <w:rsid w:val="426702CE"/>
    <w:rsid w:val="426E2D48"/>
    <w:rsid w:val="427F06AC"/>
    <w:rsid w:val="428F2D0E"/>
    <w:rsid w:val="42955A91"/>
    <w:rsid w:val="42C90074"/>
    <w:rsid w:val="42D3670D"/>
    <w:rsid w:val="42E5149B"/>
    <w:rsid w:val="42EC38FC"/>
    <w:rsid w:val="42ED2564"/>
    <w:rsid w:val="42F04B90"/>
    <w:rsid w:val="4303757A"/>
    <w:rsid w:val="43483F4C"/>
    <w:rsid w:val="435250B9"/>
    <w:rsid w:val="436D793C"/>
    <w:rsid w:val="437421D9"/>
    <w:rsid w:val="43950EAA"/>
    <w:rsid w:val="439B28A5"/>
    <w:rsid w:val="43BC78EC"/>
    <w:rsid w:val="43CD4F08"/>
    <w:rsid w:val="43D44F9D"/>
    <w:rsid w:val="43F63FD0"/>
    <w:rsid w:val="44013332"/>
    <w:rsid w:val="440A58BF"/>
    <w:rsid w:val="44151576"/>
    <w:rsid w:val="443E5DF3"/>
    <w:rsid w:val="44402492"/>
    <w:rsid w:val="444E0AA1"/>
    <w:rsid w:val="44574BE4"/>
    <w:rsid w:val="44626811"/>
    <w:rsid w:val="446939F4"/>
    <w:rsid w:val="44AC2A64"/>
    <w:rsid w:val="44BB4338"/>
    <w:rsid w:val="44D21583"/>
    <w:rsid w:val="44DD1F9C"/>
    <w:rsid w:val="44E30D7D"/>
    <w:rsid w:val="44F15DE1"/>
    <w:rsid w:val="45093ED6"/>
    <w:rsid w:val="450F00AB"/>
    <w:rsid w:val="45192E41"/>
    <w:rsid w:val="451A2447"/>
    <w:rsid w:val="45376CB3"/>
    <w:rsid w:val="45500E79"/>
    <w:rsid w:val="455F274E"/>
    <w:rsid w:val="455F61E0"/>
    <w:rsid w:val="456A7115"/>
    <w:rsid w:val="45757DC8"/>
    <w:rsid w:val="458512A6"/>
    <w:rsid w:val="45B72697"/>
    <w:rsid w:val="45EA14EE"/>
    <w:rsid w:val="45F4257A"/>
    <w:rsid w:val="45F520F7"/>
    <w:rsid w:val="46036001"/>
    <w:rsid w:val="4606352C"/>
    <w:rsid w:val="463A30BE"/>
    <w:rsid w:val="463B1AAA"/>
    <w:rsid w:val="463F04DF"/>
    <w:rsid w:val="464C4067"/>
    <w:rsid w:val="46692896"/>
    <w:rsid w:val="467807FF"/>
    <w:rsid w:val="467B249D"/>
    <w:rsid w:val="467E02AE"/>
    <w:rsid w:val="467E65B3"/>
    <w:rsid w:val="46851492"/>
    <w:rsid w:val="46975AF3"/>
    <w:rsid w:val="469C5DED"/>
    <w:rsid w:val="46AB6C27"/>
    <w:rsid w:val="46BF43C2"/>
    <w:rsid w:val="46DA1447"/>
    <w:rsid w:val="46E352FE"/>
    <w:rsid w:val="46E6270B"/>
    <w:rsid w:val="47086252"/>
    <w:rsid w:val="47174E47"/>
    <w:rsid w:val="471A4BF0"/>
    <w:rsid w:val="471E2B0C"/>
    <w:rsid w:val="47201E7C"/>
    <w:rsid w:val="472D78EF"/>
    <w:rsid w:val="47321C1B"/>
    <w:rsid w:val="47426E1E"/>
    <w:rsid w:val="474F32D6"/>
    <w:rsid w:val="475B6B6F"/>
    <w:rsid w:val="47657879"/>
    <w:rsid w:val="47772291"/>
    <w:rsid w:val="477E37E3"/>
    <w:rsid w:val="47842B8D"/>
    <w:rsid w:val="478949E3"/>
    <w:rsid w:val="47AB2591"/>
    <w:rsid w:val="47B5779F"/>
    <w:rsid w:val="47BE1DFF"/>
    <w:rsid w:val="47C03AAC"/>
    <w:rsid w:val="47F069D5"/>
    <w:rsid w:val="48091C5A"/>
    <w:rsid w:val="48110CBA"/>
    <w:rsid w:val="48152FCE"/>
    <w:rsid w:val="48461E10"/>
    <w:rsid w:val="485263FC"/>
    <w:rsid w:val="48550B5D"/>
    <w:rsid w:val="48634181"/>
    <w:rsid w:val="48634D88"/>
    <w:rsid w:val="486C7629"/>
    <w:rsid w:val="488B26AE"/>
    <w:rsid w:val="48A861D6"/>
    <w:rsid w:val="48C71E24"/>
    <w:rsid w:val="48D901E2"/>
    <w:rsid w:val="48DB0EE3"/>
    <w:rsid w:val="48DC2BE3"/>
    <w:rsid w:val="48F51468"/>
    <w:rsid w:val="48F540F5"/>
    <w:rsid w:val="490858B3"/>
    <w:rsid w:val="490E3A0A"/>
    <w:rsid w:val="49115557"/>
    <w:rsid w:val="493577ED"/>
    <w:rsid w:val="493B4C8E"/>
    <w:rsid w:val="493E1603"/>
    <w:rsid w:val="49415DBF"/>
    <w:rsid w:val="494324F5"/>
    <w:rsid w:val="49497E8D"/>
    <w:rsid w:val="494C5382"/>
    <w:rsid w:val="49530779"/>
    <w:rsid w:val="49533A26"/>
    <w:rsid w:val="49553CAC"/>
    <w:rsid w:val="49632188"/>
    <w:rsid w:val="49646566"/>
    <w:rsid w:val="49734C63"/>
    <w:rsid w:val="498E0331"/>
    <w:rsid w:val="498F735A"/>
    <w:rsid w:val="49971004"/>
    <w:rsid w:val="49A54C78"/>
    <w:rsid w:val="49A61759"/>
    <w:rsid w:val="49AB0978"/>
    <w:rsid w:val="49C20643"/>
    <w:rsid w:val="49D46ECC"/>
    <w:rsid w:val="49D81C95"/>
    <w:rsid w:val="49E73BBA"/>
    <w:rsid w:val="49EB5426"/>
    <w:rsid w:val="49EC3216"/>
    <w:rsid w:val="4A1A6DDA"/>
    <w:rsid w:val="4A1E5602"/>
    <w:rsid w:val="4A2834B9"/>
    <w:rsid w:val="4A4E09C7"/>
    <w:rsid w:val="4A5A4ED7"/>
    <w:rsid w:val="4A705D29"/>
    <w:rsid w:val="4A7B7481"/>
    <w:rsid w:val="4AA919F3"/>
    <w:rsid w:val="4AC026BD"/>
    <w:rsid w:val="4AC901FE"/>
    <w:rsid w:val="4ADC1C12"/>
    <w:rsid w:val="4AE7405A"/>
    <w:rsid w:val="4AED74A4"/>
    <w:rsid w:val="4AED7831"/>
    <w:rsid w:val="4AF103B5"/>
    <w:rsid w:val="4B120DC9"/>
    <w:rsid w:val="4B2211C1"/>
    <w:rsid w:val="4B241E67"/>
    <w:rsid w:val="4B285960"/>
    <w:rsid w:val="4B392FD5"/>
    <w:rsid w:val="4B687AF9"/>
    <w:rsid w:val="4B697C3A"/>
    <w:rsid w:val="4B8D5362"/>
    <w:rsid w:val="4BA00211"/>
    <w:rsid w:val="4BA14D45"/>
    <w:rsid w:val="4BAD3C58"/>
    <w:rsid w:val="4BC55228"/>
    <w:rsid w:val="4BCB1550"/>
    <w:rsid w:val="4BCD0145"/>
    <w:rsid w:val="4BD13ABF"/>
    <w:rsid w:val="4BDC0F6E"/>
    <w:rsid w:val="4C092281"/>
    <w:rsid w:val="4C1D3DFB"/>
    <w:rsid w:val="4C386E5E"/>
    <w:rsid w:val="4C4871B2"/>
    <w:rsid w:val="4C6562E6"/>
    <w:rsid w:val="4CBD66E8"/>
    <w:rsid w:val="4CBE5360"/>
    <w:rsid w:val="4CC02B5B"/>
    <w:rsid w:val="4CE47A3E"/>
    <w:rsid w:val="4CEB2A43"/>
    <w:rsid w:val="4CEE076C"/>
    <w:rsid w:val="4CF05BF2"/>
    <w:rsid w:val="4CF102BB"/>
    <w:rsid w:val="4D0642BA"/>
    <w:rsid w:val="4D1D1F4F"/>
    <w:rsid w:val="4D2852AE"/>
    <w:rsid w:val="4D3231B6"/>
    <w:rsid w:val="4D383023"/>
    <w:rsid w:val="4D3C2ADA"/>
    <w:rsid w:val="4D623663"/>
    <w:rsid w:val="4D7369A5"/>
    <w:rsid w:val="4D7E1D77"/>
    <w:rsid w:val="4D7F2A4D"/>
    <w:rsid w:val="4D9F75D5"/>
    <w:rsid w:val="4DA05E92"/>
    <w:rsid w:val="4DA064AE"/>
    <w:rsid w:val="4DA759DB"/>
    <w:rsid w:val="4DAF2B52"/>
    <w:rsid w:val="4DCA1EB3"/>
    <w:rsid w:val="4DCA4E81"/>
    <w:rsid w:val="4DD26988"/>
    <w:rsid w:val="4DE70D75"/>
    <w:rsid w:val="4DEA081D"/>
    <w:rsid w:val="4DF412CA"/>
    <w:rsid w:val="4DF81C8C"/>
    <w:rsid w:val="4DF9574D"/>
    <w:rsid w:val="4E0F4C77"/>
    <w:rsid w:val="4E257207"/>
    <w:rsid w:val="4E41582A"/>
    <w:rsid w:val="4E432385"/>
    <w:rsid w:val="4E4341E7"/>
    <w:rsid w:val="4E625F4E"/>
    <w:rsid w:val="4E6A19A9"/>
    <w:rsid w:val="4E7536C8"/>
    <w:rsid w:val="4E7C569A"/>
    <w:rsid w:val="4E8B209A"/>
    <w:rsid w:val="4E9E2006"/>
    <w:rsid w:val="4EA13A83"/>
    <w:rsid w:val="4EB77DE7"/>
    <w:rsid w:val="4EC84B15"/>
    <w:rsid w:val="4ECE5499"/>
    <w:rsid w:val="4ED426B1"/>
    <w:rsid w:val="4EEB79F2"/>
    <w:rsid w:val="4EF32521"/>
    <w:rsid w:val="4F0B3F90"/>
    <w:rsid w:val="4F291009"/>
    <w:rsid w:val="4F2D38A3"/>
    <w:rsid w:val="4F4579FF"/>
    <w:rsid w:val="4F4F6D93"/>
    <w:rsid w:val="4F52647C"/>
    <w:rsid w:val="4F5E4AD1"/>
    <w:rsid w:val="4F61091A"/>
    <w:rsid w:val="4F730FE0"/>
    <w:rsid w:val="4F7B62EA"/>
    <w:rsid w:val="4F7E0CAA"/>
    <w:rsid w:val="4F7E63AE"/>
    <w:rsid w:val="4F8E2F44"/>
    <w:rsid w:val="4FAA588F"/>
    <w:rsid w:val="4FAC40CC"/>
    <w:rsid w:val="4FBD68F8"/>
    <w:rsid w:val="4FC20E2B"/>
    <w:rsid w:val="4FEC7E90"/>
    <w:rsid w:val="4FED2E63"/>
    <w:rsid w:val="50067C98"/>
    <w:rsid w:val="502A390E"/>
    <w:rsid w:val="5032688A"/>
    <w:rsid w:val="50390366"/>
    <w:rsid w:val="50422B72"/>
    <w:rsid w:val="504C0E44"/>
    <w:rsid w:val="505121FE"/>
    <w:rsid w:val="506118EC"/>
    <w:rsid w:val="506F1286"/>
    <w:rsid w:val="5084796D"/>
    <w:rsid w:val="509F0BB4"/>
    <w:rsid w:val="50A2124E"/>
    <w:rsid w:val="50AE7228"/>
    <w:rsid w:val="50B33A6E"/>
    <w:rsid w:val="50B97677"/>
    <w:rsid w:val="50BE0FBC"/>
    <w:rsid w:val="50C01636"/>
    <w:rsid w:val="50C10213"/>
    <w:rsid w:val="50C230AC"/>
    <w:rsid w:val="50D726B0"/>
    <w:rsid w:val="50D84841"/>
    <w:rsid w:val="50D94286"/>
    <w:rsid w:val="50DB4E74"/>
    <w:rsid w:val="50E50867"/>
    <w:rsid w:val="50E71D4D"/>
    <w:rsid w:val="50FA62D1"/>
    <w:rsid w:val="510F7E36"/>
    <w:rsid w:val="511B312B"/>
    <w:rsid w:val="512C39E2"/>
    <w:rsid w:val="51366CD6"/>
    <w:rsid w:val="51560155"/>
    <w:rsid w:val="515735BB"/>
    <w:rsid w:val="515D4468"/>
    <w:rsid w:val="516B456F"/>
    <w:rsid w:val="51806A22"/>
    <w:rsid w:val="51863E1B"/>
    <w:rsid w:val="5187285A"/>
    <w:rsid w:val="518F64F4"/>
    <w:rsid w:val="51911D14"/>
    <w:rsid w:val="519B1BA0"/>
    <w:rsid w:val="51B311DF"/>
    <w:rsid w:val="51BB1D9C"/>
    <w:rsid w:val="51BD056C"/>
    <w:rsid w:val="51D274D1"/>
    <w:rsid w:val="51D35FF4"/>
    <w:rsid w:val="51D40ED9"/>
    <w:rsid w:val="51DE5599"/>
    <w:rsid w:val="51EA7D0E"/>
    <w:rsid w:val="51F77181"/>
    <w:rsid w:val="52002586"/>
    <w:rsid w:val="521064AA"/>
    <w:rsid w:val="521B2924"/>
    <w:rsid w:val="522A5BC1"/>
    <w:rsid w:val="522E0F28"/>
    <w:rsid w:val="522E7730"/>
    <w:rsid w:val="52621F83"/>
    <w:rsid w:val="52656504"/>
    <w:rsid w:val="526D1B5E"/>
    <w:rsid w:val="527E1795"/>
    <w:rsid w:val="528650D6"/>
    <w:rsid w:val="52CC3574"/>
    <w:rsid w:val="52D56489"/>
    <w:rsid w:val="52D820BD"/>
    <w:rsid w:val="52DC69D0"/>
    <w:rsid w:val="52E346E8"/>
    <w:rsid w:val="52EB4A31"/>
    <w:rsid w:val="52EF68FB"/>
    <w:rsid w:val="530476BD"/>
    <w:rsid w:val="530C3DD6"/>
    <w:rsid w:val="53183CA2"/>
    <w:rsid w:val="532B50F8"/>
    <w:rsid w:val="532E0FBE"/>
    <w:rsid w:val="532E70A5"/>
    <w:rsid w:val="535D6073"/>
    <w:rsid w:val="536C1167"/>
    <w:rsid w:val="53724506"/>
    <w:rsid w:val="537D5CC3"/>
    <w:rsid w:val="53811A4D"/>
    <w:rsid w:val="539A21E7"/>
    <w:rsid w:val="53A305B8"/>
    <w:rsid w:val="53D17CC4"/>
    <w:rsid w:val="53D32837"/>
    <w:rsid w:val="53D964FA"/>
    <w:rsid w:val="53F372ED"/>
    <w:rsid w:val="541C52C9"/>
    <w:rsid w:val="542A0A84"/>
    <w:rsid w:val="543F4416"/>
    <w:rsid w:val="544D7EB7"/>
    <w:rsid w:val="545A57BD"/>
    <w:rsid w:val="5461525E"/>
    <w:rsid w:val="54675D9A"/>
    <w:rsid w:val="5467641D"/>
    <w:rsid w:val="547507B7"/>
    <w:rsid w:val="548362FE"/>
    <w:rsid w:val="548B2661"/>
    <w:rsid w:val="548D1C7D"/>
    <w:rsid w:val="54960A4C"/>
    <w:rsid w:val="549717CE"/>
    <w:rsid w:val="54996CCE"/>
    <w:rsid w:val="54A41DDC"/>
    <w:rsid w:val="54AA1B76"/>
    <w:rsid w:val="54B12734"/>
    <w:rsid w:val="54B60BC1"/>
    <w:rsid w:val="54C065C1"/>
    <w:rsid w:val="54C70160"/>
    <w:rsid w:val="54CD7148"/>
    <w:rsid w:val="54E61568"/>
    <w:rsid w:val="54F619AF"/>
    <w:rsid w:val="54F85A0E"/>
    <w:rsid w:val="54FA1BC6"/>
    <w:rsid w:val="54FC014A"/>
    <w:rsid w:val="55152733"/>
    <w:rsid w:val="55231E35"/>
    <w:rsid w:val="55233E35"/>
    <w:rsid w:val="552A1C9F"/>
    <w:rsid w:val="5535505F"/>
    <w:rsid w:val="553A7E8C"/>
    <w:rsid w:val="553B2D61"/>
    <w:rsid w:val="55434DC3"/>
    <w:rsid w:val="55495A6C"/>
    <w:rsid w:val="554D6C39"/>
    <w:rsid w:val="555848E4"/>
    <w:rsid w:val="55597748"/>
    <w:rsid w:val="555C3769"/>
    <w:rsid w:val="556B488F"/>
    <w:rsid w:val="557B1E49"/>
    <w:rsid w:val="55A46035"/>
    <w:rsid w:val="55AE0410"/>
    <w:rsid w:val="55AF59E2"/>
    <w:rsid w:val="55B57473"/>
    <w:rsid w:val="55CF5877"/>
    <w:rsid w:val="55D423F7"/>
    <w:rsid w:val="55DC43C0"/>
    <w:rsid w:val="55DD20D6"/>
    <w:rsid w:val="55FD3BA6"/>
    <w:rsid w:val="56081FC6"/>
    <w:rsid w:val="5608399A"/>
    <w:rsid w:val="565551BA"/>
    <w:rsid w:val="56637DAA"/>
    <w:rsid w:val="567A50EC"/>
    <w:rsid w:val="56885A23"/>
    <w:rsid w:val="56914813"/>
    <w:rsid w:val="56D46ED3"/>
    <w:rsid w:val="56E24E8C"/>
    <w:rsid w:val="56E84980"/>
    <w:rsid w:val="570E5EDC"/>
    <w:rsid w:val="57132849"/>
    <w:rsid w:val="571E743E"/>
    <w:rsid w:val="572D0997"/>
    <w:rsid w:val="573305C4"/>
    <w:rsid w:val="573A4DB5"/>
    <w:rsid w:val="5751077E"/>
    <w:rsid w:val="575D0609"/>
    <w:rsid w:val="57671407"/>
    <w:rsid w:val="57711F0E"/>
    <w:rsid w:val="577C0782"/>
    <w:rsid w:val="577D5D27"/>
    <w:rsid w:val="577D7BD4"/>
    <w:rsid w:val="57856773"/>
    <w:rsid w:val="579F0412"/>
    <w:rsid w:val="57A17572"/>
    <w:rsid w:val="57AF60C3"/>
    <w:rsid w:val="57C80B6D"/>
    <w:rsid w:val="57DC0289"/>
    <w:rsid w:val="57E04A08"/>
    <w:rsid w:val="57E56DE8"/>
    <w:rsid w:val="57E82846"/>
    <w:rsid w:val="57EB6A42"/>
    <w:rsid w:val="57F11178"/>
    <w:rsid w:val="58210661"/>
    <w:rsid w:val="5821275B"/>
    <w:rsid w:val="5829163A"/>
    <w:rsid w:val="58405C72"/>
    <w:rsid w:val="58407749"/>
    <w:rsid w:val="58655558"/>
    <w:rsid w:val="586D1B1A"/>
    <w:rsid w:val="587F2014"/>
    <w:rsid w:val="58B55086"/>
    <w:rsid w:val="58B94825"/>
    <w:rsid w:val="58CA250B"/>
    <w:rsid w:val="58DC66CE"/>
    <w:rsid w:val="58E04A01"/>
    <w:rsid w:val="58EB2CF3"/>
    <w:rsid w:val="591C3E8D"/>
    <w:rsid w:val="59350E46"/>
    <w:rsid w:val="593B29B5"/>
    <w:rsid w:val="5948587F"/>
    <w:rsid w:val="595B0456"/>
    <w:rsid w:val="595B27F8"/>
    <w:rsid w:val="596A6CE9"/>
    <w:rsid w:val="59701C09"/>
    <w:rsid w:val="597A0CF9"/>
    <w:rsid w:val="59834875"/>
    <w:rsid w:val="598E08D1"/>
    <w:rsid w:val="59A16AD5"/>
    <w:rsid w:val="59E42C06"/>
    <w:rsid w:val="59E721F8"/>
    <w:rsid w:val="5A0B28DF"/>
    <w:rsid w:val="5A2C0365"/>
    <w:rsid w:val="5A2C6E95"/>
    <w:rsid w:val="5A306176"/>
    <w:rsid w:val="5A3E5F94"/>
    <w:rsid w:val="5A48354A"/>
    <w:rsid w:val="5A575E19"/>
    <w:rsid w:val="5A730864"/>
    <w:rsid w:val="5A85328B"/>
    <w:rsid w:val="5A992B2C"/>
    <w:rsid w:val="5ABE6C52"/>
    <w:rsid w:val="5AF11251"/>
    <w:rsid w:val="5AFB1B92"/>
    <w:rsid w:val="5B047FE2"/>
    <w:rsid w:val="5B454982"/>
    <w:rsid w:val="5B4D53B1"/>
    <w:rsid w:val="5B501BC4"/>
    <w:rsid w:val="5B5271CD"/>
    <w:rsid w:val="5B726178"/>
    <w:rsid w:val="5B785B04"/>
    <w:rsid w:val="5B7F690E"/>
    <w:rsid w:val="5B8E3E86"/>
    <w:rsid w:val="5BC2364E"/>
    <w:rsid w:val="5BE96B43"/>
    <w:rsid w:val="5C001A72"/>
    <w:rsid w:val="5C0D75D7"/>
    <w:rsid w:val="5C2E3333"/>
    <w:rsid w:val="5C453621"/>
    <w:rsid w:val="5C4B6C4B"/>
    <w:rsid w:val="5C4D3BD7"/>
    <w:rsid w:val="5C54349C"/>
    <w:rsid w:val="5C6E3788"/>
    <w:rsid w:val="5C7239E0"/>
    <w:rsid w:val="5C7A0907"/>
    <w:rsid w:val="5C84480B"/>
    <w:rsid w:val="5C9725E4"/>
    <w:rsid w:val="5CB62D16"/>
    <w:rsid w:val="5CE94F9D"/>
    <w:rsid w:val="5CF46AC5"/>
    <w:rsid w:val="5D247B08"/>
    <w:rsid w:val="5D2817F2"/>
    <w:rsid w:val="5D332C95"/>
    <w:rsid w:val="5D365FD4"/>
    <w:rsid w:val="5D416689"/>
    <w:rsid w:val="5D424649"/>
    <w:rsid w:val="5D461B57"/>
    <w:rsid w:val="5D491E3A"/>
    <w:rsid w:val="5D5010C4"/>
    <w:rsid w:val="5D5521A5"/>
    <w:rsid w:val="5D5D44DE"/>
    <w:rsid w:val="5D5E4227"/>
    <w:rsid w:val="5D805323"/>
    <w:rsid w:val="5D8D0F26"/>
    <w:rsid w:val="5D94396F"/>
    <w:rsid w:val="5D94403E"/>
    <w:rsid w:val="5D986F88"/>
    <w:rsid w:val="5D9E4E72"/>
    <w:rsid w:val="5DB11371"/>
    <w:rsid w:val="5DF83CD8"/>
    <w:rsid w:val="5E0846A3"/>
    <w:rsid w:val="5E180D90"/>
    <w:rsid w:val="5E1E0ACC"/>
    <w:rsid w:val="5E22099B"/>
    <w:rsid w:val="5E316FD2"/>
    <w:rsid w:val="5E4402C8"/>
    <w:rsid w:val="5E492213"/>
    <w:rsid w:val="5E527EC3"/>
    <w:rsid w:val="5E5C51FF"/>
    <w:rsid w:val="5E665441"/>
    <w:rsid w:val="5E7848E2"/>
    <w:rsid w:val="5E80390B"/>
    <w:rsid w:val="5E8425FB"/>
    <w:rsid w:val="5E8430DB"/>
    <w:rsid w:val="5EA51BD0"/>
    <w:rsid w:val="5EB71F1D"/>
    <w:rsid w:val="5ECA1098"/>
    <w:rsid w:val="5EED65DA"/>
    <w:rsid w:val="5EEE0D9D"/>
    <w:rsid w:val="5EF06B06"/>
    <w:rsid w:val="5F296C2A"/>
    <w:rsid w:val="5F3E7DD1"/>
    <w:rsid w:val="5F4B14C4"/>
    <w:rsid w:val="5F7A2604"/>
    <w:rsid w:val="5F935B28"/>
    <w:rsid w:val="5F970685"/>
    <w:rsid w:val="5F9B6AC1"/>
    <w:rsid w:val="5FB64157"/>
    <w:rsid w:val="5FDF4377"/>
    <w:rsid w:val="5FEC0957"/>
    <w:rsid w:val="5FF66FA1"/>
    <w:rsid w:val="5FFE79FF"/>
    <w:rsid w:val="600338D6"/>
    <w:rsid w:val="600F5F41"/>
    <w:rsid w:val="60143A90"/>
    <w:rsid w:val="60145E67"/>
    <w:rsid w:val="60173016"/>
    <w:rsid w:val="601B6431"/>
    <w:rsid w:val="601C7F53"/>
    <w:rsid w:val="60433B36"/>
    <w:rsid w:val="604F6F69"/>
    <w:rsid w:val="606A2104"/>
    <w:rsid w:val="606C6E79"/>
    <w:rsid w:val="60756A99"/>
    <w:rsid w:val="608005E7"/>
    <w:rsid w:val="60811565"/>
    <w:rsid w:val="608A0AB8"/>
    <w:rsid w:val="60C61D45"/>
    <w:rsid w:val="60C9378C"/>
    <w:rsid w:val="60DE4389"/>
    <w:rsid w:val="60EE1FAE"/>
    <w:rsid w:val="60F56F66"/>
    <w:rsid w:val="611B6C7D"/>
    <w:rsid w:val="61321C63"/>
    <w:rsid w:val="614B4BC0"/>
    <w:rsid w:val="61527CA1"/>
    <w:rsid w:val="61557EEB"/>
    <w:rsid w:val="616D01B4"/>
    <w:rsid w:val="617A7406"/>
    <w:rsid w:val="619133FF"/>
    <w:rsid w:val="61916A39"/>
    <w:rsid w:val="61AD728C"/>
    <w:rsid w:val="61B131C8"/>
    <w:rsid w:val="61C23685"/>
    <w:rsid w:val="61C73342"/>
    <w:rsid w:val="61DF6B8E"/>
    <w:rsid w:val="61EE2C90"/>
    <w:rsid w:val="61F652EC"/>
    <w:rsid w:val="620A2F84"/>
    <w:rsid w:val="62185659"/>
    <w:rsid w:val="621971D8"/>
    <w:rsid w:val="622B0FE0"/>
    <w:rsid w:val="62674E7A"/>
    <w:rsid w:val="628711C7"/>
    <w:rsid w:val="629B181D"/>
    <w:rsid w:val="629B3421"/>
    <w:rsid w:val="62A5476F"/>
    <w:rsid w:val="62B3538F"/>
    <w:rsid w:val="62B40821"/>
    <w:rsid w:val="62CA6F3E"/>
    <w:rsid w:val="62D843C3"/>
    <w:rsid w:val="62D95262"/>
    <w:rsid w:val="62FC330B"/>
    <w:rsid w:val="63223C4E"/>
    <w:rsid w:val="63251CCE"/>
    <w:rsid w:val="632C41E5"/>
    <w:rsid w:val="632E67C9"/>
    <w:rsid w:val="632F0E9F"/>
    <w:rsid w:val="632F5E46"/>
    <w:rsid w:val="63362A64"/>
    <w:rsid w:val="633C501C"/>
    <w:rsid w:val="6347127C"/>
    <w:rsid w:val="6366592D"/>
    <w:rsid w:val="636F7ADE"/>
    <w:rsid w:val="63711198"/>
    <w:rsid w:val="638463AE"/>
    <w:rsid w:val="63974A64"/>
    <w:rsid w:val="63A74447"/>
    <w:rsid w:val="63B764C0"/>
    <w:rsid w:val="63BC7D30"/>
    <w:rsid w:val="63D66457"/>
    <w:rsid w:val="63E5706E"/>
    <w:rsid w:val="63FF6602"/>
    <w:rsid w:val="6409526A"/>
    <w:rsid w:val="640A0796"/>
    <w:rsid w:val="643B2569"/>
    <w:rsid w:val="64490153"/>
    <w:rsid w:val="644F018A"/>
    <w:rsid w:val="645B39C1"/>
    <w:rsid w:val="645D6907"/>
    <w:rsid w:val="64642B57"/>
    <w:rsid w:val="64761BE9"/>
    <w:rsid w:val="649D217D"/>
    <w:rsid w:val="64BA3E8F"/>
    <w:rsid w:val="64DA4F14"/>
    <w:rsid w:val="64F35C9B"/>
    <w:rsid w:val="64F87041"/>
    <w:rsid w:val="650102A4"/>
    <w:rsid w:val="65142B50"/>
    <w:rsid w:val="651A1AB7"/>
    <w:rsid w:val="651A277B"/>
    <w:rsid w:val="65233802"/>
    <w:rsid w:val="653C762B"/>
    <w:rsid w:val="654928CF"/>
    <w:rsid w:val="658A52E8"/>
    <w:rsid w:val="659A0B1B"/>
    <w:rsid w:val="65A34F66"/>
    <w:rsid w:val="65B46A2C"/>
    <w:rsid w:val="65B637F2"/>
    <w:rsid w:val="65BC2C98"/>
    <w:rsid w:val="65C5080A"/>
    <w:rsid w:val="65D6548A"/>
    <w:rsid w:val="65F6671B"/>
    <w:rsid w:val="660712B8"/>
    <w:rsid w:val="660B1248"/>
    <w:rsid w:val="662A5963"/>
    <w:rsid w:val="662D5EB5"/>
    <w:rsid w:val="66452539"/>
    <w:rsid w:val="664837EC"/>
    <w:rsid w:val="664C1428"/>
    <w:rsid w:val="66551564"/>
    <w:rsid w:val="665962FF"/>
    <w:rsid w:val="665B624E"/>
    <w:rsid w:val="6661402D"/>
    <w:rsid w:val="666D2168"/>
    <w:rsid w:val="667003EB"/>
    <w:rsid w:val="6677768C"/>
    <w:rsid w:val="66803472"/>
    <w:rsid w:val="66A1426F"/>
    <w:rsid w:val="66BA23F6"/>
    <w:rsid w:val="66C71C63"/>
    <w:rsid w:val="66EC49D9"/>
    <w:rsid w:val="66FF7077"/>
    <w:rsid w:val="672512E6"/>
    <w:rsid w:val="672D4C66"/>
    <w:rsid w:val="675D21FD"/>
    <w:rsid w:val="67622C30"/>
    <w:rsid w:val="67694F1E"/>
    <w:rsid w:val="676C3B02"/>
    <w:rsid w:val="677231B7"/>
    <w:rsid w:val="67825159"/>
    <w:rsid w:val="67825212"/>
    <w:rsid w:val="67876670"/>
    <w:rsid w:val="679D7F83"/>
    <w:rsid w:val="67A14053"/>
    <w:rsid w:val="67A2791E"/>
    <w:rsid w:val="67C903C2"/>
    <w:rsid w:val="67CD2154"/>
    <w:rsid w:val="67D37C61"/>
    <w:rsid w:val="67DD2D7C"/>
    <w:rsid w:val="67EF32BF"/>
    <w:rsid w:val="67F0621A"/>
    <w:rsid w:val="68220F0A"/>
    <w:rsid w:val="683D0232"/>
    <w:rsid w:val="684339D8"/>
    <w:rsid w:val="68492737"/>
    <w:rsid w:val="68724749"/>
    <w:rsid w:val="68793DE1"/>
    <w:rsid w:val="687B1AC6"/>
    <w:rsid w:val="689451EC"/>
    <w:rsid w:val="689F0630"/>
    <w:rsid w:val="689F7B5F"/>
    <w:rsid w:val="68A3601D"/>
    <w:rsid w:val="68C34F99"/>
    <w:rsid w:val="68F05545"/>
    <w:rsid w:val="690F2EC8"/>
    <w:rsid w:val="6913052A"/>
    <w:rsid w:val="69332E26"/>
    <w:rsid w:val="69393A41"/>
    <w:rsid w:val="693F425F"/>
    <w:rsid w:val="698725C0"/>
    <w:rsid w:val="698768C5"/>
    <w:rsid w:val="6990678F"/>
    <w:rsid w:val="6994177F"/>
    <w:rsid w:val="69957D9C"/>
    <w:rsid w:val="699608DD"/>
    <w:rsid w:val="699A6EAB"/>
    <w:rsid w:val="699E3128"/>
    <w:rsid w:val="69AB3883"/>
    <w:rsid w:val="69C677B0"/>
    <w:rsid w:val="69DA1700"/>
    <w:rsid w:val="69E960EE"/>
    <w:rsid w:val="69F76F9A"/>
    <w:rsid w:val="69FB45B3"/>
    <w:rsid w:val="6A4B104F"/>
    <w:rsid w:val="6A511A1B"/>
    <w:rsid w:val="6A57307A"/>
    <w:rsid w:val="6A5942E5"/>
    <w:rsid w:val="6A686AC7"/>
    <w:rsid w:val="6A700527"/>
    <w:rsid w:val="6A8736A7"/>
    <w:rsid w:val="6AAD5299"/>
    <w:rsid w:val="6AAE6795"/>
    <w:rsid w:val="6AC011A4"/>
    <w:rsid w:val="6ADD68D9"/>
    <w:rsid w:val="6AE23FED"/>
    <w:rsid w:val="6AFA14AE"/>
    <w:rsid w:val="6B0F4999"/>
    <w:rsid w:val="6B242E96"/>
    <w:rsid w:val="6B262CDF"/>
    <w:rsid w:val="6B290854"/>
    <w:rsid w:val="6B33144F"/>
    <w:rsid w:val="6B391AB4"/>
    <w:rsid w:val="6B3E05FD"/>
    <w:rsid w:val="6B450874"/>
    <w:rsid w:val="6B4F0BB7"/>
    <w:rsid w:val="6B4F3FBD"/>
    <w:rsid w:val="6B5F4ADA"/>
    <w:rsid w:val="6B617A1C"/>
    <w:rsid w:val="6B6443A0"/>
    <w:rsid w:val="6B842E7C"/>
    <w:rsid w:val="6B954EF9"/>
    <w:rsid w:val="6B983C17"/>
    <w:rsid w:val="6B9F0748"/>
    <w:rsid w:val="6BA01F61"/>
    <w:rsid w:val="6BA96982"/>
    <w:rsid w:val="6BB077DB"/>
    <w:rsid w:val="6BBB7E74"/>
    <w:rsid w:val="6BC46FCF"/>
    <w:rsid w:val="6BC77588"/>
    <w:rsid w:val="6BD95261"/>
    <w:rsid w:val="6BE03119"/>
    <w:rsid w:val="6BE73D9E"/>
    <w:rsid w:val="6C0D0AC9"/>
    <w:rsid w:val="6C1B4224"/>
    <w:rsid w:val="6C240392"/>
    <w:rsid w:val="6C2C6372"/>
    <w:rsid w:val="6C323D43"/>
    <w:rsid w:val="6C324A19"/>
    <w:rsid w:val="6C593DD9"/>
    <w:rsid w:val="6C690BDE"/>
    <w:rsid w:val="6C6C0877"/>
    <w:rsid w:val="6C717D36"/>
    <w:rsid w:val="6C77084D"/>
    <w:rsid w:val="6C831A37"/>
    <w:rsid w:val="6CB327C8"/>
    <w:rsid w:val="6CB603E3"/>
    <w:rsid w:val="6CB6105C"/>
    <w:rsid w:val="6CBC59F5"/>
    <w:rsid w:val="6CCA477C"/>
    <w:rsid w:val="6CD5459B"/>
    <w:rsid w:val="6CE94783"/>
    <w:rsid w:val="6CF02D39"/>
    <w:rsid w:val="6CF14AB0"/>
    <w:rsid w:val="6D006EA7"/>
    <w:rsid w:val="6D042494"/>
    <w:rsid w:val="6D394FFA"/>
    <w:rsid w:val="6D4D5705"/>
    <w:rsid w:val="6D5C3B68"/>
    <w:rsid w:val="6D700CB2"/>
    <w:rsid w:val="6D79044B"/>
    <w:rsid w:val="6D8F163B"/>
    <w:rsid w:val="6D9134DA"/>
    <w:rsid w:val="6D954BC6"/>
    <w:rsid w:val="6DBA7823"/>
    <w:rsid w:val="6DBC2A91"/>
    <w:rsid w:val="6DC92EB8"/>
    <w:rsid w:val="6DD17F13"/>
    <w:rsid w:val="6DD570BE"/>
    <w:rsid w:val="6DDA4176"/>
    <w:rsid w:val="6DF350A8"/>
    <w:rsid w:val="6DF64960"/>
    <w:rsid w:val="6DFB4B74"/>
    <w:rsid w:val="6E1848CA"/>
    <w:rsid w:val="6E1E3674"/>
    <w:rsid w:val="6E36087C"/>
    <w:rsid w:val="6E3C5D13"/>
    <w:rsid w:val="6E404696"/>
    <w:rsid w:val="6E4861B3"/>
    <w:rsid w:val="6E531A13"/>
    <w:rsid w:val="6E5C3894"/>
    <w:rsid w:val="6E5C6EEC"/>
    <w:rsid w:val="6E9411A1"/>
    <w:rsid w:val="6E96680E"/>
    <w:rsid w:val="6EAF1EE4"/>
    <w:rsid w:val="6EC2522B"/>
    <w:rsid w:val="6EC50EBA"/>
    <w:rsid w:val="6ED07965"/>
    <w:rsid w:val="6ED40A7D"/>
    <w:rsid w:val="6ED62804"/>
    <w:rsid w:val="6EE072B7"/>
    <w:rsid w:val="6EE21CC3"/>
    <w:rsid w:val="6F0408C9"/>
    <w:rsid w:val="6F086329"/>
    <w:rsid w:val="6F1758FB"/>
    <w:rsid w:val="6F1A0367"/>
    <w:rsid w:val="6F206767"/>
    <w:rsid w:val="6F270EF2"/>
    <w:rsid w:val="6F3D02A0"/>
    <w:rsid w:val="6F5D44F7"/>
    <w:rsid w:val="6F5F358F"/>
    <w:rsid w:val="6F6534EC"/>
    <w:rsid w:val="6F6D114B"/>
    <w:rsid w:val="6F806474"/>
    <w:rsid w:val="6F9F5752"/>
    <w:rsid w:val="6FC705BB"/>
    <w:rsid w:val="6FD92293"/>
    <w:rsid w:val="6FDB654D"/>
    <w:rsid w:val="6FEA13A8"/>
    <w:rsid w:val="6FF4258B"/>
    <w:rsid w:val="6FFF3868"/>
    <w:rsid w:val="70225701"/>
    <w:rsid w:val="7022601C"/>
    <w:rsid w:val="702F63A9"/>
    <w:rsid w:val="7034475A"/>
    <w:rsid w:val="70582846"/>
    <w:rsid w:val="705B7E7B"/>
    <w:rsid w:val="7064403B"/>
    <w:rsid w:val="70663B37"/>
    <w:rsid w:val="707B663F"/>
    <w:rsid w:val="70891E5F"/>
    <w:rsid w:val="708E5082"/>
    <w:rsid w:val="70903515"/>
    <w:rsid w:val="70A2775A"/>
    <w:rsid w:val="70A43BB4"/>
    <w:rsid w:val="70DA78F6"/>
    <w:rsid w:val="70E24EF9"/>
    <w:rsid w:val="70FB6A58"/>
    <w:rsid w:val="711E7C8C"/>
    <w:rsid w:val="7121203B"/>
    <w:rsid w:val="71242230"/>
    <w:rsid w:val="71272CDE"/>
    <w:rsid w:val="71343BE1"/>
    <w:rsid w:val="71653094"/>
    <w:rsid w:val="71731E37"/>
    <w:rsid w:val="71793D6F"/>
    <w:rsid w:val="718B49CA"/>
    <w:rsid w:val="719052CA"/>
    <w:rsid w:val="719533EC"/>
    <w:rsid w:val="71A40C76"/>
    <w:rsid w:val="71AD598D"/>
    <w:rsid w:val="71CC1159"/>
    <w:rsid w:val="71CF1479"/>
    <w:rsid w:val="71CF7C7E"/>
    <w:rsid w:val="71D504AD"/>
    <w:rsid w:val="71E24166"/>
    <w:rsid w:val="71FA2076"/>
    <w:rsid w:val="71FE3A25"/>
    <w:rsid w:val="720751FA"/>
    <w:rsid w:val="720824F5"/>
    <w:rsid w:val="72176D98"/>
    <w:rsid w:val="7226226C"/>
    <w:rsid w:val="722F4C2C"/>
    <w:rsid w:val="7232316F"/>
    <w:rsid w:val="72484353"/>
    <w:rsid w:val="72560B66"/>
    <w:rsid w:val="726C0226"/>
    <w:rsid w:val="727577AE"/>
    <w:rsid w:val="728D1286"/>
    <w:rsid w:val="729F7BB7"/>
    <w:rsid w:val="72AA7E6B"/>
    <w:rsid w:val="72C65AEF"/>
    <w:rsid w:val="72C90C60"/>
    <w:rsid w:val="72F47A81"/>
    <w:rsid w:val="73071915"/>
    <w:rsid w:val="7314618A"/>
    <w:rsid w:val="73200215"/>
    <w:rsid w:val="732636FF"/>
    <w:rsid w:val="733C50BB"/>
    <w:rsid w:val="733D54D9"/>
    <w:rsid w:val="734E035F"/>
    <w:rsid w:val="735108E5"/>
    <w:rsid w:val="73513365"/>
    <w:rsid w:val="73573C3F"/>
    <w:rsid w:val="736E4518"/>
    <w:rsid w:val="73797273"/>
    <w:rsid w:val="737C45BB"/>
    <w:rsid w:val="7385199B"/>
    <w:rsid w:val="73A46695"/>
    <w:rsid w:val="73BF14D7"/>
    <w:rsid w:val="73C62D3A"/>
    <w:rsid w:val="73D65692"/>
    <w:rsid w:val="73D70882"/>
    <w:rsid w:val="73DA15A9"/>
    <w:rsid w:val="73E2393B"/>
    <w:rsid w:val="73EC233E"/>
    <w:rsid w:val="73F3719F"/>
    <w:rsid w:val="73FD63FC"/>
    <w:rsid w:val="73FF393F"/>
    <w:rsid w:val="740D406E"/>
    <w:rsid w:val="74172103"/>
    <w:rsid w:val="741B4516"/>
    <w:rsid w:val="741F36E7"/>
    <w:rsid w:val="74221818"/>
    <w:rsid w:val="74282A76"/>
    <w:rsid w:val="74394A4C"/>
    <w:rsid w:val="743A7DFE"/>
    <w:rsid w:val="743C616E"/>
    <w:rsid w:val="74433399"/>
    <w:rsid w:val="745D4D92"/>
    <w:rsid w:val="746956DF"/>
    <w:rsid w:val="746D2F66"/>
    <w:rsid w:val="748D6E61"/>
    <w:rsid w:val="749068C4"/>
    <w:rsid w:val="749A7914"/>
    <w:rsid w:val="74BE5FE1"/>
    <w:rsid w:val="74C42AE5"/>
    <w:rsid w:val="74E508E4"/>
    <w:rsid w:val="74E6353F"/>
    <w:rsid w:val="74E63BC0"/>
    <w:rsid w:val="74F508B5"/>
    <w:rsid w:val="74FB1FDB"/>
    <w:rsid w:val="75055D70"/>
    <w:rsid w:val="751403C7"/>
    <w:rsid w:val="751C14F6"/>
    <w:rsid w:val="753D18D7"/>
    <w:rsid w:val="754B60BE"/>
    <w:rsid w:val="75680DDE"/>
    <w:rsid w:val="75760EE2"/>
    <w:rsid w:val="75865BD7"/>
    <w:rsid w:val="759A2EEB"/>
    <w:rsid w:val="75A32B3E"/>
    <w:rsid w:val="75B95C08"/>
    <w:rsid w:val="75BE676E"/>
    <w:rsid w:val="75C05794"/>
    <w:rsid w:val="75D83DDE"/>
    <w:rsid w:val="75E10FAF"/>
    <w:rsid w:val="75F44536"/>
    <w:rsid w:val="75FA0BBD"/>
    <w:rsid w:val="75FC515E"/>
    <w:rsid w:val="767D556B"/>
    <w:rsid w:val="768F7938"/>
    <w:rsid w:val="76A706C5"/>
    <w:rsid w:val="76AD09DA"/>
    <w:rsid w:val="76B158C4"/>
    <w:rsid w:val="76D15FA3"/>
    <w:rsid w:val="76DF0481"/>
    <w:rsid w:val="76E60207"/>
    <w:rsid w:val="76F834E6"/>
    <w:rsid w:val="77031636"/>
    <w:rsid w:val="771968D4"/>
    <w:rsid w:val="772B05B6"/>
    <w:rsid w:val="772D2F3E"/>
    <w:rsid w:val="7732522A"/>
    <w:rsid w:val="77492E13"/>
    <w:rsid w:val="77497184"/>
    <w:rsid w:val="77504100"/>
    <w:rsid w:val="775124BD"/>
    <w:rsid w:val="77624665"/>
    <w:rsid w:val="776C4D39"/>
    <w:rsid w:val="77737EA4"/>
    <w:rsid w:val="778B6DD4"/>
    <w:rsid w:val="77912FED"/>
    <w:rsid w:val="779E134F"/>
    <w:rsid w:val="77A66074"/>
    <w:rsid w:val="77AB311E"/>
    <w:rsid w:val="77C127EA"/>
    <w:rsid w:val="77C2593E"/>
    <w:rsid w:val="77C27B37"/>
    <w:rsid w:val="77E4217A"/>
    <w:rsid w:val="77E90C68"/>
    <w:rsid w:val="77F556E2"/>
    <w:rsid w:val="77FB4284"/>
    <w:rsid w:val="77FB607A"/>
    <w:rsid w:val="780A2C9F"/>
    <w:rsid w:val="780D24DF"/>
    <w:rsid w:val="78200181"/>
    <w:rsid w:val="78364F56"/>
    <w:rsid w:val="783D79A3"/>
    <w:rsid w:val="7841115D"/>
    <w:rsid w:val="784523B8"/>
    <w:rsid w:val="78557BF3"/>
    <w:rsid w:val="78600D69"/>
    <w:rsid w:val="78664122"/>
    <w:rsid w:val="78674656"/>
    <w:rsid w:val="787607F1"/>
    <w:rsid w:val="78761C88"/>
    <w:rsid w:val="787668E5"/>
    <w:rsid w:val="78A327EB"/>
    <w:rsid w:val="78B36915"/>
    <w:rsid w:val="78BD27B1"/>
    <w:rsid w:val="78C52524"/>
    <w:rsid w:val="78CE39A2"/>
    <w:rsid w:val="78D5601F"/>
    <w:rsid w:val="78DD1447"/>
    <w:rsid w:val="78EC6297"/>
    <w:rsid w:val="79175E9B"/>
    <w:rsid w:val="791B706C"/>
    <w:rsid w:val="79460846"/>
    <w:rsid w:val="79466DE7"/>
    <w:rsid w:val="796D1CE6"/>
    <w:rsid w:val="79750980"/>
    <w:rsid w:val="797A3FDB"/>
    <w:rsid w:val="798761A1"/>
    <w:rsid w:val="79B00EC3"/>
    <w:rsid w:val="79B31ED1"/>
    <w:rsid w:val="79B96A83"/>
    <w:rsid w:val="79C23D4D"/>
    <w:rsid w:val="79C66977"/>
    <w:rsid w:val="79CF362B"/>
    <w:rsid w:val="79D014CA"/>
    <w:rsid w:val="79D636F4"/>
    <w:rsid w:val="79D8107D"/>
    <w:rsid w:val="79EA39E0"/>
    <w:rsid w:val="7A0A6AAF"/>
    <w:rsid w:val="7A11414D"/>
    <w:rsid w:val="7A265B7B"/>
    <w:rsid w:val="7A2B3B9C"/>
    <w:rsid w:val="7A305F97"/>
    <w:rsid w:val="7A390AEB"/>
    <w:rsid w:val="7A4747D7"/>
    <w:rsid w:val="7A4E760D"/>
    <w:rsid w:val="7A6D3DC8"/>
    <w:rsid w:val="7A7F3D81"/>
    <w:rsid w:val="7AA52801"/>
    <w:rsid w:val="7AAF3901"/>
    <w:rsid w:val="7AB74955"/>
    <w:rsid w:val="7ACE31AA"/>
    <w:rsid w:val="7ADE77A7"/>
    <w:rsid w:val="7AEE6206"/>
    <w:rsid w:val="7AFB6717"/>
    <w:rsid w:val="7B0B1517"/>
    <w:rsid w:val="7B4D7174"/>
    <w:rsid w:val="7B5070D7"/>
    <w:rsid w:val="7B516AC3"/>
    <w:rsid w:val="7B5E40BF"/>
    <w:rsid w:val="7B5E4B72"/>
    <w:rsid w:val="7B5F5E64"/>
    <w:rsid w:val="7B650CF3"/>
    <w:rsid w:val="7B7C059C"/>
    <w:rsid w:val="7B8C3430"/>
    <w:rsid w:val="7B990FAF"/>
    <w:rsid w:val="7BB66F56"/>
    <w:rsid w:val="7BB74F57"/>
    <w:rsid w:val="7BC12030"/>
    <w:rsid w:val="7BC567A7"/>
    <w:rsid w:val="7BCC0D8A"/>
    <w:rsid w:val="7C013357"/>
    <w:rsid w:val="7C1A111F"/>
    <w:rsid w:val="7C1E6C20"/>
    <w:rsid w:val="7C270FE0"/>
    <w:rsid w:val="7C3D0B95"/>
    <w:rsid w:val="7C4077D0"/>
    <w:rsid w:val="7C425014"/>
    <w:rsid w:val="7C4922FE"/>
    <w:rsid w:val="7C531374"/>
    <w:rsid w:val="7C690B3B"/>
    <w:rsid w:val="7C855953"/>
    <w:rsid w:val="7C924462"/>
    <w:rsid w:val="7CA97827"/>
    <w:rsid w:val="7CBD0E40"/>
    <w:rsid w:val="7CC05F6A"/>
    <w:rsid w:val="7CC1759E"/>
    <w:rsid w:val="7CCE4378"/>
    <w:rsid w:val="7CD27F73"/>
    <w:rsid w:val="7CDC4251"/>
    <w:rsid w:val="7CE74E1B"/>
    <w:rsid w:val="7CF466D4"/>
    <w:rsid w:val="7D035F55"/>
    <w:rsid w:val="7D1D2F8B"/>
    <w:rsid w:val="7D21026D"/>
    <w:rsid w:val="7D4A7DF2"/>
    <w:rsid w:val="7D4E5134"/>
    <w:rsid w:val="7D4F1805"/>
    <w:rsid w:val="7D4F4AD6"/>
    <w:rsid w:val="7D670B73"/>
    <w:rsid w:val="7D6A7849"/>
    <w:rsid w:val="7D6C7FAD"/>
    <w:rsid w:val="7D785784"/>
    <w:rsid w:val="7D7C0818"/>
    <w:rsid w:val="7D8440AC"/>
    <w:rsid w:val="7D9A3483"/>
    <w:rsid w:val="7D9D34B0"/>
    <w:rsid w:val="7DA63861"/>
    <w:rsid w:val="7DBA1AE1"/>
    <w:rsid w:val="7DCE5BB3"/>
    <w:rsid w:val="7DCE6ECC"/>
    <w:rsid w:val="7DD37D92"/>
    <w:rsid w:val="7DDC21CF"/>
    <w:rsid w:val="7DDD2547"/>
    <w:rsid w:val="7DDE2A58"/>
    <w:rsid w:val="7DED1B27"/>
    <w:rsid w:val="7DEF0DE1"/>
    <w:rsid w:val="7DEF3EF1"/>
    <w:rsid w:val="7E0F4721"/>
    <w:rsid w:val="7E1A5D65"/>
    <w:rsid w:val="7E220191"/>
    <w:rsid w:val="7E3B119E"/>
    <w:rsid w:val="7E3E49D2"/>
    <w:rsid w:val="7E400B0C"/>
    <w:rsid w:val="7E407BA3"/>
    <w:rsid w:val="7E415179"/>
    <w:rsid w:val="7E586732"/>
    <w:rsid w:val="7E592503"/>
    <w:rsid w:val="7E70029D"/>
    <w:rsid w:val="7E7E2A4A"/>
    <w:rsid w:val="7EA64DD8"/>
    <w:rsid w:val="7EA65A85"/>
    <w:rsid w:val="7ED8429E"/>
    <w:rsid w:val="7EDE5705"/>
    <w:rsid w:val="7EE61C9F"/>
    <w:rsid w:val="7EF941CE"/>
    <w:rsid w:val="7F1A7A3C"/>
    <w:rsid w:val="7F240684"/>
    <w:rsid w:val="7F520302"/>
    <w:rsid w:val="7F8F13A0"/>
    <w:rsid w:val="7FA75BD1"/>
    <w:rsid w:val="7FCE3B9C"/>
    <w:rsid w:val="7FE44C9D"/>
    <w:rsid w:val="7FE90E4C"/>
    <w:rsid w:val="7FF4404C"/>
    <w:rsid w:val="7FF47716"/>
    <w:rsid w:val="7FF861D3"/>
    <w:rsid w:val="7FFA285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ocked="1"/>
    <w:lsdException w:qFormat="1" w:uiPriority="0" w:semiHidden="0" w:name="heading 4" w:locked="1"/>
    <w:lsdException w:qFormat="1" w:uiPriority="0" w:semiHidden="0" w:name="heading 5" w:locked="1"/>
    <w:lsdException w:qFormat="1"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99"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line="360" w:lineRule="auto"/>
      <w:ind w:firstLine="200" w:firstLineChars="200"/>
      <w:jc w:val="both"/>
    </w:pPr>
    <w:rPr>
      <w:rFonts w:ascii="Calibri" w:hAnsi="Calibri" w:eastAsia="宋体" w:cs="Calibri"/>
      <w:kern w:val="2"/>
      <w:sz w:val="21"/>
      <w:szCs w:val="21"/>
      <w:lang w:val="en-US" w:eastAsia="zh-CN" w:bidi="ar-SA"/>
    </w:rPr>
  </w:style>
  <w:style w:type="paragraph" w:styleId="2">
    <w:name w:val="heading 1"/>
    <w:basedOn w:val="1"/>
    <w:next w:val="1"/>
    <w:link w:val="23"/>
    <w:qFormat/>
    <w:uiPriority w:val="99"/>
    <w:pPr>
      <w:keepNext/>
      <w:keepLines/>
      <w:spacing w:before="340" w:after="330" w:line="578" w:lineRule="auto"/>
      <w:outlineLvl w:val="0"/>
    </w:pPr>
    <w:rPr>
      <w:rFonts w:ascii="Times New Roman" w:hAnsi="Times New Roman" w:eastAsia="黑体" w:cs="Times New Roman"/>
      <w:b/>
      <w:bCs/>
      <w:kern w:val="44"/>
      <w:sz w:val="32"/>
      <w:szCs w:val="32"/>
    </w:rPr>
  </w:style>
  <w:style w:type="paragraph" w:styleId="3">
    <w:name w:val="heading 2"/>
    <w:basedOn w:val="1"/>
    <w:next w:val="1"/>
    <w:link w:val="24"/>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39"/>
    <w:unhideWhenUsed/>
    <w:qFormat/>
    <w:locked/>
    <w:uiPriority w:val="0"/>
    <w:pPr>
      <w:keepNext/>
      <w:keepLines/>
      <w:spacing w:before="260" w:after="260" w:line="416" w:lineRule="auto"/>
      <w:outlineLvl w:val="2"/>
    </w:pPr>
    <w:rPr>
      <w:b/>
      <w:bCs/>
      <w:sz w:val="32"/>
      <w:szCs w:val="32"/>
    </w:rPr>
  </w:style>
  <w:style w:type="paragraph" w:styleId="5">
    <w:name w:val="heading 4"/>
    <w:basedOn w:val="1"/>
    <w:next w:val="1"/>
    <w:link w:val="40"/>
    <w:unhideWhenUsed/>
    <w:qFormat/>
    <w:locked/>
    <w:uiPriority w:val="0"/>
    <w:pPr>
      <w:keepNext/>
      <w:keepLines/>
      <w:spacing w:before="280" w:after="290" w:line="376" w:lineRule="auto"/>
      <w:outlineLvl w:val="3"/>
    </w:pPr>
    <w:rPr>
      <w:rFonts w:ascii="Cambria" w:hAnsi="Cambria" w:cs="Times New Roman"/>
      <w:b/>
      <w:bCs/>
      <w:sz w:val="28"/>
      <w:szCs w:val="28"/>
    </w:rPr>
  </w:style>
  <w:style w:type="paragraph" w:styleId="6">
    <w:name w:val="heading 5"/>
    <w:basedOn w:val="1"/>
    <w:next w:val="1"/>
    <w:link w:val="41"/>
    <w:unhideWhenUsed/>
    <w:qFormat/>
    <w:locked/>
    <w:uiPriority w:val="0"/>
    <w:pPr>
      <w:keepNext/>
      <w:keepLines/>
      <w:spacing w:before="280" w:after="290" w:line="376" w:lineRule="auto"/>
      <w:outlineLvl w:val="4"/>
    </w:pPr>
    <w:rPr>
      <w:b/>
      <w:bCs/>
      <w:sz w:val="28"/>
      <w:szCs w:val="28"/>
    </w:rPr>
  </w:style>
  <w:style w:type="paragraph" w:styleId="7">
    <w:name w:val="heading 6"/>
    <w:basedOn w:val="1"/>
    <w:next w:val="1"/>
    <w:link w:val="43"/>
    <w:unhideWhenUsed/>
    <w:qFormat/>
    <w:locked/>
    <w:uiPriority w:val="0"/>
    <w:pPr>
      <w:keepNext/>
      <w:keepLines/>
      <w:spacing w:before="240" w:after="64" w:line="320" w:lineRule="auto"/>
      <w:outlineLvl w:val="5"/>
    </w:pPr>
    <w:rPr>
      <w:rFonts w:ascii="Cambria" w:hAnsi="Cambria" w:cs="Times New Roman"/>
      <w:b/>
      <w:bCs/>
      <w:sz w:val="24"/>
      <w:szCs w:val="24"/>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25"/>
    <w:semiHidden/>
    <w:qFormat/>
    <w:uiPriority w:val="99"/>
    <w:rPr>
      <w:rFonts w:ascii="宋体" w:cs="宋体"/>
      <w:sz w:val="18"/>
      <w:szCs w:val="18"/>
    </w:rPr>
  </w:style>
  <w:style w:type="paragraph" w:styleId="9">
    <w:name w:val="toc 3"/>
    <w:basedOn w:val="1"/>
    <w:next w:val="1"/>
    <w:semiHidden/>
    <w:qFormat/>
    <w:locked/>
    <w:uiPriority w:val="99"/>
    <w:pPr>
      <w:ind w:left="840" w:leftChars="400"/>
    </w:pPr>
  </w:style>
  <w:style w:type="paragraph" w:styleId="10">
    <w:name w:val="Date"/>
    <w:basedOn w:val="1"/>
    <w:next w:val="1"/>
    <w:link w:val="38"/>
    <w:semiHidden/>
    <w:unhideWhenUsed/>
    <w:qFormat/>
    <w:uiPriority w:val="99"/>
    <w:pPr>
      <w:ind w:left="100" w:leftChars="2500"/>
    </w:pPr>
  </w:style>
  <w:style w:type="paragraph" w:styleId="11">
    <w:name w:val="Balloon Text"/>
    <w:basedOn w:val="1"/>
    <w:link w:val="26"/>
    <w:semiHidden/>
    <w:qFormat/>
    <w:uiPriority w:val="99"/>
    <w:rPr>
      <w:rFonts w:ascii="Times New Roman" w:hAnsi="Times New Roman" w:cs="Times New Roman"/>
      <w:kern w:val="0"/>
      <w:sz w:val="18"/>
      <w:szCs w:val="18"/>
    </w:rPr>
  </w:style>
  <w:style w:type="paragraph" w:styleId="12">
    <w:name w:val="footer"/>
    <w:basedOn w:val="1"/>
    <w:link w:val="27"/>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13">
    <w:name w:val="header"/>
    <w:basedOn w:val="1"/>
    <w:link w:val="28"/>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14">
    <w:name w:val="toc 1"/>
    <w:basedOn w:val="1"/>
    <w:next w:val="1"/>
    <w:qFormat/>
    <w:uiPriority w:val="39"/>
    <w:pPr>
      <w:tabs>
        <w:tab w:val="right" w:leader="dot" w:pos="9170"/>
      </w:tabs>
      <w:spacing w:before="120" w:after="120"/>
      <w:jc w:val="left"/>
    </w:pPr>
    <w:rPr>
      <w:rFonts w:ascii="宋体" w:hAnsi="宋体" w:cs="宋体"/>
      <w:b/>
      <w:bCs/>
      <w:caps/>
      <w:color w:val="000000"/>
      <w:sz w:val="24"/>
      <w:szCs w:val="24"/>
    </w:rPr>
  </w:style>
  <w:style w:type="paragraph" w:styleId="15">
    <w:name w:val="Subtitle"/>
    <w:basedOn w:val="1"/>
    <w:next w:val="1"/>
    <w:link w:val="29"/>
    <w:qFormat/>
    <w:uiPriority w:val="99"/>
    <w:pPr>
      <w:spacing w:before="240" w:after="60" w:line="312" w:lineRule="auto"/>
      <w:jc w:val="center"/>
      <w:outlineLvl w:val="1"/>
    </w:pPr>
    <w:rPr>
      <w:rFonts w:ascii="Cambria" w:hAnsi="Cambria" w:cs="Cambria"/>
      <w:b/>
      <w:bCs/>
      <w:kern w:val="28"/>
      <w:sz w:val="32"/>
      <w:szCs w:val="32"/>
    </w:rPr>
  </w:style>
  <w:style w:type="paragraph" w:styleId="16">
    <w:name w:val="toc 2"/>
    <w:basedOn w:val="1"/>
    <w:next w:val="1"/>
    <w:semiHidden/>
    <w:qFormat/>
    <w:uiPriority w:val="99"/>
    <w:pPr>
      <w:tabs>
        <w:tab w:val="right" w:leader="dot" w:pos="9170"/>
      </w:tabs>
      <w:ind w:left="210"/>
    </w:pPr>
    <w:rPr>
      <w:rFonts w:ascii="宋体" w:hAnsi="宋体" w:cs="宋体"/>
      <w:b/>
      <w:bCs/>
      <w:smallCaps/>
      <w:color w:val="000000"/>
      <w:sz w:val="24"/>
      <w:szCs w:val="24"/>
    </w:rPr>
  </w:style>
  <w:style w:type="paragraph" w:styleId="17">
    <w:name w:val="Normal (Web)"/>
    <w:basedOn w:val="1"/>
    <w:qFormat/>
    <w:uiPriority w:val="99"/>
    <w:pPr>
      <w:widowControl/>
      <w:jc w:val="left"/>
    </w:pPr>
    <w:rPr>
      <w:rFonts w:ascii="宋体" w:hAnsi="宋体" w:cs="宋体"/>
      <w:kern w:val="0"/>
      <w:sz w:val="24"/>
      <w:szCs w:val="24"/>
    </w:rPr>
  </w:style>
  <w:style w:type="paragraph" w:styleId="18">
    <w:name w:val="Title"/>
    <w:basedOn w:val="1"/>
    <w:next w:val="1"/>
    <w:link w:val="42"/>
    <w:qFormat/>
    <w:locked/>
    <w:uiPriority w:val="0"/>
    <w:pPr>
      <w:spacing w:before="240" w:after="60"/>
      <w:jc w:val="center"/>
      <w:outlineLvl w:val="0"/>
    </w:pPr>
    <w:rPr>
      <w:rFonts w:ascii="Cambria" w:hAnsi="Cambria" w:cs="Times New Roman"/>
      <w:b/>
      <w:bCs/>
      <w:sz w:val="32"/>
      <w:szCs w:val="32"/>
    </w:rPr>
  </w:style>
  <w:style w:type="character" w:styleId="21">
    <w:name w:val="Strong"/>
    <w:basedOn w:val="20"/>
    <w:qFormat/>
    <w:uiPriority w:val="99"/>
    <w:rPr>
      <w:b/>
      <w:bCs/>
    </w:rPr>
  </w:style>
  <w:style w:type="character" w:styleId="22">
    <w:name w:val="Hyperlink"/>
    <w:basedOn w:val="20"/>
    <w:qFormat/>
    <w:uiPriority w:val="99"/>
    <w:rPr>
      <w:color w:val="0000FF"/>
      <w:u w:val="single"/>
    </w:rPr>
  </w:style>
  <w:style w:type="character" w:customStyle="1" w:styleId="23">
    <w:name w:val="标题 1 Char"/>
    <w:basedOn w:val="20"/>
    <w:link w:val="2"/>
    <w:qFormat/>
    <w:locked/>
    <w:uiPriority w:val="99"/>
    <w:rPr>
      <w:rFonts w:eastAsia="黑体"/>
      <w:b/>
      <w:bCs/>
      <w:kern w:val="44"/>
      <w:sz w:val="44"/>
      <w:szCs w:val="44"/>
    </w:rPr>
  </w:style>
  <w:style w:type="character" w:customStyle="1" w:styleId="24">
    <w:name w:val="标题 2 Char"/>
    <w:basedOn w:val="20"/>
    <w:link w:val="3"/>
    <w:qFormat/>
    <w:locked/>
    <w:uiPriority w:val="99"/>
    <w:rPr>
      <w:rFonts w:ascii="Cambria" w:hAnsi="Cambria" w:cs="Cambria"/>
      <w:b/>
      <w:bCs/>
      <w:kern w:val="2"/>
      <w:sz w:val="32"/>
      <w:szCs w:val="32"/>
    </w:rPr>
  </w:style>
  <w:style w:type="character" w:customStyle="1" w:styleId="25">
    <w:name w:val="文档结构图 Char"/>
    <w:basedOn w:val="20"/>
    <w:link w:val="8"/>
    <w:semiHidden/>
    <w:qFormat/>
    <w:locked/>
    <w:uiPriority w:val="99"/>
    <w:rPr>
      <w:rFonts w:ascii="宋体" w:hAnsi="Calibri" w:cs="宋体"/>
      <w:kern w:val="2"/>
      <w:sz w:val="18"/>
      <w:szCs w:val="18"/>
    </w:rPr>
  </w:style>
  <w:style w:type="character" w:customStyle="1" w:styleId="26">
    <w:name w:val="批注框文本 Char"/>
    <w:basedOn w:val="20"/>
    <w:link w:val="11"/>
    <w:semiHidden/>
    <w:qFormat/>
    <w:locked/>
    <w:uiPriority w:val="99"/>
    <w:rPr>
      <w:sz w:val="18"/>
      <w:szCs w:val="18"/>
    </w:rPr>
  </w:style>
  <w:style w:type="character" w:customStyle="1" w:styleId="27">
    <w:name w:val="页脚 Char"/>
    <w:basedOn w:val="20"/>
    <w:link w:val="12"/>
    <w:qFormat/>
    <w:locked/>
    <w:uiPriority w:val="99"/>
    <w:rPr>
      <w:sz w:val="18"/>
      <w:szCs w:val="18"/>
    </w:rPr>
  </w:style>
  <w:style w:type="character" w:customStyle="1" w:styleId="28">
    <w:name w:val="页眉 Char"/>
    <w:basedOn w:val="20"/>
    <w:link w:val="13"/>
    <w:qFormat/>
    <w:locked/>
    <w:uiPriority w:val="99"/>
    <w:rPr>
      <w:sz w:val="18"/>
      <w:szCs w:val="18"/>
    </w:rPr>
  </w:style>
  <w:style w:type="character" w:customStyle="1" w:styleId="29">
    <w:name w:val="副标题 Char"/>
    <w:basedOn w:val="20"/>
    <w:link w:val="15"/>
    <w:qFormat/>
    <w:locked/>
    <w:uiPriority w:val="99"/>
    <w:rPr>
      <w:rFonts w:ascii="Cambria" w:hAnsi="Cambria" w:cs="Cambria"/>
      <w:b/>
      <w:bCs/>
      <w:kern w:val="28"/>
      <w:sz w:val="32"/>
      <w:szCs w:val="32"/>
    </w:rPr>
  </w:style>
  <w:style w:type="paragraph" w:customStyle="1" w:styleId="3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character" w:customStyle="1" w:styleId="31">
    <w:name w:val="txt4"/>
    <w:basedOn w:val="20"/>
    <w:qFormat/>
    <w:uiPriority w:val="99"/>
  </w:style>
  <w:style w:type="paragraph" w:customStyle="1" w:styleId="32">
    <w:name w:val="TOC 标题1"/>
    <w:basedOn w:val="2"/>
    <w:next w:val="1"/>
    <w:qFormat/>
    <w:uiPriority w:val="99"/>
    <w:pPr>
      <w:widowControl/>
      <w:spacing w:before="480" w:after="0" w:line="276" w:lineRule="auto"/>
      <w:jc w:val="left"/>
      <w:outlineLvl w:val="9"/>
    </w:pPr>
    <w:rPr>
      <w:rFonts w:ascii="Cambria" w:hAnsi="Cambria" w:eastAsia="宋体" w:cs="Cambria"/>
      <w:color w:val="365F91"/>
      <w:kern w:val="0"/>
      <w:sz w:val="28"/>
      <w:szCs w:val="28"/>
    </w:rPr>
  </w:style>
  <w:style w:type="paragraph" w:customStyle="1" w:styleId="33">
    <w:name w:val="列出段落1"/>
    <w:basedOn w:val="1"/>
    <w:qFormat/>
    <w:uiPriority w:val="99"/>
    <w:pPr>
      <w:ind w:firstLine="420"/>
    </w:pPr>
  </w:style>
  <w:style w:type="character" w:customStyle="1" w:styleId="34">
    <w:name w:val="apple-converted-space"/>
    <w:basedOn w:val="20"/>
    <w:qFormat/>
    <w:uiPriority w:val="99"/>
  </w:style>
  <w:style w:type="paragraph" w:styleId="35">
    <w:name w:val="No Spacing"/>
    <w:link w:val="36"/>
    <w:qFormat/>
    <w:uiPriority w:val="99"/>
    <w:pPr>
      <w:spacing w:before="100" w:beforeAutospacing="1" w:after="100" w:afterAutospacing="1" w:line="360" w:lineRule="auto"/>
      <w:ind w:firstLine="200" w:firstLineChars="200"/>
    </w:pPr>
    <w:rPr>
      <w:rFonts w:ascii="Calibri" w:hAnsi="Calibri" w:eastAsia="宋体" w:cs="Calibri"/>
      <w:sz w:val="22"/>
      <w:szCs w:val="22"/>
      <w:lang w:val="en-US" w:eastAsia="zh-CN" w:bidi="ar-SA"/>
    </w:rPr>
  </w:style>
  <w:style w:type="character" w:customStyle="1" w:styleId="36">
    <w:name w:val="无间隔 Char"/>
    <w:basedOn w:val="20"/>
    <w:link w:val="35"/>
    <w:qFormat/>
    <w:locked/>
    <w:uiPriority w:val="99"/>
    <w:rPr>
      <w:rFonts w:ascii="Calibri" w:hAnsi="Calibri" w:cs="Calibri"/>
      <w:sz w:val="22"/>
      <w:szCs w:val="22"/>
      <w:lang w:val="en-US" w:eastAsia="zh-CN" w:bidi="ar-SA"/>
    </w:rPr>
  </w:style>
  <w:style w:type="paragraph" w:styleId="37">
    <w:name w:val="List Paragraph"/>
    <w:basedOn w:val="1"/>
    <w:qFormat/>
    <w:uiPriority w:val="99"/>
    <w:pPr>
      <w:ind w:firstLine="420"/>
    </w:pPr>
  </w:style>
  <w:style w:type="character" w:customStyle="1" w:styleId="38">
    <w:name w:val="日期 Char"/>
    <w:basedOn w:val="20"/>
    <w:link w:val="10"/>
    <w:semiHidden/>
    <w:qFormat/>
    <w:uiPriority w:val="99"/>
    <w:rPr>
      <w:rFonts w:ascii="Calibri" w:hAnsi="Calibri" w:cs="Calibri"/>
      <w:kern w:val="2"/>
      <w:sz w:val="21"/>
      <w:szCs w:val="21"/>
    </w:rPr>
  </w:style>
  <w:style w:type="character" w:customStyle="1" w:styleId="39">
    <w:name w:val="标题 3 Char"/>
    <w:basedOn w:val="20"/>
    <w:link w:val="4"/>
    <w:qFormat/>
    <w:uiPriority w:val="0"/>
    <w:rPr>
      <w:rFonts w:ascii="Calibri" w:hAnsi="Calibri" w:cs="Calibri"/>
      <w:b/>
      <w:bCs/>
      <w:kern w:val="2"/>
      <w:sz w:val="32"/>
      <w:szCs w:val="32"/>
    </w:rPr>
  </w:style>
  <w:style w:type="character" w:customStyle="1" w:styleId="40">
    <w:name w:val="标题 4 Char"/>
    <w:basedOn w:val="20"/>
    <w:link w:val="5"/>
    <w:qFormat/>
    <w:uiPriority w:val="0"/>
    <w:rPr>
      <w:rFonts w:ascii="Cambria" w:hAnsi="Cambria" w:eastAsia="宋体" w:cs="Times New Roman"/>
      <w:b/>
      <w:bCs/>
      <w:kern w:val="2"/>
      <w:sz w:val="28"/>
      <w:szCs w:val="28"/>
    </w:rPr>
  </w:style>
  <w:style w:type="character" w:customStyle="1" w:styleId="41">
    <w:name w:val="标题 5 Char"/>
    <w:basedOn w:val="20"/>
    <w:link w:val="6"/>
    <w:qFormat/>
    <w:uiPriority w:val="0"/>
    <w:rPr>
      <w:rFonts w:ascii="Calibri" w:hAnsi="Calibri" w:cs="Calibri"/>
      <w:b/>
      <w:bCs/>
      <w:kern w:val="2"/>
      <w:sz w:val="28"/>
      <w:szCs w:val="28"/>
    </w:rPr>
  </w:style>
  <w:style w:type="character" w:customStyle="1" w:styleId="42">
    <w:name w:val="标题 Char"/>
    <w:basedOn w:val="20"/>
    <w:link w:val="18"/>
    <w:qFormat/>
    <w:uiPriority w:val="0"/>
    <w:rPr>
      <w:rFonts w:ascii="Cambria" w:hAnsi="Cambria" w:cs="Times New Roman"/>
      <w:b/>
      <w:bCs/>
      <w:kern w:val="2"/>
      <w:sz w:val="32"/>
      <w:szCs w:val="32"/>
    </w:rPr>
  </w:style>
  <w:style w:type="character" w:customStyle="1" w:styleId="43">
    <w:name w:val="标题 6 Char"/>
    <w:basedOn w:val="20"/>
    <w:link w:val="7"/>
    <w:qFormat/>
    <w:uiPriority w:val="0"/>
    <w:rPr>
      <w:rFonts w:ascii="Cambria" w:hAnsi="Cambria" w:eastAsia="宋体" w:cs="Times New Roman"/>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E3E866-47AF-4346-A2FA-E4A39708831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363</Words>
  <Characters>2075</Characters>
  <Lines>17</Lines>
  <Paragraphs>4</Paragraphs>
  <TotalTime>136</TotalTime>
  <ScaleCrop>false</ScaleCrop>
  <LinksUpToDate>false</LinksUpToDate>
  <CharactersWithSpaces>2434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2021-06-11T03:18:00Z</dcterms:created>
  <dc:creator>AutoBVT</dc:creator>
  <cp:lastModifiedBy>Administrator</cp:lastModifiedBy>
  <dcterms:modified xsi:type="dcterms:W3CDTF">2021-11-19T07:22:38Z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B7DD534E0780402DAA42979CE454E89E</vt:lpwstr>
  </property>
</Properties>
</file>